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(W37)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週期：2026/09/07–2026/09/13　｜　整體時間執行率：10.1%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132.00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1.45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36.2%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37.60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12.48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33.2%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09/07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1-2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09/08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6X3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09/08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87分 / 12.48km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(97%,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09/09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09/10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3x18'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09/11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09/12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北海岸繞圈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240分 / 132.00km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09/12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Brick 60min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11.00km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09/13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09/13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3200 主課表：比賽配速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3.20km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0.00 km、跑步 12.48 km、游泳 0.00 km，整體時間執行率達 10.1%。</w:t>
        <w:br/>
      </w:r>
      <w:r>
        <w:t>• Build 1-2 第一建構期第二週扎實推進：週一完全休息超補償後，週二晨跑超額達標，本週已累積自行車 0.00 km、跑步 12.48 km、游泳 0.00 km，整體時間執行率達 10.1%。</w:t>
        <w:br/>
      </w:r>
      <w:r>
        <w:t>• 週二 12.48km 跑步專項高質量完成 (83.0 rTSS)：9/8 跑步 1 小時 27 分 23 秒 (12.48km, 7:00/km, NGP 5:36/km, 均心 148 bpm, 均瓦 217W 3.18W/kg, 最大 457W, 脫鉤率 Pw:HR -2.69% / Spd:HR 0.07%)，距離達成率 107.6%、TSS 達成率 100.8%，間歇衝刺段步頻 182-187 spm、觸地時間 200-215ms、垂直比 6-7%，打破 5 項個人紀錄 (5 PRs)，負脫鉤展現極佳心肺抗疲勞力與著地經濟性！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W37 執行率報告 | 2026-09-07 ~ 2026-09-13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