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整體時間執行率：24.6%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17.32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12.04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17.32 km、跑步 12.04 km、游泳 3.45 km，整體時間執行率達 24.6%。</w:t>
        <w:br/>
      </w:r>
      <w:r>
        <w:t>• Build 1-1 第一建構期旗開得勝：本週正式邁入專項建構期，截至週三已完成游泳 3.45 km (70 分鐘)、單車 17.32 km (35 分鐘)、跑步 12.04 km (99 分鐘)，三項累積 211.0 TSS，專項速度、耐力、流線水感與踩踏節奏建構全面開展！</w:t>
        <w:br/>
      </w:r>
      <w:r>
        <w:t>• 週三 3,450m 甜甜泳課低心率流暢巡航：9/2 游泳 70 分鐘 (均速 2:02.5/100m, 均心率 114 bpm, sTSS 97.8, 脫鉤率 -20.90% Spd:HR)，在低於乳酸閾值極省力狀態下維持流暢水感與核心流線型，並發揮極佳的下肢動態排酸效果。</w:t>
        <w:br/>
      </w:r>
      <w:r>
        <w:t>• 週二 12.04km 跑步間歇與專項耐力高質量完成：9/1 跑步包含 6 組 400m 速度間歇（配速 3:57~4:09/km、均瓦 369-398W、步頻 183-190 spm、垂直比 6-7% 頂尖經濟性）與接續節奏跑，均心率 147 bpm，脫鉤率 (-9.25% Pw:HR / -6.87% Spd:HR) 展現極佳的心肺穩定度與下肢抗疲勞剛性。</w:t>
        <w:br/>
      </w:r>
      <w:r>
        <w:t>• 週二 17.32km 單車 TEMPO 8X3 階梯間歇踩踏：9/1 傍晚單車 35 分鐘 (均速 29.35 km/h, 均瓦 137W, 踏頻 82 rpm, 均心 137 bpm, 34.2 TSS)，3 組階梯推進 (171W -&gt; 184W -&gt; 204W 閾值衝刺) 踩踏效率極佳。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