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3201" w14:textId="22124F40" w:rsidR="007F711A" w:rsidRDefault="3378EA2B" w:rsidP="3378EA2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378EA2B">
        <w:rPr>
          <w:rFonts w:ascii="Arial" w:eastAsia="Arial" w:hAnsi="Arial" w:cs="Arial"/>
          <w:b/>
          <w:bCs/>
          <w:sz w:val="32"/>
          <w:szCs w:val="32"/>
        </w:rPr>
        <w:t xml:space="preserve">Exploratory Data Analysis (EDA) Summary </w:t>
      </w:r>
      <w:r w:rsidR="00000000">
        <w:br/>
      </w:r>
      <w:r w:rsidRPr="3378EA2B">
        <w:rPr>
          <w:rFonts w:ascii="Arial" w:eastAsia="Arial" w:hAnsi="Arial" w:cs="Arial"/>
          <w:b/>
          <w:bCs/>
          <w:sz w:val="32"/>
          <w:szCs w:val="32"/>
        </w:rPr>
        <w:t>Report Template</w:t>
      </w:r>
    </w:p>
    <w:p w14:paraId="672A6659" w14:textId="77777777" w:rsidR="007F711A" w:rsidRDefault="00000000" w:rsidP="3378EA2B">
      <w:pPr>
        <w:rPr>
          <w:rFonts w:ascii="Arial" w:eastAsia="Arial" w:hAnsi="Arial" w:cs="Arial"/>
        </w:rPr>
      </w:pPr>
      <w:r>
        <w:br/>
      </w:r>
    </w:p>
    <w:p w14:paraId="32A36C38" w14:textId="77777777" w:rsidR="007F711A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1. Introduction</w:t>
      </w:r>
    </w:p>
    <w:p w14:paraId="07A628E0" w14:textId="15A5F83C" w:rsidR="3378EA2B" w:rsidRPr="00C33D85" w:rsidRDefault="00C33D85" w:rsidP="3378EA2B">
      <w:pPr>
        <w:rPr>
          <w:rFonts w:ascii="Arial" w:hAnsi="Arial" w:cs="Arial"/>
        </w:rPr>
      </w:pPr>
      <w:r w:rsidRPr="00C33D85">
        <w:rPr>
          <w:rFonts w:ascii="Arial" w:hAnsi="Arial" w:cs="Arial"/>
        </w:rPr>
        <w:t xml:space="preserve">This report summarizes an exploratory analysis of </w:t>
      </w:r>
      <w:proofErr w:type="spellStart"/>
      <w:r w:rsidRPr="00C33D85">
        <w:rPr>
          <w:rFonts w:ascii="Arial" w:hAnsi="Arial" w:cs="Arial"/>
        </w:rPr>
        <w:t>Geldium’s</w:t>
      </w:r>
      <w:proofErr w:type="spellEnd"/>
      <w:r w:rsidRPr="00C33D85">
        <w:rPr>
          <w:rFonts w:ascii="Arial" w:hAnsi="Arial" w:cs="Arial"/>
        </w:rPr>
        <w:t xml:space="preserve"> customer dataset. The goal is to assess data quality, surface patterns and risk indicators associated with credit default, and propose preparatory steps to make the data modeling</w:t>
      </w:r>
      <w:r>
        <w:rPr>
          <w:rFonts w:ascii="Arial" w:hAnsi="Arial" w:cs="Arial"/>
        </w:rPr>
        <w:t xml:space="preserve"> </w:t>
      </w:r>
      <w:r w:rsidRPr="00C33D85">
        <w:rPr>
          <w:rFonts w:ascii="Arial" w:hAnsi="Arial" w:cs="Arial"/>
        </w:rPr>
        <w:t>ready for risk prediction.</w:t>
      </w:r>
    </w:p>
    <w:p w14:paraId="5F1C37D1" w14:textId="77777777" w:rsidR="007F711A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2. Dataset Overview</w:t>
      </w:r>
    </w:p>
    <w:p w14:paraId="417C8B8E" w14:textId="655A8CB6" w:rsidR="00C33D85" w:rsidRPr="00C33D85" w:rsidRDefault="00C33D85" w:rsidP="00C33D85">
      <w:pPr>
        <w:pStyle w:val="NormalWeb"/>
        <w:rPr>
          <w:rFonts w:ascii="Arial" w:hAnsi="Arial" w:cs="Arial"/>
        </w:rPr>
      </w:pPr>
      <w:r w:rsidRPr="00C33D85">
        <w:rPr>
          <w:rFonts w:ascii="Arial" w:hAnsi="Arial" w:cs="Arial"/>
        </w:rPr>
        <w:t xml:space="preserve">The dataset contains 500 customer records with a mix of categorical and numerical attributes relevant to credit </w:t>
      </w:r>
      <w:r w:rsidRPr="00C33D85">
        <w:rPr>
          <w:rFonts w:ascii="Arial" w:hAnsi="Arial" w:cs="Arial"/>
        </w:rPr>
        <w:t>behaviour</w:t>
      </w:r>
      <w:r w:rsidRPr="00C33D85">
        <w:rPr>
          <w:rFonts w:ascii="Arial" w:hAnsi="Arial" w:cs="Arial"/>
        </w:rPr>
        <w:t xml:space="preserve"> and risk assessment.</w:t>
      </w:r>
    </w:p>
    <w:p w14:paraId="6202A8D1" w14:textId="263C02F3" w:rsidR="00C33D85" w:rsidRPr="00C33D85" w:rsidRDefault="00C33D85" w:rsidP="00C33D85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Total records:</w:t>
      </w:r>
      <w:r w:rsidRPr="00C33D85">
        <w:rPr>
          <w:rFonts w:ascii="Arial" w:hAnsi="Arial" w:cs="Arial"/>
        </w:rPr>
        <w:t xml:space="preserve"> 500</w:t>
      </w:r>
      <w:r>
        <w:rPr>
          <w:rFonts w:ascii="Arial" w:hAnsi="Arial" w:cs="Arial"/>
        </w:rPr>
        <w:br/>
      </w:r>
    </w:p>
    <w:p w14:paraId="1B1338CA" w14:textId="1C401347" w:rsidR="00C33D85" w:rsidRPr="00C33D85" w:rsidRDefault="00C33D85" w:rsidP="00C33D85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Key attributes:</w:t>
      </w:r>
      <w:r w:rsidRPr="00C33D85">
        <w:rPr>
          <w:rFonts w:ascii="Arial" w:hAnsi="Arial" w:cs="Arial"/>
        </w:rPr>
        <w:t xml:space="preserve"> Age, Income, Credit Score, Credit Utilization, Missed Payments, Debt</w:t>
      </w:r>
      <w:r>
        <w:rPr>
          <w:rFonts w:ascii="Arial" w:hAnsi="Arial" w:cs="Arial"/>
        </w:rPr>
        <w:t xml:space="preserve"> </w:t>
      </w:r>
      <w:r w:rsidRPr="00C33D85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Pr="00C33D85">
        <w:rPr>
          <w:rFonts w:ascii="Arial" w:hAnsi="Arial" w:cs="Arial"/>
        </w:rPr>
        <w:t>Income Ratio</w:t>
      </w:r>
      <w:r>
        <w:rPr>
          <w:rFonts w:ascii="Arial" w:hAnsi="Arial" w:cs="Arial"/>
        </w:rPr>
        <w:br/>
      </w:r>
    </w:p>
    <w:p w14:paraId="4B764F36" w14:textId="77777777" w:rsidR="00C33D85" w:rsidRPr="00C33D85" w:rsidRDefault="00C33D85" w:rsidP="00C33D85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Data types:</w:t>
      </w:r>
    </w:p>
    <w:p w14:paraId="14C99C71" w14:textId="77777777" w:rsidR="00C33D85" w:rsidRPr="00C33D85" w:rsidRDefault="00C33D85" w:rsidP="00C33D85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C33D85">
        <w:rPr>
          <w:rFonts w:ascii="Arial" w:hAnsi="Arial" w:cs="Arial"/>
        </w:rPr>
        <w:t>Categorical: Employment Status, Credit Card Type</w:t>
      </w:r>
    </w:p>
    <w:p w14:paraId="15835C04" w14:textId="2BDB9E2D" w:rsidR="00C33D85" w:rsidRPr="00C33D85" w:rsidRDefault="00C33D85" w:rsidP="00C33D85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C33D85">
        <w:rPr>
          <w:rFonts w:ascii="Arial" w:hAnsi="Arial" w:cs="Arial"/>
        </w:rPr>
        <w:t>Numerical: Income, Loan Balance, Credit Utilization, Debt</w:t>
      </w:r>
      <w:r>
        <w:rPr>
          <w:rFonts w:ascii="Arial" w:hAnsi="Arial" w:cs="Arial"/>
        </w:rPr>
        <w:t xml:space="preserve"> </w:t>
      </w:r>
      <w:r w:rsidRPr="00C33D85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Pr="00C33D85">
        <w:rPr>
          <w:rFonts w:ascii="Arial" w:hAnsi="Arial" w:cs="Arial"/>
        </w:rPr>
        <w:t>Income Ratio</w:t>
      </w:r>
    </w:p>
    <w:p w14:paraId="5A7A0835" w14:textId="77777777" w:rsidR="007F711A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3. Missing Data Analysis</w:t>
      </w:r>
    </w:p>
    <w:p w14:paraId="478DAF4A" w14:textId="77777777" w:rsidR="00C33D85" w:rsidRPr="00C33D85" w:rsidRDefault="00C33D85" w:rsidP="00C33D85">
      <w:pPr>
        <w:pStyle w:val="NormalWeb"/>
        <w:rPr>
          <w:rFonts w:ascii="Arial" w:hAnsi="Arial" w:cs="Arial"/>
        </w:rPr>
      </w:pPr>
      <w:r w:rsidRPr="00C33D85">
        <w:rPr>
          <w:rFonts w:ascii="Arial" w:hAnsi="Arial" w:cs="Arial"/>
        </w:rPr>
        <w:t>Missingness exists in important numeric fields and requires careful treatment to avoid biased model results.</w:t>
      </w:r>
    </w:p>
    <w:p w14:paraId="218A76FC" w14:textId="77777777" w:rsidR="00C33D85" w:rsidRPr="00C33D85" w:rsidRDefault="00C33D85" w:rsidP="00C33D85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Missing counts observed:</w:t>
      </w:r>
    </w:p>
    <w:p w14:paraId="580377DD" w14:textId="77777777" w:rsidR="00C33D85" w:rsidRPr="00C33D85" w:rsidRDefault="00C33D85" w:rsidP="00C33D85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C33D85">
        <w:rPr>
          <w:rFonts w:ascii="Arial" w:hAnsi="Arial" w:cs="Arial"/>
        </w:rPr>
        <w:t>Income: 50 missing values</w:t>
      </w:r>
    </w:p>
    <w:p w14:paraId="029B4399" w14:textId="74B27490" w:rsidR="00C33D85" w:rsidRPr="00C33D85" w:rsidRDefault="00C33D85" w:rsidP="00C33D85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C33D85">
        <w:rPr>
          <w:rFonts w:ascii="Arial" w:hAnsi="Arial" w:cs="Arial"/>
        </w:rPr>
        <w:t>Loan Balance: 30 missing values</w:t>
      </w:r>
      <w:r w:rsidRPr="00C33D85">
        <w:rPr>
          <w:rFonts w:ascii="Arial" w:hAnsi="Arial" w:cs="Arial"/>
        </w:rPr>
        <w:br/>
      </w:r>
    </w:p>
    <w:p w14:paraId="419813BE" w14:textId="7D2EB930" w:rsidR="00C33D85" w:rsidRPr="00C33D85" w:rsidRDefault="00C33D85" w:rsidP="00C33D85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Implications:</w:t>
      </w:r>
      <w:r w:rsidRPr="00C33D85">
        <w:rPr>
          <w:rFonts w:ascii="Arial" w:hAnsi="Arial" w:cs="Arial"/>
        </w:rPr>
        <w:t xml:space="preserve"> Missing values in income and loan balance can skew distribution-based features and affect models that rely on income-derived ratios.</w:t>
      </w:r>
      <w:r w:rsidRPr="00C33D85">
        <w:rPr>
          <w:rFonts w:ascii="Arial" w:hAnsi="Arial" w:cs="Arial"/>
        </w:rPr>
        <w:br/>
      </w:r>
    </w:p>
    <w:p w14:paraId="023A4302" w14:textId="77777777" w:rsidR="00C33D85" w:rsidRPr="00C33D85" w:rsidRDefault="00C33D85" w:rsidP="00C33D85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Proposed handling approach:</w:t>
      </w:r>
    </w:p>
    <w:p w14:paraId="1029552F" w14:textId="3CB2999B" w:rsidR="00C33D85" w:rsidRPr="00C33D85" w:rsidRDefault="00C33D85" w:rsidP="00C33D85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C33D85">
        <w:rPr>
          <w:rFonts w:ascii="Arial" w:hAnsi="Arial" w:cs="Arial"/>
        </w:rPr>
        <w:lastRenderedPageBreak/>
        <w:t>For numeric fields with moderate missingness, impute using robust central tendency (median) to limit influence from extreme values.</w:t>
      </w:r>
      <w:r w:rsidRPr="00C33D85">
        <w:rPr>
          <w:rFonts w:ascii="Arial" w:hAnsi="Arial" w:cs="Arial"/>
        </w:rPr>
        <w:br/>
      </w:r>
    </w:p>
    <w:p w14:paraId="1CB59B0F" w14:textId="04835077" w:rsidR="00C33D85" w:rsidRPr="00C33D85" w:rsidRDefault="00C33D85" w:rsidP="00C33D85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C33D85">
        <w:rPr>
          <w:rFonts w:ascii="Arial" w:hAnsi="Arial" w:cs="Arial"/>
        </w:rPr>
        <w:t>For Loan Balance, consider controlled synthetic data generation only where domain rules can be enforced and after validating that synthetic examples preserve realistic relationships with other fields.</w:t>
      </w:r>
      <w:r w:rsidRPr="00C33D85">
        <w:rPr>
          <w:rFonts w:ascii="Arial" w:hAnsi="Arial" w:cs="Arial"/>
        </w:rPr>
        <w:br/>
      </w:r>
    </w:p>
    <w:p w14:paraId="7E0A54A7" w14:textId="77777777" w:rsidR="00C33D85" w:rsidRPr="00C33D85" w:rsidRDefault="00C33D85" w:rsidP="00C33D85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C33D85">
        <w:rPr>
          <w:rFonts w:ascii="Arial" w:hAnsi="Arial" w:cs="Arial"/>
        </w:rPr>
        <w:t>Evaluate more advanced imputation (e.g., multiple imputation or model-based imputation) if missingness is non-random or correlated with target variables.</w:t>
      </w:r>
    </w:p>
    <w:p w14:paraId="42D602DA" w14:textId="77777777" w:rsidR="007F711A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4. Key Findings and Risk Indicators</w:t>
      </w:r>
    </w:p>
    <w:p w14:paraId="56D5FCFF" w14:textId="77777777" w:rsidR="00C33D85" w:rsidRPr="00C33D85" w:rsidRDefault="00C33D85" w:rsidP="00C33D85">
      <w:pPr>
        <w:pStyle w:val="NormalWeb"/>
        <w:rPr>
          <w:rFonts w:ascii="Arial" w:hAnsi="Arial" w:cs="Arial"/>
        </w:rPr>
      </w:pPr>
      <w:r w:rsidRPr="00C33D85">
        <w:rPr>
          <w:rFonts w:ascii="Arial" w:hAnsi="Arial" w:cs="Arial"/>
        </w:rPr>
        <w:t xml:space="preserve">The exploratory analysis highlights </w:t>
      </w:r>
      <w:proofErr w:type="spellStart"/>
      <w:r w:rsidRPr="00C33D85">
        <w:rPr>
          <w:rFonts w:ascii="Arial" w:hAnsi="Arial" w:cs="Arial"/>
        </w:rPr>
        <w:t>behavioral</w:t>
      </w:r>
      <w:proofErr w:type="spellEnd"/>
      <w:r w:rsidRPr="00C33D85">
        <w:rPr>
          <w:rFonts w:ascii="Arial" w:hAnsi="Arial" w:cs="Arial"/>
        </w:rPr>
        <w:t xml:space="preserve"> and utilization patterns strongly correlated with delinquency.</w:t>
      </w:r>
    </w:p>
    <w:p w14:paraId="6A57A7DD" w14:textId="25E8BD80" w:rsidR="00C33D85" w:rsidRPr="00C33D85" w:rsidRDefault="00C33D85" w:rsidP="00C33D85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Credit utilization:</w:t>
      </w:r>
      <w:r w:rsidRPr="00C33D85">
        <w:rPr>
          <w:rFonts w:ascii="Arial" w:hAnsi="Arial" w:cs="Arial"/>
        </w:rPr>
        <w:t xml:space="preserve"> Customers with utilization &gt; 50% show a substantially elevated risk of delinquency.</w:t>
      </w:r>
      <w:r>
        <w:rPr>
          <w:rFonts w:ascii="Arial" w:hAnsi="Arial" w:cs="Arial"/>
        </w:rPr>
        <w:br/>
      </w:r>
    </w:p>
    <w:p w14:paraId="3FCFB256" w14:textId="6CBA9F5B" w:rsidR="00C33D85" w:rsidRPr="00C33D85" w:rsidRDefault="00C33D85" w:rsidP="00C33D85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Payment history:</w:t>
      </w:r>
      <w:r w:rsidRPr="00C33D85">
        <w:rPr>
          <w:rFonts w:ascii="Arial" w:hAnsi="Arial" w:cs="Arial"/>
        </w:rPr>
        <w:t xml:space="preserve"> Having 3 or more missed instalments within the previous six months corresponds to a noticeably higher default probability.</w:t>
      </w:r>
      <w:r>
        <w:rPr>
          <w:rFonts w:ascii="Arial" w:hAnsi="Arial" w:cs="Arial"/>
        </w:rPr>
        <w:br/>
      </w:r>
    </w:p>
    <w:p w14:paraId="1DF95A0C" w14:textId="778E3960" w:rsidR="00C33D85" w:rsidRPr="00C33D85" w:rsidRDefault="00C33D85" w:rsidP="00C33D85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Notable anomalies:</w:t>
      </w:r>
      <w:r w:rsidRPr="00C33D85">
        <w:rPr>
          <w:rFonts w:ascii="Arial" w:hAnsi="Arial" w:cs="Arial"/>
        </w:rPr>
        <w:t xml:space="preserve"> A small subset of customers combines high reported income with low credit scores these cases require investigation for potential reporting errors or unobserved risk drivers.</w:t>
      </w:r>
      <w:r>
        <w:rPr>
          <w:rFonts w:ascii="Arial" w:hAnsi="Arial" w:cs="Arial"/>
        </w:rPr>
        <w:br/>
      </w:r>
    </w:p>
    <w:p w14:paraId="020038CF" w14:textId="77777777" w:rsidR="00C33D85" w:rsidRPr="00C33D85" w:rsidRDefault="00C33D85" w:rsidP="00C33D85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C33D85">
        <w:rPr>
          <w:rStyle w:val="Strong"/>
          <w:rFonts w:ascii="Arial" w:hAnsi="Arial" w:cs="Arial"/>
        </w:rPr>
        <w:t>Takeaway:</w:t>
      </w:r>
      <w:r w:rsidRPr="00C33D85">
        <w:rPr>
          <w:rFonts w:ascii="Arial" w:hAnsi="Arial" w:cs="Arial"/>
        </w:rPr>
        <w:t xml:space="preserve"> High credit usage and repeated missed payments are the most consistent indicators of elevated default risk in this dataset.</w:t>
      </w:r>
    </w:p>
    <w:p w14:paraId="723692B8" w14:textId="77777777" w:rsidR="007F711A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5. AI &amp; GenAI Usage</w:t>
      </w:r>
    </w:p>
    <w:p w14:paraId="55676093" w14:textId="77777777" w:rsidR="00C33D85" w:rsidRPr="00C33D85" w:rsidRDefault="00C33D85" w:rsidP="00C33D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t>Generative and analytical AI tools were used to accelerate data profiling and pattern detection while cross-checking findings against standard credit-risk metrics.</w:t>
      </w:r>
    </w:p>
    <w:p w14:paraId="79F0BE2B" w14:textId="1CB63BBA" w:rsidR="00C33D85" w:rsidRPr="00C33D85" w:rsidRDefault="00C33D85" w:rsidP="00C33D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C33D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What AI helped with:</w:t>
      </w:r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automated summarization of missingness, initial clustering of risk groups, and quick flagging of outliers.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</w:p>
    <w:p w14:paraId="23BC5E80" w14:textId="161E0186" w:rsidR="00C33D85" w:rsidRPr="00C33D85" w:rsidRDefault="00C33D85" w:rsidP="00C33D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C33D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Examples of prompts/queries used:</w:t>
      </w:r>
      <w: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br/>
      </w:r>
    </w:p>
    <w:p w14:paraId="0C82171D" w14:textId="182D38F0" w:rsidR="00C33D85" w:rsidRPr="00C33D85" w:rsidRDefault="00C33D85" w:rsidP="00C33D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“Summarize column-level missingness and highlight fields with potential impact on </w:t>
      </w:r>
      <w:proofErr w:type="spellStart"/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t>modeling</w:t>
      </w:r>
      <w:proofErr w:type="spellEnd"/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t>.”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</w:p>
    <w:p w14:paraId="75BD795E" w14:textId="19EE1F10" w:rsidR="00C33D85" w:rsidRPr="00C33D85" w:rsidRDefault="00C33D85" w:rsidP="00C33D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 xml:space="preserve">“Identify </w:t>
      </w:r>
      <w:proofErr w:type="spellStart"/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t>behavioral</w:t>
      </w:r>
      <w:proofErr w:type="spellEnd"/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features (e.g., utilization, missed payments) that most strongly separate delinquent vs non-delinquent customers.”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</w:p>
    <w:p w14:paraId="00E5F015" w14:textId="77777777" w:rsidR="00C33D85" w:rsidRPr="00C33D85" w:rsidRDefault="00C33D85" w:rsidP="00C33D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C33D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Validation:</w:t>
      </w:r>
      <w:r w:rsidRPr="00C33D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AI-derived observations were validated against conventional risk indicators to ensure alignment with financial domain expectations.</w:t>
      </w:r>
    </w:p>
    <w:p w14:paraId="1065B625" w14:textId="77777777" w:rsidR="007F711A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6. Conclusion &amp; Next Steps</w:t>
      </w:r>
    </w:p>
    <w:p w14:paraId="16A10976" w14:textId="77777777" w:rsidR="00C33D85" w:rsidRPr="00C33D85" w:rsidRDefault="00C33D85" w:rsidP="00C33D85">
      <w:p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lang w:val="en-IN"/>
        </w:rPr>
        <w:t xml:space="preserve">The EDA uncovers clear signals useful for credit risk </w:t>
      </w:r>
      <w:proofErr w:type="spellStart"/>
      <w:r w:rsidRPr="00C33D85">
        <w:rPr>
          <w:rFonts w:ascii="Arial" w:eastAsia="Arial" w:hAnsi="Arial" w:cs="Arial"/>
          <w:lang w:val="en-IN"/>
        </w:rPr>
        <w:t>modeling</w:t>
      </w:r>
      <w:proofErr w:type="spellEnd"/>
      <w:r w:rsidRPr="00C33D85">
        <w:rPr>
          <w:rFonts w:ascii="Arial" w:eastAsia="Arial" w:hAnsi="Arial" w:cs="Arial"/>
          <w:lang w:val="en-IN"/>
        </w:rPr>
        <w:t xml:space="preserve"> and highlights data quality issues that must be addressed prior to building predictive models.</w:t>
      </w:r>
    </w:p>
    <w:p w14:paraId="3AF4A8C4" w14:textId="77777777" w:rsidR="00C33D85" w:rsidRPr="00C33D85" w:rsidRDefault="00C33D85" w:rsidP="00C33D85">
      <w:p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b/>
          <w:bCs/>
          <w:lang w:val="en-IN"/>
        </w:rPr>
        <w:t>Conclusions:</w:t>
      </w:r>
    </w:p>
    <w:p w14:paraId="56FB4A2F" w14:textId="77777777" w:rsidR="00C33D85" w:rsidRPr="00C33D85" w:rsidRDefault="00C33D85" w:rsidP="00C33D85">
      <w:pPr>
        <w:numPr>
          <w:ilvl w:val="0"/>
          <w:numId w:val="14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lang w:val="en-IN"/>
        </w:rPr>
        <w:t>Missing income and loan-balance values could materially affect downstream model performance if not addressed.</w:t>
      </w:r>
    </w:p>
    <w:p w14:paraId="0159C4E5" w14:textId="77777777" w:rsidR="00C33D85" w:rsidRPr="00C33D85" w:rsidRDefault="00C33D85" w:rsidP="00C33D85">
      <w:pPr>
        <w:numPr>
          <w:ilvl w:val="0"/>
          <w:numId w:val="14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lang w:val="en-IN"/>
        </w:rPr>
        <w:t>High credit utilization and repeated missed payments are reliable predictors of default risk.</w:t>
      </w:r>
    </w:p>
    <w:p w14:paraId="6BE3342B" w14:textId="77777777" w:rsidR="00C33D85" w:rsidRPr="00C33D85" w:rsidRDefault="00C33D85" w:rsidP="00C33D85">
      <w:pPr>
        <w:numPr>
          <w:ilvl w:val="0"/>
          <w:numId w:val="14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lang w:val="en-IN"/>
        </w:rPr>
        <w:t>Some records exhibit inconsistent profiles (e.g., high income but low credit score) and should be reviewed.</w:t>
      </w:r>
    </w:p>
    <w:p w14:paraId="0655518F" w14:textId="77777777" w:rsidR="00C33D85" w:rsidRPr="00C33D85" w:rsidRDefault="00C33D85" w:rsidP="00C33D85">
      <w:p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b/>
          <w:bCs/>
          <w:lang w:val="en-IN"/>
        </w:rPr>
        <w:t>Actionable recommendations:</w:t>
      </w:r>
    </w:p>
    <w:p w14:paraId="1226843D" w14:textId="73E61BE3" w:rsidR="00C33D85" w:rsidRPr="00C33D85" w:rsidRDefault="00C33D85" w:rsidP="00C33D85">
      <w:pPr>
        <w:numPr>
          <w:ilvl w:val="0"/>
          <w:numId w:val="15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b/>
          <w:bCs/>
          <w:lang w:val="en-IN"/>
        </w:rPr>
        <w:t>Imputation strategy:</w:t>
      </w:r>
      <w:r w:rsidRPr="00C33D85">
        <w:rPr>
          <w:rFonts w:ascii="Arial" w:eastAsia="Arial" w:hAnsi="Arial" w:cs="Arial"/>
          <w:lang w:val="en-IN"/>
        </w:rPr>
        <w:t xml:space="preserve"> Apply median imputation for simple baselines and evaluate multiple</w:t>
      </w:r>
      <w:r>
        <w:rPr>
          <w:rFonts w:ascii="Arial" w:eastAsia="Arial" w:hAnsi="Arial" w:cs="Arial"/>
          <w:lang w:val="en-IN"/>
        </w:rPr>
        <w:t xml:space="preserve"> i</w:t>
      </w:r>
      <w:r w:rsidRPr="00C33D85">
        <w:rPr>
          <w:rFonts w:ascii="Arial" w:eastAsia="Arial" w:hAnsi="Arial" w:cs="Arial"/>
          <w:lang w:val="en-IN"/>
        </w:rPr>
        <w:t>mputation or predictive</w:t>
      </w:r>
      <w:r>
        <w:rPr>
          <w:rFonts w:ascii="Arial" w:eastAsia="Arial" w:hAnsi="Arial" w:cs="Arial"/>
          <w:lang w:val="en-IN"/>
        </w:rPr>
        <w:t xml:space="preserve"> </w:t>
      </w:r>
      <w:r w:rsidRPr="00C33D85">
        <w:rPr>
          <w:rFonts w:ascii="Arial" w:eastAsia="Arial" w:hAnsi="Arial" w:cs="Arial"/>
          <w:lang w:val="en-IN"/>
        </w:rPr>
        <w:t>model imputation for improved accuracy</w:t>
      </w:r>
      <w:r>
        <w:rPr>
          <w:rFonts w:ascii="Arial" w:eastAsia="Arial" w:hAnsi="Arial" w:cs="Arial"/>
          <w:lang w:val="en-IN"/>
        </w:rPr>
        <w:t xml:space="preserve"> </w:t>
      </w:r>
      <w:r w:rsidRPr="00C33D85">
        <w:rPr>
          <w:rFonts w:ascii="Arial" w:eastAsia="Arial" w:hAnsi="Arial" w:cs="Arial"/>
          <w:lang w:val="en-IN"/>
        </w:rPr>
        <w:t>avoid blanket synthetic generation unless validated.</w:t>
      </w:r>
    </w:p>
    <w:p w14:paraId="6AABCEDB" w14:textId="77777777" w:rsidR="00C33D85" w:rsidRPr="00C33D85" w:rsidRDefault="00C33D85" w:rsidP="00C33D85">
      <w:pPr>
        <w:numPr>
          <w:ilvl w:val="0"/>
          <w:numId w:val="15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b/>
          <w:bCs/>
          <w:lang w:val="en-IN"/>
        </w:rPr>
        <w:t>Subgroup validation:</w:t>
      </w:r>
      <w:r w:rsidRPr="00C33D85">
        <w:rPr>
          <w:rFonts w:ascii="Arial" w:eastAsia="Arial" w:hAnsi="Arial" w:cs="Arial"/>
          <w:lang w:val="en-IN"/>
        </w:rPr>
        <w:t xml:space="preserve"> Test whether the key risk factors (utilization, missed payments) hold consistently across subpopulations (by employment status, card type, income bracket).</w:t>
      </w:r>
    </w:p>
    <w:p w14:paraId="5C2B9853" w14:textId="77777777" w:rsidR="00C33D85" w:rsidRPr="00C33D85" w:rsidRDefault="00C33D85" w:rsidP="00C33D85">
      <w:pPr>
        <w:numPr>
          <w:ilvl w:val="0"/>
          <w:numId w:val="15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b/>
          <w:bCs/>
          <w:lang w:val="en-IN"/>
        </w:rPr>
        <w:t>Outlier investigation:</w:t>
      </w:r>
      <w:r w:rsidRPr="00C33D85">
        <w:rPr>
          <w:rFonts w:ascii="Arial" w:eastAsia="Arial" w:hAnsi="Arial" w:cs="Arial"/>
          <w:lang w:val="en-IN"/>
        </w:rPr>
        <w:t xml:space="preserve"> Manually review or flag suspicious combinations (e.g., high income + low credit score) to confirm data correctness or discover hidden risk attributes.</w:t>
      </w:r>
    </w:p>
    <w:p w14:paraId="0F7F9028" w14:textId="37F4C9B4" w:rsidR="00C33D85" w:rsidRPr="00C33D85" w:rsidRDefault="00C33D85" w:rsidP="00C33D85">
      <w:pPr>
        <w:numPr>
          <w:ilvl w:val="0"/>
          <w:numId w:val="15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b/>
          <w:bCs/>
          <w:lang w:val="en-IN"/>
        </w:rPr>
        <w:t>Feature engineering:</w:t>
      </w:r>
      <w:r w:rsidRPr="00C33D85">
        <w:rPr>
          <w:rFonts w:ascii="Arial" w:eastAsia="Arial" w:hAnsi="Arial" w:cs="Arial"/>
          <w:lang w:val="en-IN"/>
        </w:rPr>
        <w:t xml:space="preserve"> Create derived variables such as rolling missed</w:t>
      </w:r>
      <w:r>
        <w:rPr>
          <w:rFonts w:ascii="Arial" w:eastAsia="Arial" w:hAnsi="Arial" w:cs="Arial"/>
          <w:lang w:val="en-IN"/>
        </w:rPr>
        <w:t xml:space="preserve"> </w:t>
      </w:r>
      <w:r w:rsidRPr="00C33D85">
        <w:rPr>
          <w:rFonts w:ascii="Arial" w:eastAsia="Arial" w:hAnsi="Arial" w:cs="Arial"/>
          <w:lang w:val="en-IN"/>
        </w:rPr>
        <w:t>payment counts, utilization bands (&gt;50%), and debt</w:t>
      </w:r>
      <w:r>
        <w:rPr>
          <w:rFonts w:ascii="Arial" w:eastAsia="Arial" w:hAnsi="Arial" w:cs="Arial"/>
          <w:lang w:val="en-IN"/>
        </w:rPr>
        <w:t xml:space="preserve"> </w:t>
      </w:r>
      <w:r w:rsidRPr="00C33D85">
        <w:rPr>
          <w:rFonts w:ascii="Arial" w:eastAsia="Arial" w:hAnsi="Arial" w:cs="Arial"/>
          <w:lang w:val="en-IN"/>
        </w:rPr>
        <w:t>to</w:t>
      </w:r>
      <w:r>
        <w:rPr>
          <w:rFonts w:ascii="Arial" w:eastAsia="Arial" w:hAnsi="Arial" w:cs="Arial"/>
          <w:lang w:val="en-IN"/>
        </w:rPr>
        <w:t xml:space="preserve"> </w:t>
      </w:r>
      <w:r w:rsidRPr="00C33D85">
        <w:rPr>
          <w:rFonts w:ascii="Arial" w:eastAsia="Arial" w:hAnsi="Arial" w:cs="Arial"/>
          <w:lang w:val="en-IN"/>
        </w:rPr>
        <w:t>income buckets to improve model discriminative power.</w:t>
      </w:r>
    </w:p>
    <w:p w14:paraId="2BCA0681" w14:textId="77777777" w:rsidR="00C33D85" w:rsidRPr="00C33D85" w:rsidRDefault="00C33D85" w:rsidP="00C33D85">
      <w:pPr>
        <w:numPr>
          <w:ilvl w:val="0"/>
          <w:numId w:val="15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b/>
          <w:bCs/>
          <w:lang w:val="en-IN"/>
        </w:rPr>
        <w:t>Model readiness checks:</w:t>
      </w:r>
      <w:r w:rsidRPr="00C33D85">
        <w:rPr>
          <w:rFonts w:ascii="Arial" w:eastAsia="Arial" w:hAnsi="Arial" w:cs="Arial"/>
          <w:lang w:val="en-IN"/>
        </w:rPr>
        <w:t xml:space="preserve"> After cleaning and imputation, run correlation analysis, check class balance, and perform baseline </w:t>
      </w:r>
      <w:proofErr w:type="spellStart"/>
      <w:r w:rsidRPr="00C33D85">
        <w:rPr>
          <w:rFonts w:ascii="Arial" w:eastAsia="Arial" w:hAnsi="Arial" w:cs="Arial"/>
          <w:lang w:val="en-IN"/>
        </w:rPr>
        <w:t>modeling</w:t>
      </w:r>
      <w:proofErr w:type="spellEnd"/>
      <w:r w:rsidRPr="00C33D85">
        <w:rPr>
          <w:rFonts w:ascii="Arial" w:eastAsia="Arial" w:hAnsi="Arial" w:cs="Arial"/>
          <w:lang w:val="en-IN"/>
        </w:rPr>
        <w:t xml:space="preserve"> (logistic regression / tree-based) to validate predictive signal strength.</w:t>
      </w:r>
    </w:p>
    <w:p w14:paraId="006850A5" w14:textId="77777777" w:rsidR="00C33D85" w:rsidRPr="00C33D85" w:rsidRDefault="00C33D85" w:rsidP="00C33D85">
      <w:pPr>
        <w:numPr>
          <w:ilvl w:val="0"/>
          <w:numId w:val="15"/>
        </w:num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b/>
          <w:bCs/>
          <w:lang w:val="en-IN"/>
        </w:rPr>
        <w:t>Governance for synthetic data:</w:t>
      </w:r>
      <w:r w:rsidRPr="00C33D85">
        <w:rPr>
          <w:rFonts w:ascii="Arial" w:eastAsia="Arial" w:hAnsi="Arial" w:cs="Arial"/>
          <w:lang w:val="en-IN"/>
        </w:rPr>
        <w:t xml:space="preserve"> If using AI to synthesize loan-balance values, establish constraints and sanity checks that preserve statistical relationships with income and utilization.</w:t>
      </w:r>
    </w:p>
    <w:p w14:paraId="3CEA6BE2" w14:textId="77777777" w:rsidR="00C33D85" w:rsidRPr="00C33D85" w:rsidRDefault="00C33D85" w:rsidP="00C33D85">
      <w:pPr>
        <w:rPr>
          <w:rFonts w:ascii="Arial" w:eastAsia="Arial" w:hAnsi="Arial" w:cs="Arial"/>
          <w:lang w:val="en-IN"/>
        </w:rPr>
      </w:pPr>
      <w:r w:rsidRPr="00C33D85">
        <w:rPr>
          <w:rFonts w:ascii="Arial" w:eastAsia="Arial" w:hAnsi="Arial" w:cs="Arial"/>
          <w:lang w:val="en-IN"/>
        </w:rPr>
        <w:lastRenderedPageBreak/>
        <w:t xml:space="preserve">Implementing these steps will strengthen data reliability and improve the robustness of subsequent credit-risk models for </w:t>
      </w:r>
      <w:proofErr w:type="spellStart"/>
      <w:r w:rsidRPr="00C33D85">
        <w:rPr>
          <w:rFonts w:ascii="Arial" w:eastAsia="Arial" w:hAnsi="Arial" w:cs="Arial"/>
          <w:lang w:val="en-IN"/>
        </w:rPr>
        <w:t>Geldium</w:t>
      </w:r>
      <w:proofErr w:type="spellEnd"/>
      <w:r w:rsidRPr="00C33D85">
        <w:rPr>
          <w:rFonts w:ascii="Arial" w:eastAsia="Arial" w:hAnsi="Arial" w:cs="Arial"/>
          <w:lang w:val="en-IN"/>
        </w:rPr>
        <w:t>.</w:t>
      </w:r>
    </w:p>
    <w:p w14:paraId="4D5E0059" w14:textId="0C7C660A" w:rsidR="3378EA2B" w:rsidRDefault="3378EA2B" w:rsidP="3378EA2B">
      <w:pPr>
        <w:rPr>
          <w:rFonts w:ascii="Arial" w:eastAsia="Arial" w:hAnsi="Arial" w:cs="Arial"/>
        </w:rPr>
      </w:pPr>
    </w:p>
    <w:p w14:paraId="473B3221" w14:textId="2B43D768" w:rsidR="3378EA2B" w:rsidRDefault="3378EA2B" w:rsidP="3378EA2B">
      <w:pPr>
        <w:rPr>
          <w:rFonts w:ascii="Arial" w:eastAsia="Arial" w:hAnsi="Arial" w:cs="Arial"/>
        </w:rPr>
      </w:pPr>
    </w:p>
    <w:sectPr w:rsidR="3378E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F97F46"/>
    <w:multiLevelType w:val="multilevel"/>
    <w:tmpl w:val="DC8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90A5F"/>
    <w:multiLevelType w:val="multilevel"/>
    <w:tmpl w:val="365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D03A6"/>
    <w:multiLevelType w:val="multilevel"/>
    <w:tmpl w:val="3E34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57D90"/>
    <w:multiLevelType w:val="multilevel"/>
    <w:tmpl w:val="BE5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E1BDC"/>
    <w:multiLevelType w:val="multilevel"/>
    <w:tmpl w:val="D73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A04B6"/>
    <w:multiLevelType w:val="multilevel"/>
    <w:tmpl w:val="C8BC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961490">
    <w:abstractNumId w:val="8"/>
  </w:num>
  <w:num w:numId="2" w16cid:durableId="1482387870">
    <w:abstractNumId w:val="6"/>
  </w:num>
  <w:num w:numId="3" w16cid:durableId="253828963">
    <w:abstractNumId w:val="5"/>
  </w:num>
  <w:num w:numId="4" w16cid:durableId="2038961647">
    <w:abstractNumId w:val="4"/>
  </w:num>
  <w:num w:numId="5" w16cid:durableId="2030522876">
    <w:abstractNumId w:val="7"/>
  </w:num>
  <w:num w:numId="6" w16cid:durableId="2116316572">
    <w:abstractNumId w:val="3"/>
  </w:num>
  <w:num w:numId="7" w16cid:durableId="672799469">
    <w:abstractNumId w:val="2"/>
  </w:num>
  <w:num w:numId="8" w16cid:durableId="927929178">
    <w:abstractNumId w:val="1"/>
  </w:num>
  <w:num w:numId="9" w16cid:durableId="800464959">
    <w:abstractNumId w:val="0"/>
  </w:num>
  <w:num w:numId="10" w16cid:durableId="52193608">
    <w:abstractNumId w:val="13"/>
  </w:num>
  <w:num w:numId="11" w16cid:durableId="1781335830">
    <w:abstractNumId w:val="10"/>
  </w:num>
  <w:num w:numId="12" w16cid:durableId="1081369294">
    <w:abstractNumId w:val="12"/>
  </w:num>
  <w:num w:numId="13" w16cid:durableId="958295891">
    <w:abstractNumId w:val="14"/>
  </w:num>
  <w:num w:numId="14" w16cid:durableId="1408728621">
    <w:abstractNumId w:val="9"/>
  </w:num>
  <w:num w:numId="15" w16cid:durableId="9591419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F711A"/>
    <w:rsid w:val="008E6738"/>
    <w:rsid w:val="00AA1D8D"/>
    <w:rsid w:val="00B47730"/>
    <w:rsid w:val="00C33D85"/>
    <w:rsid w:val="00CB0664"/>
    <w:rsid w:val="00FC693F"/>
    <w:rsid w:val="3378E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DB7976-8890-4F3F-A184-4899E10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33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729</Words>
  <Characters>4156</Characters>
  <Application>Microsoft Office Word</Application>
  <DocSecurity>0</DocSecurity>
  <Lines>34</Lines>
  <Paragraphs>9</Paragraphs>
  <ScaleCrop>false</ScaleCrop>
  <Manager/>
  <Company/>
  <LinksUpToDate>false</LinksUpToDate>
  <CharactersWithSpaces>4876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willson emerald</cp:lastModifiedBy>
  <cp:revision>2</cp:revision>
  <dcterms:created xsi:type="dcterms:W3CDTF">2025-09-19T09:02:00Z</dcterms:created>
  <dcterms:modified xsi:type="dcterms:W3CDTF">2025-09-19T09:02:00Z</dcterms:modified>
  <cp:category/>
</cp:coreProperties>
</file>