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94FE3"/>
          <w:sz w:val="28"/>
          <w:szCs w:val="28"/>
        </w:rPr>
        <w:t xml:space="preserve">SURICATOOS</w:t>
      </w:r>
    </w:p>
    <w:p>
      <w:pPr>
        <w:spacing w:after="40"/>
        <w:jc w:val="center"/>
      </w:pPr>
      <w:r>
        <w:rPr>
          <w:color w:val="6B7280"/>
          <w:sz w:val="22"/>
          <w:szCs w:val="22"/>
        </w:rPr>
        <w:t xml:space="preserve">Relatório Executivo</w:t>
      </w:r>
    </w:p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Avaliação de Segurança Ofensiva — ACME Corp (Web + AD)</w:t>
      </w:r>
    </w:p>
    <w:p>
      <w:pPr>
        <w:spacing w:after="320"/>
        <w:jc w:val="center"/>
      </w:pPr>
      <w:r>
        <w:rPr>
          <w:color w:val="6B7280"/>
          <w:sz w:val="18"/>
          <w:szCs w:val="18"/>
        </w:rPr>
        <w:t xml:space="preserve">6/12/2026, 3:10:27 PM</w:t>
      </w:r>
    </w:p>
    <w:p>
      <w:pPr>
        <w:pBdr>
          <w:bottom w:val="single" w:color="D1D5DB" w:sz="6" w:space="1"/>
        </w:pBdr>
        <w:spacing w:after="240"/>
      </w:pPr>
    </w:p>
    <w:p>
      <w:pPr>
        <w:pStyle w:val="Heading1"/>
        <w:spacing w:after="120" w:before="200"/>
      </w:pPr>
      <w:r>
        <w:t xml:space="preserve">Relatório Executivo</w:t>
      </w:r>
    </w:p>
    <w:p>
      <w:pPr>
        <w:pStyle w:val="Heading2"/>
        <w:spacing w:after="120" w:before="200"/>
      </w:pPr>
      <w:r>
        <w:t xml:space="preserve">4287. Avaliação de Segurança Ofensiva — ACME Corp (Web + AD)</w:t>
      </w:r>
    </w:p>
    <w:p>
      <w:pPr>
        <w:spacing w:after="120"/>
      </w:pPr>
      <w:r>
        <w:rPr>
          <w:b/>
          <w:bCs/>
        </w:rPr>
        <w:t xml:space="preserve">Data:</w:t>
      </w:r>
      <w:r>
        <w:t xml:space="preserve"> 6/12/2026, 3:10:27 PM</w:t>
      </w:r>
      <w:r>
        <w:rPr>
          <w:b/>
          <w:bCs/>
        </w:rPr>
        <w:t xml:space="preserve">Status do engajamento:</w:t>
      </w:r>
      <w:r>
        <w:t xml:space="preserve"> finished</w:t>
      </w:r>
    </w:p>
    <w:p>
      <w:pPr>
        <w:pStyle w:val="Heading2"/>
        <w:spacing w:after="120" w:before="200"/>
      </w:pPr>
      <w:r>
        <w:t xml:space="preserve">Resumo</w:t>
      </w:r>
    </w:p>
    <w:p>
      <w:pPr>
        <w:spacing w:after="120"/>
      </w:pPr>
      <w:r>
        <w:t xml:space="preserve">Engajamento autônomo conduzido pela Suricatoos, com </w:t>
      </w:r>
      <w:r>
        <w:rPr>
          <w:b/>
          <w:bCs/>
        </w:rPr>
        <w:t xml:space="preserve">6 tarefa(s)</w:t>
      </w:r>
      <w:r>
        <w:t xml:space="preserve">: 5 concluída(s), 1 com falha e 0 em andamento/pendente(s).</w:t>
      </w:r>
    </w:p>
    <w:p>
      <w:pPr>
        <w:pStyle w:val="Heading2"/>
        <w:spacing w:after="120" w:before="200"/>
      </w:pPr>
      <w:r>
        <w:t xml:space="preserve">Visão geral das tarefas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shd w:fill="194FE3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Reconhecimento e mapeamento da superfície</w:t>
            </w:r>
          </w:p>
        </w:tc>
        <w:tc>
          <w:p>
            <w:r>
              <w:t xml:space="preserve">✅ finished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Aplicação web: autenticação e controle de acesso</w:t>
            </w:r>
          </w:p>
        </w:tc>
        <w:tc>
          <w:p>
            <w:r>
              <w:t xml:space="preserve">✅ finished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Injeção e validação de entrada</w:t>
            </w:r>
          </w:p>
        </w:tc>
        <w:tc>
          <w:p>
            <w:r>
              <w:t xml:space="preserve">✅ finished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Infraestrutura interna e Active Directory</w:t>
            </w:r>
          </w:p>
        </w:tc>
        <w:tc>
          <w:p>
            <w:r>
              <w:t xml:space="preserve">✅ finished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Validação de impacto (cadeia de exploração)</w:t>
            </w:r>
          </w:p>
        </w:tc>
        <w:tc>
          <w:p>
            <w:r>
              <w:t xml:space="preserve">✅ finished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Teste de stress de camada 7 (DoS)</w:t>
            </w:r>
          </w:p>
        </w:tc>
        <w:tc>
          <w:p>
            <w:r>
              <w:t xml:space="preserve">❌ failed</w:t>
            </w:r>
          </w:p>
        </w:tc>
      </w:tr>
    </w:tbl>
    <w:p>
      <w:pPr>
        <w:pStyle w:val="Heading2"/>
        <w:spacing w:after="120" w:before="200"/>
      </w:pPr>
      <w:r>
        <w:t xml:space="preserve">Próximos passos</w:t>
      </w:r>
    </w:p>
    <w:p>
      <w:pPr>
        <w:spacing w:after="120"/>
      </w:pPr>
      <w:r>
        <w:t xml:space="preserve">Revisar os achados de maior risco, priorizar a remediação e reexecutar para validar as correções. O relatório técnico detalha cada tarefa, evidência e recomendação.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Avaliação de Segurança Ofensiva — ACME Corp (Web + AD)</dc:title>
  <dc:creator>Suricatoos</dc:creator>
  <cp:lastModifiedBy>Un-named</cp:lastModifiedBy>
  <cp:revision>1</cp:revision>
  <dcterms:created xsi:type="dcterms:W3CDTF">2026-06-12T18:10:27.952Z</dcterms:created>
  <dcterms:modified xsi:type="dcterms:W3CDTF">2026-06-12T18:10:27.952Z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