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 Stanton and Joseph Shin</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Madness Data Report</w:t>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w:t>
      </w:r>
      <w:r w:rsidDel="00000000" w:rsidR="00000000" w:rsidRPr="00000000">
        <w:rPr>
          <w:rFonts w:ascii="Times New Roman" w:cs="Times New Roman" w:eastAsia="Times New Roman" w:hAnsi="Times New Roman"/>
          <w:sz w:val="24"/>
          <w:szCs w:val="24"/>
          <w:rtl w:val="0"/>
        </w:rPr>
        <w:t xml:space="preserve"> core dataset being used for our project is from Kaggle and is entitled “</w:t>
      </w:r>
      <w:r w:rsidDel="00000000" w:rsidR="00000000" w:rsidRPr="00000000">
        <w:rPr>
          <w:rFonts w:ascii="Times New Roman" w:cs="Times New Roman" w:eastAsia="Times New Roman" w:hAnsi="Times New Roman"/>
          <w:sz w:val="24"/>
          <w:szCs w:val="24"/>
          <w:rtl w:val="0"/>
        </w:rPr>
        <w:t xml:space="preserve">March Madness Historical DataSet (2002 to 2025).” The data is sourced from KenPom, which is the leading advanced college basketball data and analytics system used by hundreds of college coaches and media personalities across the country. The following two citations, in IEEE style, will be used: one for the Kaggle dataset itself and one for the original KenPom data from which the Kaggle dataset was obtained.</w:t>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following are the sources of our datasets which were accessed through Kaggle’s website.</w:t>
        <w:br w:type="textWrapping"/>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Pilafas, “2024 March Madness Statistical Analysis,” Kaggle, 2025. [Online]. Available: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https://www.kaggle.com/datasets/jonathanpilafas/2024-march-madness-statistical-analysis</w:t>
        </w:r>
      </w:hyperlink>
      <w:r w:rsidDel="00000000" w:rsidR="00000000" w:rsidRPr="00000000">
        <w:rPr>
          <w:rFonts w:ascii="Times New Roman" w:cs="Times New Roman" w:eastAsia="Times New Roman" w:hAnsi="Times New Roman"/>
          <w:sz w:val="24"/>
          <w:szCs w:val="24"/>
          <w:rtl w:val="0"/>
        </w:rPr>
        <w:t xml:space="preserve">. [Accessed: Feb. 25, 2026].</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Pomeroy, “KenPom College Basketball Ratings,” KenPom.com. [Online]. Available: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https://kenpom.com</w:t>
        </w:r>
      </w:hyperlink>
      <w:r w:rsidDel="00000000" w:rsidR="00000000" w:rsidRPr="00000000">
        <w:rPr>
          <w:rFonts w:ascii="Times New Roman" w:cs="Times New Roman" w:eastAsia="Times New Roman" w:hAnsi="Times New Roman"/>
          <w:sz w:val="24"/>
          <w:szCs w:val="24"/>
          <w:rtl w:val="0"/>
        </w:rPr>
        <w:t xml:space="preserve">. [Accessed: Feb. 25, 2026].</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dataset contains data for every college basketball team for each season from 2002 to 2025. Teams that joined Division I between 2002 and 2025 (for example, Abilene Christian in 2013) only have data from the season they joined onward. For each team/year entry, the dataset contains 163 columns that include quantitative and qualitative information about that college basketball team for that year. Most of the columns give basketball data such as field goal percentage, average defensive possession length, and raw offensive efficiency rank. The remaining data is either information about the players on the (average height, experience, etc.) or about the team’s NCAA Tournament appearance (region, seed, final four appearance), or lack thereof. </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The core dataset (March Madness - Kaggle) does not contain any personal information or sensitive data that requires protection. It is widely available and accessible on the internet and acquisition of the data is simple and free.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table with our dataset and the particular columns we are utilizing can be found here:</w:t>
      </w:r>
    </w:p>
    <w:p w:rsidR="00000000" w:rsidDel="00000000" w:rsidP="00000000" w:rsidRDefault="00000000" w:rsidRPr="00000000" w14:paraId="0000000F">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https://docs.google.com/spreadsheets/d/1Crv-RGBKl9_Lx4o72rF0DcxbOz-cVG6EmgNZ_LhWsg8/edit?usp=sharing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Most of our data is fairly straight-forward, but there are a few things that are surprising/not as clear. One example being that almost 20% of our entries are missing data in the “AvgHeight” column, which is surprising due to the abundance of height data for college basketball players and the simplicity of the column in comparison to more complicated statistics such as “Adjusted Offensive Efficiency” or “Opponent Assist Rate.” Another slightly surprising fact derived from our table is that almost all of the “rank” columns, such as “RankOppFG2Pct” and “RankStlRate” had mode percentage values very close to 0.3. This is certainly something that should be explored further.</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Most of the columns that we play to use for our project are not missing any values, but there are a few key exceptions. The following columns are missing some number of values: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AvgHeight</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Pre-Tournament.Tempo </w:t>
      </w:r>
    </w:p>
    <w:p w:rsidR="00000000" w:rsidDel="00000000" w:rsidP="00000000" w:rsidRDefault="00000000" w:rsidRPr="00000000" w14:paraId="0000001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Pre-Tournament.AdjTempo </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Pre-Tournament.OE</w:t>
        </w:r>
      </w:hyperlink>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Pre-Tournament.DE</w:t>
        </w:r>
      </w:hyperlink>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most part, we plan to impute these values to make up for the missing data. For “AvgHeight,” we will impute the missing value with the median “AvgHeight” value for the given school over the past 5 years, assuming that a given team’s average height will not drastically change year over year, as many players will return and teams usually bring in players of similar heights. This will not be perfect, but it will likely give us a good estimate. For the other four columns that are missing data, we will impute the missing values based on the median value for that column for the given school over the past 10 years. This is due to the fact that these are stats more related to basketball and may spike year over year, based on how good a team is. Taking a longer average to impute will help protect against outliers.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Similarly, most of our columns will not need to be transformed or augmented, with a few exceptions. The “Short Conference Name” column came as an “object” data type, but will be transformed into a string. This will be relatively straightforward as the values in each object are strings such as “A10” or “ACC.” The same is the case with the “Mapped Conference Name” and “Mapped ESPN Team Name” columns, as they are both also objects that need to be converted into strings. The “Seed” column, currently an object, will be converted into an integer, where the integer will represent which seed the team was in the NCAA Tournament. If the team did not make the tournament that year, their value will be -1, which is a magic value representing a failure to appear in the tournament. This is done to create the ordinal effect of the data, allowing the “Seed” column to represent a meaningful ranking where higher seeds have a lower value than lower seeds. The final four columns that will be transformed are “Tournament Winner?”, “Tournament Championship?”, “Final Four?”, and “Top 12 in AP Top 25 During Week 6?” All these columns are currently objects storing “Yes” or “No,” and will thus be transformed into binary integer columns, storing 1s to represent “Yes” and 0s to represent “No.” Otherwise, all of our data is Ordinal/Numeric, and will not need to be transformed or augmented in any form.</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All of the plots created were created prior to the final transformations/augmentations as a part of the exploratory data analysis process. The graphs below visualize variables and combination of variables that we thought were the most interesting or useful. The first one plots a teams offensive vs. defensive efficiency (adjusted) and recognizes the tournament champions on the top right indicating both high offensive and defensive efficiency. The next plot shows the 3pt rate over time indicating that modern teams tend to prioritize 3pt shot percentages and players. The next plot shows each seed’s adjustedEM. The plot confirms that higher seeds usually perform better than lower seeds. The next plot is a correlation matrix between various performance metrics to reveal underlying relationships within the data. The next plot shows the distribution of appearances in the final four based on seed. Not surprisingly, the first overall seed has the highest representation in the final four.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00663" cy="4059066"/>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00663" cy="405906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05463" cy="273474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05463" cy="273474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01900"/>
            <wp:effectExtent b="0" l="0" r="0" t="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38788" cy="4731048"/>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538788" cy="473104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384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sectPr>
      <w:head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pre-tournament.oe" TargetMode="External"/><Relationship Id="rId10" Type="http://schemas.openxmlformats.org/officeDocument/2006/relationships/hyperlink" Target="https://docs.google.com/spreadsheets/d/1Crv-RGBKl9_Lx4o72rF0DcxbOz-cVG6EmgNZ_LhWsg8/edit?usp=sharing" TargetMode="External"/><Relationship Id="rId13" Type="http://schemas.openxmlformats.org/officeDocument/2006/relationships/image" Target="media/image5.png"/><Relationship Id="rId12" Type="http://schemas.openxmlformats.org/officeDocument/2006/relationships/hyperlink" Target="http://pre-tournament.d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enpom.com" TargetMode="External"/><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kaggle.com/datasets/jonathanpilafas/2024-march-madness-statistical-analysis" TargetMode="External"/><Relationship Id="rId18" Type="http://schemas.openxmlformats.org/officeDocument/2006/relationships/header" Target="header1.xml"/><Relationship Id="rId7" Type="http://schemas.openxmlformats.org/officeDocument/2006/relationships/hyperlink" Target="https://www.kaggle.com/datasets/jonathanpilafas/2024-march-madness-statistical-analysis" TargetMode="External"/><Relationship Id="rId8" Type="http://schemas.openxmlformats.org/officeDocument/2006/relationships/hyperlink" Target="https://kenpo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