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9" w:name="structure"/>
    <w:p>
      <w:pPr>
        <w:pStyle w:val="Heading4"/>
      </w:pPr>
      <w:r>
        <w:t xml:space="preserve">Structure</w:t>
      </w:r>
    </w:p>
    <w:p>
      <w:pPr>
        <w:pStyle w:val="FirstParagraph"/>
      </w:pPr>
      <w:r>
        <w:t xml:space="preserve">(William Tiu)</w:t>
      </w:r>
      <w:r>
        <w:t xml:space="preserve"> </w:t>
      </w:r>
      <w:r>
        <w:t xml:space="preserve">(Laurance </w:t>
      </w:r>
      <w:r>
        <w:rPr>
          <w:rFonts w:hint="eastAsia"/>
        </w:rPr>
        <w:t xml:space="preserve">林)</w:t>
      </w:r>
      <w:r>
        <w:t xml:space="preserve"> </w:t>
      </w:r>
      <w:r>
        <w:t xml:space="preserve">(</w:t>
      </w:r>
      <w:r>
        <w:rPr>
          <w:rFonts w:hint="eastAsia"/>
        </w:rPr>
        <w:t xml:space="preserve">@成友</w:t>
      </w:r>
      <w:r>
        <w:t xml:space="preserve">)</w:t>
      </w:r>
      <w:r>
        <w:t xml:space="preserve"> </w:t>
      </w:r>
      <w:r>
        <w:t xml:space="preserve">(</w:t>
      </w:r>
      <w:r>
        <w:rPr>
          <w:rFonts w:hint="eastAsia"/>
        </w:rPr>
        <w:t xml:space="preserve">@哥斯拉</w:t>
      </w:r>
      <w:r>
        <w:t xml:space="preserve">🦕)</w:t>
      </w:r>
      <w:r>
        <w:t xml:space="preserve"> </w:t>
      </w:r>
      <w:r>
        <w:t xml:space="preserve">(</w:t>
      </w:r>
      <w:r>
        <w:t xml:space="preserve">@Tracy</w:t>
      </w:r>
      <w:r>
        <w:t xml:space="preserve">)</w:t>
      </w:r>
    </w:p>
    <w:p>
      <w:pPr>
        <w:pStyle w:val="BodyText"/>
      </w:pPr>
      <w:r>
        <w:t xml:space="preserve">Abstract</w:t>
      </w:r>
      <w:r>
        <w:t xml:space="preserve"> </w:t>
      </w:r>
      <w:r>
        <w:t xml:space="preserve">Introduction and background (Laurance </w:t>
      </w:r>
      <w:r>
        <w:rPr>
          <w:rFonts w:hint="eastAsia"/>
        </w:rPr>
        <w:t xml:space="preserve">林)</w:t>
      </w:r>
      <w:r>
        <w:t xml:space="preserve"> </w:t>
      </w:r>
      <w:r>
        <w:t xml:space="preserve">Market research (Laurance </w:t>
      </w:r>
      <w:r>
        <w:rPr>
          <w:rFonts w:hint="eastAsia"/>
        </w:rPr>
        <w:t xml:space="preserve">林)</w:t>
      </w:r>
      <w:r>
        <w:t xml:space="preserve"> </w:t>
      </w:r>
      <w:r>
        <w:t xml:space="preserve">Business model (Laurance </w:t>
      </w:r>
      <w:r>
        <w:rPr>
          <w:rFonts w:hint="eastAsia"/>
        </w:rPr>
        <w:t xml:space="preserve">林)</w:t>
      </w:r>
      <w:r>
        <w:t xml:space="preserve"> </w:t>
      </w:r>
      <w:r>
        <w:t xml:space="preserve">Key algo/model (Laurance </w:t>
      </w:r>
      <w:r>
        <w:rPr>
          <w:rFonts w:hint="eastAsia"/>
        </w:rPr>
        <w:t xml:space="preserve">林)/</w:t>
      </w:r>
      <w:r>
        <w:t xml:space="preserve"> (</w:t>
      </w:r>
      <w:r>
        <w:rPr>
          <w:rFonts w:hint="eastAsia"/>
        </w:rPr>
        <w:t xml:space="preserve">@成友</w:t>
      </w:r>
      <w:r>
        <w:t xml:space="preserve">)</w:t>
      </w:r>
      <w:r>
        <w:t xml:space="preserve"> </w:t>
      </w:r>
      <w:r>
        <w:t xml:space="preserve">System Architecture (</w:t>
      </w:r>
      <w:r>
        <w:rPr>
          <w:rFonts w:hint="eastAsia"/>
        </w:rPr>
        <w:t xml:space="preserve">@成友</w:t>
      </w:r>
      <w:r>
        <w:t xml:space="preserve">)</w:t>
      </w:r>
      <w:r>
        <w:t xml:space="preserve"> </w:t>
      </w:r>
      <w:r>
        <w:t xml:space="preserve">Workflow (</w:t>
      </w:r>
      <w:r>
        <w:rPr>
          <w:rFonts w:hint="eastAsia"/>
        </w:rPr>
        <w:t xml:space="preserve">@哥斯拉</w:t>
      </w:r>
      <w:r>
        <w:t xml:space="preserve">🦕)</w:t>
      </w:r>
      <w:r>
        <w:t xml:space="preserve"> </w:t>
      </w:r>
      <w:r>
        <w:t xml:space="preserve">UI/UX design (</w:t>
      </w:r>
      <w:r>
        <w:rPr>
          <w:rFonts w:hint="eastAsia"/>
        </w:rPr>
        <w:t xml:space="preserve">@哥斯拉</w:t>
      </w:r>
      <w:r>
        <w:t xml:space="preserve">🦕)</w:t>
      </w:r>
      <w:r>
        <w:t xml:space="preserve"> </w:t>
      </w:r>
      <w:r>
        <w:t xml:space="preserve">Backend (</w:t>
      </w:r>
      <w:r>
        <w:rPr>
          <w:rFonts w:hint="eastAsia"/>
        </w:rPr>
        <w:t xml:space="preserve">@成友</w:t>
      </w:r>
      <w:r>
        <w:t xml:space="preserve">)</w:t>
      </w:r>
      <w:r>
        <w:t xml:space="preserve"> </w:t>
      </w:r>
      <w:r>
        <w:t xml:space="preserve">database (</w:t>
      </w:r>
      <w:r>
        <w:t xml:space="preserve">@Tracy</w:t>
      </w:r>
      <w:r>
        <w:t xml:space="preserve">)</w:t>
      </w:r>
      <w:r>
        <w:t xml:space="preserve"> </w:t>
      </w:r>
      <w:r>
        <w:t xml:space="preserve">Software QA Test (</w:t>
      </w:r>
      <w:r>
        <w:t xml:space="preserve">@Tracy</w:t>
      </w:r>
      <w:r>
        <w:t xml:space="preserve">)</w:t>
      </w:r>
      <w:r>
        <w:t xml:space="preserve"> </w:t>
      </w:r>
      <w:r>
        <w:t xml:space="preserve">It security and compliance (William Tiu)</w:t>
      </w:r>
      <w:r>
        <w:t xml:space="preserve"> </w:t>
      </w:r>
      <w:r>
        <w:t xml:space="preserve">Limitations &amp; Future Work (William Tiu)</w:t>
      </w:r>
      <w:r>
        <w:t xml:space="preserve"> </w:t>
      </w:r>
      <w:r>
        <w:t xml:space="preserve">Team and workduiabltion (Team and work distribution) (William Tiu)</w:t>
      </w:r>
    </w:p>
    <w:p>
      <w:r>
        <w:pict>
          <v:rect style="width:0;height:1.5pt" o:hralign="center" o:hrstd="t" o:hr="t"/>
        </w:pict>
      </w:r>
    </w:p>
    <w:bookmarkEnd w:id="9"/>
    <w:bookmarkStart w:id="10" w:name="abstract"/>
    <w:p>
      <w:pPr>
        <w:pStyle w:val="Heading2"/>
      </w:pPr>
      <w:r>
        <w:t xml:space="preserve">Abstract</w:t>
      </w:r>
    </w:p>
    <w:p>
      <w:pPr>
        <w:pStyle w:val="FirstParagraph"/>
      </w:pPr>
      <w:r>
        <w:t xml:space="preserve">DecoFinance represents a paradigm-shifting, multi-role B2B2C FinTech ecosystem engineered to resolve the deeply ingrained systemic trust deficits and persistent financing gaps crippling the Hong Kong renovation and interior design market. For decades, the local renovation industry has been characterized by profound information asymmetry, archaic contracting norms, and a complete absence of standardized, institutionalized financial protections. Consumers are routinely subjected to exorbitant upfront capital demands—often ranging from 30% to 40% of the total project valuation—exposing them to the catastrophic financial risk colloquially known as</w:t>
      </w:r>
      <w:r>
        <w:t xml:space="preserve"> </w:t>
      </w:r>
      <w:r>
        <w:t xml:space="preserve">“abandoned projects”</w:t>
      </w:r>
      <w:r>
        <w:t xml:space="preserve"> </w:t>
      </w:r>
      <w:r>
        <w:rPr>
          <w:rFonts w:hint="eastAsia"/>
        </w:rPr>
        <w:t xml:space="preserve">(爛尾裝修),</w:t>
      </w:r>
      <w:r>
        <w:t xml:space="preserve"> where contractors misallocate funds or enter insolvency prior to project completion. Conversely, Small-to-Medium Enterprise (SME) renovation contractors endure suffocating cash-flow bottlenecks. Tasked with procuring raw materials and dispatching labor prior to subsequent milestone payouts, these SMEs require bridging capital. However, traditional financial institutions (commercial banks) systematically reject SME loan applications due to the inherent volatility of construction projects, the absence of physical collateral, and the SMEs’ inability to provide multi-year, CPA-audited financial statements.</w:t>
      </w:r>
    </w:p>
    <w:p>
      <w:pPr>
        <w:pStyle w:val="BodyText"/>
      </w:pPr>
      <w:r>
        <w:t xml:space="preserve">DecoFinance resolves this dual-sided market failure by interposing a deterministic, immutable software layer between the consumer and the contractor. By mathematically synthesizing a proprietary 4-Dimensional Trust Scoring engine with a secure, milestone-gated Escrow Ledger, the system functions as an algorithmic intermediary. For consumers, the platform entirely eliminates the risk of capital loss by securely sequestering deposits within an application-layer state machine. Funds are irrevocably locked and only disbursed conditionally upon the mutual verification of pre-defined construction milestones. For SME contractors, the platform transforms their platform-native operational actions into a verifiable credit history. By tracking milestone completion velocities, parsing regulatory compliance documents (ESG/OSH), and analyzing customer satisfaction matrices, DecoFinance generates a dynamic Trust Score. This mathematically derived parametric score subsequently underwrites short-term material procurement loans directly originated or packaged by the platform, solving the SME cash-flow crisis without exposing lenders to blind, unquantifiable risk.</w:t>
      </w:r>
    </w:p>
    <w:p>
      <w:pPr>
        <w:pStyle w:val="BodyText"/>
      </w:pPr>
      <w:r>
        <w:t xml:space="preserve">Architecturally, DecoFinance is deployed utilizing a highly decoupled, modern tech stack optimized for immediate transactional security, high scalability, and strict maintainability. The presentation layer utilizes a hybrid approach: Python’s Flask framework combined with Server-Side Rendered (SSR) Jinja2 templates powers public-facing endpoints, ensuring robust SEO capability and rapid initial content paints. Concurrently, a decoupled React.js (Vite) Single Page Application (SPA) drives the highly interactive, state-heavy dashboards required for deep data visualization, complex document uploads, and multi-step escrow interactions. Operating as the API Gateway, the Flask backend implements strict RESTful principles via Blueprints, isolating business logic into distinct sub-modules. Core business intelligence, particularly the algorithmic scoring and ledger transitions, is abstracted into dedicated service layers (</w:t>
      </w:r>
      <w:r>
        <w:rPr>
          <w:rStyle w:val="VerbatimChar"/>
        </w:rPr>
        <w:t xml:space="preserve">services/credit_scorer.py</w:t>
      </w:r>
      <w:r>
        <w:t xml:space="preserve"> </w:t>
      </w:r>
      <w:r>
        <w:t xml:space="preserve">and</w:t>
      </w:r>
      <w:r>
        <w:t xml:space="preserve"> </w:t>
      </w:r>
      <w:r>
        <w:rPr>
          <w:rStyle w:val="VerbatimChar"/>
        </w:rPr>
        <w:t xml:space="preserve">services/loan_manager.py</w:t>
      </w:r>
      <w:r>
        <w:t xml:space="preserve">). Secure persistence is guaranteed through an SQLite database architected utilizing the SQLAlchemy Object-Relational Mapper (ORM), explicitly preventing SQL injection vulnerabilities while managing complex JSON-based URL arrays. Data validation, user identity verification (utilizing JWT and cryptographic sessions), and fine-grained Role-Based Access Control (RBAC) establish the foundation of internal security architectures, ensuring that no user can mutate a financial state without explicit cryptographic authorization. This rigorous adherence to the Principle of Least Privilege positions DecoFinance as a compliant, enterprise-grade precursor ready for future decentralization via Web3 blockchain technologies.</w:t>
      </w:r>
    </w:p>
    <w:bookmarkEnd w:id="10"/>
    <w:bookmarkStart w:id="11" w:name="introduction-and-background"/>
    <w:p>
      <w:pPr>
        <w:pStyle w:val="Heading2"/>
      </w:pPr>
      <w:r>
        <w:t xml:space="preserve">Introduction and Background</w:t>
      </w:r>
    </w:p>
    <w:p>
      <w:pPr>
        <w:pStyle w:val="FirstParagraph"/>
      </w:pPr>
      <w:r>
        <w:t xml:space="preserve">The fundamental context of the Hong Kong renovation and remodeling industry highlights a persistent, multi-decade structural inefficiency. Despite the sheer volume of capital transacted annually—largely driven by the city’s robust real estate velocity and high property valuations—the renovation sector remains shockingly fragmented, under-digitized, and entirely reliant on informal, bilateral contracting. The consumer journey is fraught with generalized anxiety and acute financial vulnerability. For the average household, comprehensive remodeling represents the second largest singular expenditure in their lifetime, subordinate only to the initial real estate purchase itself. Yet, the contracting norms governing these transactions lack the most basic institutional safeguards typically associated with high-value capital transfers.</w:t>
      </w:r>
    </w:p>
    <w:p>
      <w:pPr>
        <w:pStyle w:val="BodyText"/>
      </w:pPr>
      <w:r>
        <w:t xml:space="preserve">The standard operational procedure within the market dictates that contractors require massive upfront capital injections before procuring raw materials or initiating preliminary demolitions. It is standard practice to demand 30% to 40% of the gross contract value unconditionally upfront. The behavioral economics driving this norm point directly to the contractor’s chronic undercapitalization. However, from the consumer’s perspective, this bilateral flow of funds represents an unmitigated, unsecured risk. Without a formal institutional guarantor or an independent escrow entity holding the funds, the consumer effectively becomes an unsecured, subordinate creditor to an SME. Should the SME become insolvent, intentionally misallocate funds to cover previous project deficits (a classic Ponzi-structure cascading failure), or simply act maliciously, the consumer experiences a total financial loss. This systemic failure results in the phenomenon of</w:t>
      </w:r>
      <w:r>
        <w:t xml:space="preserve"> </w:t>
      </w:r>
      <w:r>
        <w:t xml:space="preserve">“abandoned projects”</w:t>
      </w:r>
      <w:r>
        <w:t xml:space="preserve"> </w:t>
      </w:r>
      <w:r>
        <w:rPr>
          <w:rFonts w:hint="eastAsia"/>
        </w:rPr>
        <w:t xml:space="preserve">(爛尾樓),</w:t>
      </w:r>
      <w:r>
        <w:t xml:space="preserve"> which not only devastates individual households but also continuously degrades the aggregate reputation of the entire industry.</w:t>
      </w:r>
    </w:p>
    <w:p>
      <w:pPr>
        <w:pStyle w:val="BodyText"/>
      </w:pPr>
      <w:r>
        <w:t xml:space="preserve">Conversely, the contractor’s reality is equally perilous and structurally constrained. Operating as SMEs in a highly competitive, low-margin environment, renovation companies face grueling cash-flow constraints. They suffer from the classic</w:t>
      </w:r>
      <w:r>
        <w:t xml:space="preserve"> </w:t>
      </w:r>
      <w:r>
        <w:t xml:space="preserve">“credit gap”</w:t>
      </w:r>
      <w:r>
        <w:t xml:space="preserve">: traditional lending institutions, strictly bound by Basel III capital requirements and rigid, legacy risk models, mandate hard collateral, multi-year operational profitability, and rigorously audited tax filings to extend operating credit lines. Renovation SMEs, which often operate on cash-basis accounting to minimize tax liabilities and lack robust collateral, are subsequently redlined by commercial banks. They completely lack bridging capital. Without substantial upfront payments from the consumer, they literally cannot afford the initial outlay for cement, timber, electrical components, and subcontractor labor. This forces them to demand exorbitant deposits, thereby perpetuating the cycle of consumer risk.</w:t>
      </w:r>
    </w:p>
    <w:p>
      <w:pPr>
        <w:pStyle w:val="BodyText"/>
      </w:pPr>
      <w:r>
        <w:t xml:space="preserve">DecoFinance is engineered specifically to shatter this deadlock by acting as a highly trustworthy, impartial third-party mediator executing pre-programmed logical rules (simulated smart contracts). The primary strategic objectives of the platform are three-fold:</w:t>
      </w:r>
      <w:r>
        <w:t xml:space="preserve"> </w:t>
      </w:r>
      <w:r>
        <w:t xml:space="preserve">1.</w:t>
      </w:r>
      <w:r>
        <w:t xml:space="preserve"> </w:t>
      </w:r>
      <w:r>
        <w:rPr>
          <w:b/>
          <w:bCs/>
        </w:rPr>
        <w:t xml:space="preserve">To entirely eliminate consumer liquidity risk:</w:t>
      </w:r>
      <w:r>
        <w:t xml:space="preserve"> </w:t>
      </w:r>
      <w:r>
        <w:t xml:space="preserve">By holding consumer funds in a highly secure, simulated Escrow state layer, the risk of total loss is effectively reduced to zero. Capital is transferred to the contractor only proportionally to verified, completed work.</w:t>
      </w:r>
      <w:r>
        <w:t xml:space="preserve"> </w:t>
      </w:r>
      <w:r>
        <w:t xml:space="preserve">2.</w:t>
      </w:r>
      <w:r>
        <w:t xml:space="preserve"> </w:t>
      </w:r>
      <w:r>
        <w:rPr>
          <w:b/>
          <w:bCs/>
        </w:rPr>
        <w:t xml:space="preserve">To unlock alternative, data-driven SME financing:</w:t>
      </w:r>
      <w:r>
        <w:t xml:space="preserve"> </w:t>
      </w:r>
      <w:r>
        <w:t xml:space="preserve">By observing actual, verified platform behaviors, DecoFinance creates an internal, dynamic ledger of trust. As a contractor demonstrably finishes projects on time, complies with environmental standards, and achieves high customer ratings, the DecoFinance algorithmic credit scoring engine upgrades their proprietary rating. This rating is then leveraged to underwrite institutional margin-based loans, effectively replacing historical CPA audits with real-time operational data.</w:t>
      </w:r>
      <w:r>
        <w:t xml:space="preserve"> </w:t>
      </w:r>
      <w:r>
        <w:t xml:space="preserve">3.</w:t>
      </w:r>
      <w:r>
        <w:t xml:space="preserve"> </w:t>
      </w:r>
      <w:r>
        <w:rPr>
          <w:b/>
          <w:bCs/>
        </w:rPr>
        <w:t xml:space="preserve">To automate compliance and enforce structural transparency:</w:t>
      </w:r>
      <w:r>
        <w:t xml:space="preserve"> </w:t>
      </w:r>
      <w:r>
        <w:t xml:space="preserve">By mandating the upload and validation of ESG (Environmental, Social, and Corporate Governance) and OSH (Occupational Safety and Health) documentation within the onboarding logic, DecoFinance elevates overall market standards proactively, rewarding compliant companies with increased platform visibility and lower lending rates.</w:t>
      </w:r>
    </w:p>
    <w:bookmarkEnd w:id="11"/>
    <w:bookmarkStart w:id="14" w:name="market-research"/>
    <w:p>
      <w:pPr>
        <w:pStyle w:val="Heading2"/>
      </w:pPr>
      <w:r>
        <w:t xml:space="preserve">Market Research</w:t>
      </w:r>
    </w:p>
    <w:p>
      <w:pPr>
        <w:pStyle w:val="FirstParagraph"/>
      </w:pPr>
      <w:r>
        <w:t xml:space="preserve">The addressable market for renovation, interior design, and remodeling services in Hong Kong represents a multi-billion dollar (HKD) economic segment that continues to operate almost entirely offline and peer-to-peer. Synthesizing recent statistical reports published by the Hong Kong Consumer Council reveals an alarming and persistent trend: decoration and renovation-related complaints rank disproportionately high year over year across all measured sectors. In recent reporting cycles, the Council has registered thousands of severe disputes, frequently accounting for tens to hundreds of millions in aggregate claimed financial damages. The taxonomy of these complaints predominantly identifies three distinct vectors of failure:</w:t>
      </w:r>
      <w:r>
        <w:t xml:space="preserve"> </w:t>
      </w:r>
      <w:r>
        <w:t xml:space="preserve">-</w:t>
      </w:r>
      <w:r>
        <w:t xml:space="preserve"> </w:t>
      </w:r>
      <w:r>
        <w:rPr>
          <w:b/>
          <w:bCs/>
        </w:rPr>
        <w:t xml:space="preserve">Substandard Craftsmanship and Material Substitution:</w:t>
      </w:r>
      <w:r>
        <w:t xml:space="preserve"> </w:t>
      </w:r>
      <w:r>
        <w:t xml:space="preserve">Contractors utilizing lower-grade materials than stipulated in the contract, or executing work that deviates wildly from initially agreed-upon design schematics and blueprints.</w:t>
      </w:r>
      <w:r>
        <w:t xml:space="preserve"> </w:t>
      </w:r>
      <w:r>
        <w:t xml:space="preserve">-</w:t>
      </w:r>
      <w:r>
        <w:t xml:space="preserve"> </w:t>
      </w:r>
      <w:r>
        <w:rPr>
          <w:b/>
          <w:bCs/>
        </w:rPr>
        <w:t xml:space="preserve">Unjustified Project Delays:</w:t>
      </w:r>
      <w:r>
        <w:t xml:space="preserve"> </w:t>
      </w:r>
      <w:r>
        <w:t xml:space="preserve">Contractors abandoning active sites for weeks to execute parallel jobs, thereby missing contractual milestones and causing extreme logistical distress to homeowners waiting to move in.</w:t>
      </w:r>
      <w:r>
        <w:t xml:space="preserve"> </w:t>
      </w:r>
      <w:r>
        <w:t xml:space="preserve">-</w:t>
      </w:r>
      <w:r>
        <w:t xml:space="preserve"> </w:t>
      </w:r>
      <w:r>
        <w:rPr>
          <w:b/>
          <w:bCs/>
        </w:rPr>
        <w:t xml:space="preserve">Complete Contractor Abandonment:</w:t>
      </w:r>
      <w:r>
        <w:t xml:space="preserve"> </w:t>
      </w:r>
      <w:r>
        <w:t xml:space="preserve">The most financially devastating outcome, wherein the contractor collects the upfront deposits and subsequent progress payments, and then completely vanishes or declares bankruptcy, resulting in total capital forfeiture for the consumer.</w:t>
      </w:r>
    </w:p>
    <w:bookmarkStart w:id="12" w:name="target-audience-segmentation"/>
    <w:p>
      <w:pPr>
        <w:pStyle w:val="Heading3"/>
      </w:pPr>
      <w:r>
        <w:t xml:space="preserve">Target Audience Segmentation</w:t>
      </w:r>
    </w:p>
    <w:p>
      <w:pPr>
        <w:pStyle w:val="FirstParagraph"/>
      </w:pPr>
      <w:r>
        <w:rPr>
          <w:b/>
          <w:bCs/>
        </w:rPr>
        <w:t xml:space="preserve">The B2C (Business-to-Consumer) Segment:</w:t>
      </w:r>
      <w:r>
        <w:t xml:space="preserve"> </w:t>
      </w:r>
      <w:r>
        <w:t xml:space="preserve">This demographic constitutes new property owners, real estate investors, and existing tenants requiring extensive refurbishments. This audience commands high liquidity but possesses severely limited domain knowledge regarding construction protocols, safety requirements (such as checking for OSH officers), or legal contractual obligations (e.g., the necessity of Minor Works Permits issued by the Buildings Department). Their primary psychological driver during the contracting phase is severe risk aversion, coupled with a desire for transparency, communication, and financial security. They are highly willing to utilize an intermediary if it absolutely guarantees their capital against fraud.</w:t>
      </w:r>
    </w:p>
    <w:p>
      <w:pPr>
        <w:pStyle w:val="BodyText"/>
      </w:pPr>
      <w:r>
        <w:rPr>
          <w:b/>
          <w:bCs/>
        </w:rPr>
        <w:t xml:space="preserve">The B2B (Business-to-Business) Segment:</w:t>
      </w:r>
      <w:r>
        <w:t xml:space="preserve"> </w:t>
      </w:r>
      <w:r>
        <w:t xml:space="preserve">This audience comprises thousands of localized SME renovation companies, boutique interior design firms, and specialized sub-contracting syndicates (e.g., dedicated waterproofing or electrical teams). Their day-to-day operational friction revolves around intense working capital constraints, severe logistical delays in material procurement due to cash deficits, and high client acquisition costs. For these SMEs, an platform that not only provides an influx of verified, funded projects but also offers instant, algorithmically approved material loans is an unprecedented operational advantage. They are highly incentivized to maintain excellent standing on the platform because their ongoing liquidity depends upon their Trust Score.</w:t>
      </w:r>
    </w:p>
    <w:bookmarkEnd w:id="12"/>
    <w:bookmarkStart w:id="13" w:name="Xe992aa2c7fb077de2ed5a4c9a566e29d53b1c51"/>
    <w:p>
      <w:pPr>
        <w:pStyle w:val="Heading3"/>
      </w:pPr>
      <w:r>
        <w:t xml:space="preserve">Competitive Landscape &amp; Strategic Advantage</w:t>
      </w:r>
    </w:p>
    <w:p>
      <w:pPr>
        <w:pStyle w:val="FirstParagraph"/>
      </w:pPr>
      <w:r>
        <w:t xml:space="preserve">Historically, the market features fragmented competition ranging from localized digital matchmaking directories to informal referral networks (e.g., hyper-local Facebook groups and WhatsApp circles).</w:t>
      </w:r>
      <w:r>
        <w:t xml:space="preserve"> </w:t>
      </w:r>
      <w:r>
        <w:t xml:space="preserve">-</w:t>
      </w:r>
      <w:r>
        <w:t xml:space="preserve"> </w:t>
      </w:r>
      <w:r>
        <w:rPr>
          <w:b/>
          <w:bCs/>
        </w:rPr>
        <w:t xml:space="preserve">Matchmaking Directories (e.g., HelloToby, diverse Decoration platforms):</w:t>
      </w:r>
      <w:r>
        <w:t xml:space="preserve"> </w:t>
      </w:r>
      <w:r>
        <w:t xml:space="preserve">These entities operate exclusively at the top of the funnel. They connect users to firms and provide static, often unverified review aggregation. However, their involvement abruptly terminates at the referral stage. They do not handle funds, do not structure the contract, and effectively abandon the consumer once the agreement is signed. They offer zero financial protection.</w:t>
      </w:r>
      <w:r>
        <w:t xml:space="preserve"> </w:t>
      </w:r>
      <w:r>
        <w:t xml:space="preserve">-</w:t>
      </w:r>
      <w:r>
        <w:t xml:space="preserve"> </w:t>
      </w:r>
      <w:r>
        <w:rPr>
          <w:b/>
          <w:bCs/>
        </w:rPr>
        <w:t xml:space="preserve">Traditional Banking Institutions:</w:t>
      </w:r>
      <w:r>
        <w:t xml:space="preserve"> </w:t>
      </w:r>
      <w:r>
        <w:t xml:space="preserve">These banks offer relatively high-interest unsecured personal loans to consumers for decoration purposes, but they categorically refuse to extend operating credit lines or invoice factoring to SME contractors due to the aforementioned lack of multi-year audited financial data.</w:t>
      </w:r>
    </w:p>
    <w:p>
      <w:pPr>
        <w:pStyle w:val="BodyText"/>
      </w:pPr>
      <w:r>
        <w:rPr>
          <w:b/>
          <w:bCs/>
        </w:rPr>
        <w:t xml:space="preserve">The DecoFinance Strategic Moat:</w:t>
      </w:r>
      <w:r>
        <w:t xml:space="preserve"> </w:t>
      </w:r>
      <w:r>
        <w:t xml:space="preserve">DecoFinance distinguishes itself completely by transcending the superficial matchmaking layer and operating as a full-stack FinTech infrastructure ecosystem. DecoFinance’s ultimate competitive moat lies in its</w:t>
      </w:r>
      <w:r>
        <w:t xml:space="preserve"> </w:t>
      </w:r>
      <w:r>
        <w:rPr>
          <w:b/>
          <w:bCs/>
        </w:rPr>
        <w:t xml:space="preserve">Data Integration and Transaction Execution Authority</w:t>
      </w:r>
      <w:r>
        <w:t xml:space="preserve">. Because the platform exclusively controls the Escrow Ledger and algorithmically dictates the fund release cycle based on verifiable milestone approvals, it practically guarantees loan repayment. The system executes automatic, programmatic split payouts (e.g., 40% to repay the loan principal, 60% released directly to the contractor’s operational account) at the exact millisecond of consumer sign-off. This radically transforms the underlying lending risk model—transitioning it from an unsecured, highly speculative SME advance into a highly secured, execution-backed invoice factoring operation. This structural innovation enables DecoFinance to offer financing where all traditional competitors fail.</w:t>
      </w:r>
    </w:p>
    <w:bookmarkEnd w:id="13"/>
    <w:bookmarkEnd w:id="14"/>
    <w:bookmarkStart w:id="20" w:name="business-model"/>
    <w:p>
      <w:pPr>
        <w:pStyle w:val="Heading2"/>
      </w:pPr>
      <w:r>
        <w:t xml:space="preserve">Business Model</w:t>
      </w:r>
    </w:p>
    <w:p>
      <w:pPr>
        <w:pStyle w:val="FirstParagraph"/>
      </w:pPr>
      <w:r>
        <w:t xml:space="preserve">The overarching financial architecture of DecoFinance is constructed upon a highly scalable, multi-threaded monetization framework designed specifically to capitalize on the reciprocal B2B2C interaction loop while aggressively incentivizing good faith action and regulatory compliance from all participating entities. The unit economics are designed to extract fractional value from massive transactional flows while generating substantial interest yield through minimal-risk algorithmic lending.</w:t>
      </w:r>
    </w:p>
    <w:bookmarkStart w:id="15" w:name="Xb269a54fdaaf48026f7f02ab171579e5e683ebd"/>
    <w:p>
      <w:pPr>
        <w:pStyle w:val="Heading3"/>
      </w:pPr>
      <w:r>
        <w:t xml:space="preserve">1. Escrow Administration and Processing Tariffs</w:t>
      </w:r>
    </w:p>
    <w:p>
      <w:pPr>
        <w:pStyle w:val="FirstParagraph"/>
      </w:pPr>
      <w:r>
        <w:t xml:space="preserve">The central, foundational pillar of the platform’s revenue relies heavily on the Simulated Smart Contract Escrow service. Upon the successful negotiation and acceptance of a</w:t>
      </w:r>
      <w:r>
        <w:t xml:space="preserve"> </w:t>
      </w:r>
      <w:r>
        <w:rPr>
          <w:rStyle w:val="VerbatimChar"/>
        </w:rPr>
        <w:t xml:space="preserve">ProjectBid</w:t>
      </w:r>
      <w:r>
        <w:t xml:space="preserve">, the customer is required to deposit the fully funded project capital into the platform’s omnibus segregated holding account. DecoFinance applies a variable, percentage-based transactional processing fee—ranging tightly between 1.5% and 2.5% of the Gross Contract Value (GCV). This baseline fee is automatically deducted from the final milestone payment prior to its ultimate release to the contractor’s external banking account. This tariff functions identically to established payment gateway margins (analogous to Stripe or PayPal taking 2.9% + 30 cents), but it successfully commands this margin by providing exponentially higher intrinsic value: chronological risk mitigation, absolute capital protection, and localized conflict arbitration services. Customers view this 1.5% fee essentially as an un-skippable insurance premium against the devastating risk of a 40% deposit loss, rendering price elasticity highly favorable.</w:t>
      </w:r>
    </w:p>
    <w:bookmarkEnd w:id="15"/>
    <w:bookmarkStart w:id="16" w:name="Xc7bc39bc9e5f56d785233cab61f993d995e8b78"/>
    <w:p>
      <w:pPr>
        <w:pStyle w:val="Heading3"/>
      </w:pPr>
      <w:r>
        <w:t xml:space="preserve">2. Underwritten Material and Operating Loans (Financing Margins)</w:t>
      </w:r>
    </w:p>
    <w:p>
      <w:pPr>
        <w:pStyle w:val="FirstParagraph"/>
      </w:pPr>
      <w:r>
        <w:t xml:space="preserve">The paramount revenue driver, representing the highest margin potential, stems directly from deploying the platform’s proprietary data capabilities for highly targeted credit arbitrage. As highly rated SME contractors (specifically those maintaining</w:t>
      </w:r>
      <w:r>
        <w:t xml:space="preserve"> </w:t>
      </w:r>
      <w:r>
        <w:t xml:space="preserve">‘AAA’</w:t>
      </w:r>
      <w:r>
        <w:t xml:space="preserve">,</w:t>
      </w:r>
      <w:r>
        <w:t xml:space="preserve"> </w:t>
      </w:r>
      <w:r>
        <w:t xml:space="preserve">‘AA’</w:t>
      </w:r>
      <w:r>
        <w:t xml:space="preserve">, or</w:t>
      </w:r>
      <w:r>
        <w:t xml:space="preserve"> </w:t>
      </w:r>
      <w:r>
        <w:t xml:space="preserve">‘A’</w:t>
      </w:r>
      <w:r>
        <w:t xml:space="preserve"> </w:t>
      </w:r>
      <w:r>
        <w:t xml:space="preserve">grades within the</w:t>
      </w:r>
      <w:r>
        <w:t xml:space="preserve"> </w:t>
      </w:r>
      <w:r>
        <w:rPr>
          <w:rStyle w:val="VerbatimChar"/>
        </w:rPr>
        <w:t xml:space="preserve">services/credit_scorer.py</w:t>
      </w:r>
      <w:r>
        <w:t xml:space="preserve"> </w:t>
      </w:r>
      <w:r>
        <w:t xml:space="preserve">algorithmic engine) acquire new projects, DecoFinance extends short-term, milestone-backed operational credit. The Annualized Percentage Rate (APR) targets for these micro-loans range between 6% to 12%, depending explicitly on the generated algorithmic risk matrix (</w:t>
      </w:r>
      <w:r>
        <w:rPr>
          <w:rStyle w:val="VerbatimChar"/>
        </w:rPr>
        <w:t xml:space="preserve">risk_level</w:t>
      </w:r>
      <w:r>
        <w:t xml:space="preserve">).</w:t>
      </w:r>
    </w:p>
    <w:p>
      <w:pPr>
        <w:pStyle w:val="BodyText"/>
      </w:pPr>
      <w:r>
        <w:t xml:space="preserve">Crucially, because DecoFinance simultaneously controls the Escrow Ledger holding the customer’s capital, DecoFinance fundamentally mitigates the counterparty default risk. The system auto-liquidates the loan principal and accrued interest the instant the customer invokes the API</w:t>
      </w:r>
      <w:r>
        <w:t xml:space="preserve"> </w:t>
      </w:r>
      <w:r>
        <w:rPr>
          <w:rStyle w:val="VerbatimChar"/>
        </w:rPr>
        <w:t xml:space="preserve">POST /api/v1/milestones/{id}/accept</w:t>
      </w:r>
      <w:r>
        <w:t xml:space="preserve">. The funds do not pass through the contractor’s hands before repayment; they are intercepted at the ledger level. This architecture renders the default probability statistically negligible compared to traditional unsecured SME lending, allowing DecoFinance to secure wholesale backing from institutional credit facilities at incredibly low base rates (e.g., 3%), yielding a massive 3% to 9% net interest margin with near-zero downside risk.</w:t>
      </w:r>
    </w:p>
    <w:bookmarkEnd w:id="16"/>
    <w:bookmarkStart w:id="17" w:name="Xc4d341fb726a561b6594465f7884c484439218e"/>
    <w:p>
      <w:pPr>
        <w:pStyle w:val="Heading3"/>
      </w:pPr>
      <w:r>
        <w:t xml:space="preserve">3. Subscription &amp; Premium Compliance Tiering (SaaS Tier)</w:t>
      </w:r>
    </w:p>
    <w:p>
      <w:pPr>
        <w:pStyle w:val="FirstParagraph"/>
      </w:pPr>
      <w:r>
        <w:t xml:space="preserve">In addition to transactional and arbitrage models, DecoFinance incorporates a recurring software-as-a-service (SaaS) revenue stream. Companies may opt into an annual subscription model (e.g., an upfront ,000 HKD payment) granting them an elite</w:t>
      </w:r>
      <w:r>
        <w:t xml:space="preserve"> </w:t>
      </w:r>
      <w:r>
        <w:t xml:space="preserve">“Premium Verified”</w:t>
      </w:r>
      <w:r>
        <w:t xml:space="preserve"> </w:t>
      </w:r>
      <w:r>
        <w:t xml:space="preserve">status. This premium status involves DecoFinance personnel conducting rapid, accelerated, and intensive manual validation of their extended ESG factors, comprehensive insurance document cover notes, Buildings Department Minor Works licenses, and OSH Safety Officer registries.</w:t>
      </w:r>
    </w:p>
    <w:p>
      <w:pPr>
        <w:pStyle w:val="BodyText"/>
      </w:pPr>
      <w:r>
        <w:t xml:space="preserve">Verified premium companies receive algorithmically boosted exposure in consumer search rankings (modifying the sort weights in</w:t>
      </w:r>
      <w:r>
        <w:t xml:space="preserve"> </w:t>
      </w:r>
      <w:r>
        <w:rPr>
          <w:rStyle w:val="VerbatimChar"/>
        </w:rPr>
        <w:t xml:space="preserve">GET /api/v1/companies</w:t>
      </w:r>
      <w:r>
        <w:t xml:space="preserve">), inherently driving higher B2B lead generation. Furthermore, achieving this status unlocks the highest tier of lending multipliers, directly tying their upfront subscription payment to long-term financial incentives through reduced loan interest rates. This triple-pronged approach—charging for security, charging for liquidity, and charging for visibility—creates an incredibly robust and diversified cash-flow matrix for the platform.</w:t>
      </w:r>
    </w:p>
    <w:bookmarkEnd w:id="17"/>
    <w:bookmarkStart w:id="18" w:name="revenue-streams"/>
    <w:p>
      <w:pPr>
        <w:pStyle w:val="Heading3"/>
      </w:pPr>
      <w:r>
        <w:t xml:space="preserve">4. Revenue Streams</w:t>
      </w:r>
    </w:p>
    <w:p>
      <w:pPr>
        <w:pStyle w:val="Compact"/>
        <w:numPr>
          <w:ilvl w:val="0"/>
          <w:numId w:val="1001"/>
        </w:numPr>
      </w:pPr>
      <w:r>
        <w:rPr>
          <w:b/>
          <w:bCs/>
        </w:rPr>
        <w:t xml:space="preserve">Escrow Administration (1.5% - 2.5%):</w:t>
      </w:r>
      <w:r>
        <w:t xml:space="preserve"> </w:t>
      </w:r>
      <w:r>
        <w:t xml:space="preserve">Deducted from the Gross Contract Value (GCV) upon successful final milestone payment. This baseline fee mirrors enterprise payment gateways but provides exponentially higher intrinsic value (capital protection and conflict arbitration).</w:t>
      </w:r>
    </w:p>
    <w:p>
      <w:pPr>
        <w:pStyle w:val="Compact"/>
        <w:numPr>
          <w:ilvl w:val="0"/>
          <w:numId w:val="1001"/>
        </w:numPr>
      </w:pPr>
      <w:r>
        <w:rPr>
          <w:b/>
          <w:bCs/>
        </w:rPr>
        <w:t xml:space="preserve">Financing Margins (6% - 12% APR):</w:t>
      </w:r>
      <w:r>
        <w:t xml:space="preserve"> </w:t>
      </w:r>
      <w:r>
        <w:t xml:space="preserve">The paramount revenue driver. High-rated SMEs receive short-term bridging credit. Because the platform auto-liquidates loan principal via escrow splits at milestone completion, DecoFinance secures wholesale institutional backing at extremely low base rates (e.g., 3%), yielding a massive 3% to 9% net interest margin with near-zero downside risk.</w:t>
      </w:r>
    </w:p>
    <w:p>
      <w:pPr>
        <w:pStyle w:val="Compact"/>
        <w:numPr>
          <w:ilvl w:val="0"/>
          <w:numId w:val="1001"/>
        </w:numPr>
      </w:pPr>
      <w:r>
        <w:rPr>
          <w:b/>
          <w:bCs/>
        </w:rPr>
        <w:t xml:space="preserve">Premium Compliance SaaS:</w:t>
      </w:r>
      <w:r>
        <w:t xml:space="preserve"> </w:t>
      </w:r>
      <w:r>
        <w:t xml:space="preserve">Subscription model granting elite</w:t>
      </w:r>
      <w:r>
        <w:t xml:space="preserve"> </w:t>
      </w:r>
      <w:r>
        <w:t xml:space="preserve">“Premium Verified”</w:t>
      </w:r>
      <w:r>
        <w:t xml:space="preserve"> </w:t>
      </w:r>
      <w:r>
        <w:t xml:space="preserve">status, accelerating BD/OSH validation and boosting organic B2B lead generation.</w:t>
      </w:r>
    </w:p>
    <w:bookmarkEnd w:id="18"/>
    <w:bookmarkStart w:id="19" w:name="financial-projections-risk-mitigation"/>
    <w:p>
      <w:pPr>
        <w:pStyle w:val="Heading3"/>
      </w:pPr>
      <w:r>
        <w:t xml:space="preserve">5. Financial Projections &amp; Risk Mitigation</w:t>
      </w:r>
    </w:p>
    <w:p>
      <w:pPr>
        <w:pStyle w:val="FirstParagraph"/>
      </w:pPr>
      <w:r>
        <w:t xml:space="preserve">To ensure viability, the model must address key startup constraints:</w:t>
      </w:r>
      <w:r>
        <w:t xml:space="preserve"> </w:t>
      </w:r>
      <w:r>
        <w:t xml:space="preserve">*</w:t>
      </w:r>
      <w:r>
        <w:t xml:space="preserve"> </w:t>
      </w:r>
      <w:r>
        <w:rPr>
          <w:b/>
          <w:bCs/>
        </w:rPr>
        <w:t xml:space="preserve">Regulatory Risk (HKMA Cap 163):</w:t>
      </w:r>
      <w:r>
        <w:t xml:space="preserve"> </w:t>
      </w:r>
      <w:r>
        <w:t xml:space="preserve">Issuing loans in Hong Kong requires strict adherence to the Money Lenders Ordinance and PDPO guidelines. DecoFinance operates via licensed institution partnerships, packaging the API data payloads rather than acting as a direct unregulated lender.</w:t>
      </w:r>
      <w:r>
        <w:t xml:space="preserve"> </w:t>
      </w:r>
      <w:r>
        <w:t xml:space="preserve">*</w:t>
      </w:r>
      <w:r>
        <w:t xml:space="preserve"> </w:t>
      </w:r>
      <w:r>
        <w:rPr>
          <w:b/>
          <w:bCs/>
        </w:rPr>
        <w:t xml:space="preserve">Collusion Risk Mitigation:</w:t>
      </w:r>
      <w:r>
        <w:t xml:space="preserve"> </w:t>
      </w:r>
      <w:r>
        <w:t xml:space="preserve">To prevent contractors and customers from colluding to extract loan capital, DecoFinance mandates robust multi-part photographic evidence uploads (</w:t>
      </w:r>
      <w:r>
        <w:rPr>
          <w:rStyle w:val="VerbatimChar"/>
        </w:rPr>
        <w:t xml:space="preserve">evidence_urls</w:t>
      </w:r>
      <w:r>
        <w:t xml:space="preserve">) validated by internal Reviewer grids and immutable audits.</w:t>
      </w:r>
    </w:p>
    <w:bookmarkEnd w:id="19"/>
    <w:bookmarkEnd w:id="20"/>
    <w:bookmarkStart w:id="28" w:name="key-algorithms-models"/>
    <w:p>
      <w:pPr>
        <w:pStyle w:val="Heading2"/>
      </w:pPr>
      <w:r>
        <w:t xml:space="preserve">Key Algorithms / Models</w:t>
      </w:r>
    </w:p>
    <w:p>
      <w:pPr>
        <w:pStyle w:val="FirstParagraph"/>
      </w:pPr>
      <w:r>
        <w:t xml:space="preserve">The absolute cornerstone of the DecoFinance intellectual property portfolio relies upon its proprietary, multi-faceted algorithmic modeling encapsulated formally inside the</w:t>
      </w:r>
      <w:r>
        <w:t xml:space="preserve"> </w:t>
      </w:r>
      <w:r>
        <w:rPr>
          <w:rStyle w:val="VerbatimChar"/>
        </w:rPr>
        <w:t xml:space="preserve">services/credit_scorer.py</w:t>
      </w:r>
      <w:r>
        <w:t xml:space="preserve"> </w:t>
      </w:r>
      <w:r>
        <w:t xml:space="preserve">backend service. This engine processes vast arrays of structured JSON data and operational logging metrics to derive deterministic scores ensuring platform stability.</w:t>
      </w:r>
    </w:p>
    <w:bookmarkStart w:id="26" w:name="Xd0fad468bdd6b91a99eef9c1a8f4c28e439a7bc"/>
    <w:p>
      <w:pPr>
        <w:pStyle w:val="Heading3"/>
      </w:pPr>
      <w:r>
        <w:t xml:space="preserve">1. The 4-Dimensional Trust Scoring Matrix (Algorithmic Logic)</w:t>
      </w:r>
    </w:p>
    <w:p>
      <w:pPr>
        <w:pStyle w:val="FirstParagraph"/>
      </w:pPr>
      <w:r>
        <w:t xml:space="preserve">Executing primarily via the</w:t>
      </w:r>
      <w:r>
        <w:t xml:space="preserve"> </w:t>
      </w:r>
      <w:r>
        <w:rPr>
          <w:rStyle w:val="VerbatimChar"/>
        </w:rPr>
        <w:t xml:space="preserve">calculate_trust_score(company_id)</w:t>
      </w:r>
      <w:r>
        <w:t xml:space="preserve"> </w:t>
      </w:r>
      <w:r>
        <w:t xml:space="preserve">function, the routing pipeline assesses a company against four distinct vectors, ultimately outputting a parametric integer bound dynamically between 0 and 1000.</w:t>
      </w:r>
    </w:p>
    <w:bookmarkStart w:id="21" w:name="Xd4415d4c1d7a211dce1c6ea16ef73662df85081"/>
    <w:p>
      <w:pPr>
        <w:pStyle w:val="Heading4"/>
      </w:pPr>
      <w:r>
        <w:t xml:space="preserve">A. </w:t>
      </w:r>
      <w:r>
        <w:rPr>
          <w:rFonts w:hint="eastAsia"/>
        </w:rPr>
        <w:t xml:space="preserve">財務實力</w:t>
      </w:r>
      <w:r>
        <w:t xml:space="preserve"> (Financial Strength) - Cap: 600 Points</w:t>
      </w:r>
    </w:p>
    <w:p>
      <w:pPr>
        <w:pStyle w:val="FirstParagraph"/>
      </w:pPr>
      <w:r>
        <w:t xml:space="preserve">The algorithm extracts parameters natively mapped via SQLAlchemy parsing from the</w:t>
      </w:r>
      <w:r>
        <w:t xml:space="preserve"> </w:t>
      </w:r>
      <w:r>
        <w:rPr>
          <w:rStyle w:val="VerbatimChar"/>
        </w:rPr>
        <w:t xml:space="preserve">Company_Profiles</w:t>
      </w:r>
      <w:r>
        <w:t xml:space="preserve"> </w:t>
      </w:r>
      <w:r>
        <w:t xml:space="preserve">table:</w:t>
      </w:r>
      <w:r>
        <w:t xml:space="preserve"> </w:t>
      </w:r>
      <w:r>
        <w:t xml:space="preserve">-</w:t>
      </w:r>
      <w:r>
        <w:t xml:space="preserve"> </w:t>
      </w:r>
      <w:r>
        <w:rPr>
          <w:b/>
          <w:bCs/>
        </w:rPr>
        <w:t xml:space="preserve">Data Ingestion Constraint:</w:t>
      </w:r>
      <w:r>
        <w:t xml:space="preserve"> </w:t>
      </w:r>
      <w:r>
        <w:t xml:space="preserve">Companies upload audited financial statements (</w:t>
      </w:r>
      <w:r>
        <w:rPr>
          <w:rStyle w:val="VerbatimChar"/>
        </w:rPr>
        <w:t xml:space="preserve">POST /api/v1/company/financials</w:t>
      </w:r>
      <w:r>
        <w:t xml:space="preserve">). The system evaluates the</w:t>
      </w:r>
      <w:r>
        <w:t xml:space="preserve"> </w:t>
      </w:r>
      <w:r>
        <w:rPr>
          <w:rStyle w:val="VerbatimChar"/>
        </w:rPr>
        <w:t xml:space="preserve">is_audited</w:t>
      </w:r>
      <w:r>
        <w:t xml:space="preserve"> </w:t>
      </w:r>
      <w:r>
        <w:t xml:space="preserve">boolean parameter. If</w:t>
      </w:r>
      <w:r>
        <w:t xml:space="preserve"> </w:t>
      </w:r>
      <w:r>
        <w:rPr>
          <w:rStyle w:val="VerbatimChar"/>
        </w:rPr>
        <w:t xml:space="preserve">is_audited=True</w:t>
      </w:r>
      <w:r>
        <w:t xml:space="preserve">, indicating the data is verified by a licensed CPA, the system applies an upper-bound multiplier.</w:t>
      </w:r>
      <w:r>
        <w:t xml:space="preserve"> </w:t>
      </w:r>
      <w:r>
        <w:t xml:space="preserve">-</w:t>
      </w:r>
      <w:r>
        <w:t xml:space="preserve"> </w:t>
      </w:r>
      <w:r>
        <w:rPr>
          <w:rFonts w:hint="eastAsia"/>
          <w:b/>
          <w:bCs/>
        </w:rPr>
        <w:t xml:space="preserve">註冊資本</w:t>
      </w:r>
      <w:r>
        <w:rPr>
          <w:b/>
          <w:bCs/>
        </w:rPr>
        <w:t xml:space="preserve"> (Registered Capital) [Max 150 Points]:</w:t>
      </w:r>
      <w:r>
        <w:t xml:space="preserve"> </w:t>
      </w:r>
      <w:r>
        <w:t xml:space="preserve">-</w:t>
      </w:r>
      <w:r>
        <w:t xml:space="preserve"> </w:t>
      </w:r>
      <w:r>
        <w:rPr>
          <w:rStyle w:val="VerbatimChar"/>
        </w:rPr>
        <w:t xml:space="preserve">If capital &gt;= 10,000,000 HKD -&gt; 150 points</w:t>
      </w:r>
      <w:r>
        <w:t xml:space="preserve"> </w:t>
      </w:r>
      <w:r>
        <w:t xml:space="preserve">-</w:t>
      </w:r>
      <w:r>
        <w:t xml:space="preserve"> </w:t>
      </w:r>
      <w:r>
        <w:rPr>
          <w:rStyle w:val="VerbatimChar"/>
        </w:rPr>
        <w:t xml:space="preserve">If capital &gt;= 5,000,000 HKD -&gt; 120 points</w:t>
      </w:r>
      <w:r>
        <w:t xml:space="preserve"> </w:t>
      </w:r>
      <w:r>
        <w:t xml:space="preserve">-</w:t>
      </w:r>
      <w:r>
        <w:t xml:space="preserve"> </w:t>
      </w:r>
      <w:r>
        <w:rPr>
          <w:rStyle w:val="VerbatimChar"/>
        </w:rPr>
        <w:t xml:space="preserve">If capital &gt;= 1,000,000 HKD -&gt; 90 points</w:t>
      </w:r>
      <w:r>
        <w:t xml:space="preserve"> </w:t>
      </w:r>
      <w:r>
        <w:t xml:space="preserve">-</w:t>
      </w:r>
      <w:r>
        <w:t xml:space="preserve"> </w:t>
      </w:r>
      <w:r>
        <w:rPr>
          <w:rStyle w:val="VerbatimChar"/>
        </w:rPr>
        <w:t xml:space="preserve">If capital &gt;= 500,000 HKD -&gt; 60 points</w:t>
      </w:r>
      <w:r>
        <w:t xml:space="preserve"> </w:t>
      </w:r>
      <w:r>
        <w:t xml:space="preserve">-</w:t>
      </w:r>
      <w:r>
        <w:t xml:space="preserve"> </w:t>
      </w:r>
      <w:r>
        <w:rPr>
          <w:rStyle w:val="VerbatimChar"/>
        </w:rPr>
        <w:t xml:space="preserve">Else -&gt; 30 points</w:t>
      </w:r>
      <w:r>
        <w:t xml:space="preserve"> </w:t>
      </w:r>
      <w:r>
        <w:t xml:space="preserve">-</w:t>
      </w:r>
      <w:r>
        <w:t xml:space="preserve"> </w:t>
      </w:r>
      <w:r>
        <w:rPr>
          <w:rFonts w:hint="eastAsia"/>
          <w:b/>
          <w:bCs/>
        </w:rPr>
        <w:t xml:space="preserve">年營收</w:t>
      </w:r>
      <w:r>
        <w:rPr>
          <w:b/>
          <w:bCs/>
        </w:rPr>
        <w:t xml:space="preserve"> (Annual Revenue) [Max 150 Points]:</w:t>
      </w:r>
      <w:r>
        <w:t xml:space="preserve"> </w:t>
      </w:r>
      <w:r>
        <w:t xml:space="preserve">-</w:t>
      </w:r>
      <w:r>
        <w:t xml:space="preserve"> </w:t>
      </w:r>
      <w:r>
        <w:rPr>
          <w:rStyle w:val="VerbatimChar"/>
        </w:rPr>
        <w:t xml:space="preserve">If revenue &gt;= 50,000,000 HKD -&gt; 150 points</w:t>
      </w:r>
      <w:r>
        <w:t xml:space="preserve"> </w:t>
      </w:r>
      <w:r>
        <w:t xml:space="preserve">-</w:t>
      </w:r>
      <w:r>
        <w:t xml:space="preserve"> </w:t>
      </w:r>
      <w:r>
        <w:rPr>
          <w:rStyle w:val="VerbatimChar"/>
        </w:rPr>
        <w:t xml:space="preserve">If revenue &gt;= 20,000,000 HKD -&gt; 120 points</w:t>
      </w:r>
      <w:r>
        <w:t xml:space="preserve"> </w:t>
      </w:r>
      <w:r>
        <w:t xml:space="preserve">-</w:t>
      </w:r>
      <w:r>
        <w:t xml:space="preserve"> </w:t>
      </w:r>
      <w:r>
        <w:rPr>
          <w:rStyle w:val="VerbatimChar"/>
        </w:rPr>
        <w:t xml:space="preserve">If revenue &gt;= 10,000,000 HKD -&gt; 90 points</w:t>
      </w:r>
      <w:r>
        <w:t xml:space="preserve"> </w:t>
      </w:r>
      <w:r>
        <w:t xml:space="preserve">-</w:t>
      </w:r>
      <w:r>
        <w:t xml:space="preserve"> </w:t>
      </w:r>
      <w:r>
        <w:rPr>
          <w:rStyle w:val="VerbatimChar"/>
        </w:rPr>
        <w:t xml:space="preserve">If revenue &gt;= 5,000,000 HKD -&gt; 60 points</w:t>
      </w:r>
      <w:r>
        <w:t xml:space="preserve"> </w:t>
      </w:r>
      <w:r>
        <w:t xml:space="preserve">-</w:t>
      </w:r>
      <w:r>
        <w:t xml:space="preserve"> </w:t>
      </w:r>
      <w:r>
        <w:rPr>
          <w:rStyle w:val="VerbatimChar"/>
        </w:rPr>
        <w:t xml:space="preserve">Else -&gt; 30 points</w:t>
      </w:r>
      <w:r>
        <w:t xml:space="preserve"> </w:t>
      </w:r>
      <w:r>
        <w:t xml:space="preserve">-</w:t>
      </w:r>
      <w:r>
        <w:t xml:space="preserve"> </w:t>
      </w:r>
      <w:r>
        <w:rPr>
          <w:rFonts w:hint="eastAsia"/>
          <w:b/>
          <w:bCs/>
        </w:rPr>
        <w:t xml:space="preserve">流動比率</w:t>
      </w:r>
      <w:r>
        <w:rPr>
          <w:b/>
          <w:bCs/>
        </w:rPr>
        <w:t xml:space="preserve"> (Current Ratio = Current Assets / Current Liabilities) [Max 150 Points]:</w:t>
      </w:r>
      <w:r>
        <w:t xml:space="preserve"> </w:t>
      </w:r>
      <w:r>
        <w:t xml:space="preserve">-</w:t>
      </w:r>
      <w:r>
        <w:t xml:space="preserve"> </w:t>
      </w:r>
      <w:r>
        <w:rPr>
          <w:rStyle w:val="VerbatimChar"/>
        </w:rPr>
        <w:t xml:space="preserve">Good (&gt; 1.6) -&gt; 150 points</w:t>
      </w:r>
      <w:r>
        <w:t xml:space="preserve"> </w:t>
      </w:r>
      <w:r>
        <w:t xml:space="preserve">-</w:t>
      </w:r>
      <w:r>
        <w:t xml:space="preserve"> </w:t>
      </w:r>
      <w:r>
        <w:rPr>
          <w:rStyle w:val="VerbatimChar"/>
        </w:rPr>
        <w:t xml:space="preserve">Normal (1.1 to 1.6) -&gt; 100 points</w:t>
      </w:r>
      <w:r>
        <w:t xml:space="preserve"> </w:t>
      </w:r>
      <w:r>
        <w:t xml:space="preserve">-</w:t>
      </w:r>
      <w:r>
        <w:t xml:space="preserve"> </w:t>
      </w:r>
      <w:r>
        <w:rPr>
          <w:rStyle w:val="VerbatimChar"/>
        </w:rPr>
        <w:t xml:space="preserve">Poor (&lt; 1.1) -&gt; 50 points</w:t>
      </w:r>
      <w:r>
        <w:t xml:space="preserve"> </w:t>
      </w:r>
      <w:r>
        <w:t xml:space="preserve">-</w:t>
      </w:r>
      <w:r>
        <w:t xml:space="preserve"> </w:t>
      </w:r>
      <w:r>
        <w:rPr>
          <w:rFonts w:hint="eastAsia"/>
          <w:b/>
          <w:bCs/>
        </w:rPr>
        <w:t xml:space="preserve">現金比率</w:t>
      </w:r>
      <w:r>
        <w:rPr>
          <w:b/>
          <w:bCs/>
        </w:rPr>
        <w:t xml:space="preserve"> (Cash Ratio = Total Cash / Total Liabilities) [Max 150 Points]:</w:t>
      </w:r>
      <w:r>
        <w:t xml:space="preserve"> </w:t>
      </w:r>
      <w:r>
        <w:t xml:space="preserve">-</w:t>
      </w:r>
      <w:r>
        <w:t xml:space="preserve"> </w:t>
      </w:r>
      <w:r>
        <w:rPr>
          <w:rStyle w:val="VerbatimChar"/>
        </w:rPr>
        <w:t xml:space="preserve">Good (&gt; 1.6) -&gt; 150 points</w:t>
      </w:r>
      <w:r>
        <w:t xml:space="preserve"> </w:t>
      </w:r>
      <w:r>
        <w:t xml:space="preserve">-</w:t>
      </w:r>
      <w:r>
        <w:t xml:space="preserve"> </w:t>
      </w:r>
      <w:r>
        <w:rPr>
          <w:rStyle w:val="VerbatimChar"/>
        </w:rPr>
        <w:t xml:space="preserve">Normal (1.1 to 1.6) -&gt; 100 points</w:t>
      </w:r>
      <w:r>
        <w:t xml:space="preserve"> </w:t>
      </w:r>
      <w:r>
        <w:t xml:space="preserve">-</w:t>
      </w:r>
      <w:r>
        <w:t xml:space="preserve"> </w:t>
      </w:r>
      <w:r>
        <w:rPr>
          <w:rStyle w:val="VerbatimChar"/>
        </w:rPr>
        <w:t xml:space="preserve">Poor (&lt; 1.1) -&gt; 50 points</w:t>
      </w:r>
      <w:r>
        <w:t xml:space="preserve"> </w:t>
      </w:r>
      <w:r>
        <w:t xml:space="preserve">-</w:t>
      </w:r>
      <w:r>
        <w:t xml:space="preserve"> </w:t>
      </w:r>
      <w:r>
        <w:rPr>
          <w:rFonts w:hint="eastAsia"/>
          <w:b/>
          <w:bCs/>
        </w:rPr>
        <w:t xml:space="preserve">債務權益比</w:t>
      </w:r>
      <w:r>
        <w:rPr>
          <w:b/>
          <w:bCs/>
        </w:rPr>
        <w:t xml:space="preserve"> (Debt to Equity Ratio = Total Liabilities / Shareholders Equity) [Max 150 Points]:</w:t>
      </w:r>
      <w:r>
        <w:t xml:space="preserve"> </w:t>
      </w:r>
      <w:r>
        <w:t xml:space="preserve">-</w:t>
      </w:r>
      <w:r>
        <w:t xml:space="preserve"> </w:t>
      </w:r>
      <w:r>
        <w:rPr>
          <w:rStyle w:val="VerbatimChar"/>
        </w:rPr>
        <w:t xml:space="preserve">Good (&lt; 1.0) -&gt; 150 points</w:t>
      </w:r>
      <w:r>
        <w:t xml:space="preserve"> </w:t>
      </w:r>
      <w:r>
        <w:t xml:space="preserve">-</w:t>
      </w:r>
      <w:r>
        <w:t xml:space="preserve"> </w:t>
      </w:r>
      <w:r>
        <w:rPr>
          <w:rStyle w:val="VerbatimChar"/>
        </w:rPr>
        <w:t xml:space="preserve">Normal (1.0 to 2.0) -&gt; 100 points</w:t>
      </w:r>
      <w:r>
        <w:t xml:space="preserve"> </w:t>
      </w:r>
      <w:r>
        <w:t xml:space="preserve">-</w:t>
      </w:r>
      <w:r>
        <w:t xml:space="preserve"> </w:t>
      </w:r>
      <w:r>
        <w:rPr>
          <w:rStyle w:val="VerbatimChar"/>
        </w:rPr>
        <w:t xml:space="preserve">Poor (&gt; 2.0) -&gt; 50 points</w:t>
      </w:r>
    </w:p>
    <w:bookmarkEnd w:id="21"/>
    <w:bookmarkStart w:id="22" w:name="X28bfa532ec6145f3443cd727922174112da64a7"/>
    <w:p>
      <w:pPr>
        <w:pStyle w:val="Heading4"/>
      </w:pPr>
      <w:r>
        <w:t xml:space="preserve">B. </w:t>
      </w:r>
      <w:r>
        <w:rPr>
          <w:rFonts w:hint="eastAsia"/>
        </w:rPr>
        <w:t xml:space="preserve">營運穩定性</w:t>
      </w:r>
      <w:r>
        <w:t xml:space="preserve"> (Operational Stability) - Cap: 250 Points</w:t>
      </w:r>
    </w:p>
    <w:p>
      <w:pPr>
        <w:pStyle w:val="FirstParagraph"/>
      </w:pPr>
      <w:r>
        <w:t xml:space="preserve">Evaluates the longevity and historical execution capability to filter out highly transient,</w:t>
      </w:r>
      <w:r>
        <w:t xml:space="preserve"> </w:t>
      </w:r>
      <w:r>
        <w:t xml:space="preserve">“fly-by-night”</w:t>
      </w:r>
      <w:r>
        <w:t xml:space="preserve"> </w:t>
      </w:r>
      <w:r>
        <w:t xml:space="preserve">shell companies designed to extract deposits and vanish.</w:t>
      </w:r>
      <w:r>
        <w:t xml:space="preserve"> </w:t>
      </w:r>
      <w:r>
        <w:t xml:space="preserve">-</w:t>
      </w:r>
      <w:r>
        <w:t xml:space="preserve"> </w:t>
      </w:r>
      <w:r>
        <w:rPr>
          <w:rFonts w:hint="eastAsia"/>
          <w:b/>
          <w:bCs/>
        </w:rPr>
        <w:t xml:space="preserve">成立年限</w:t>
      </w:r>
      <w:r>
        <w:rPr>
          <w:b/>
          <w:bCs/>
        </w:rPr>
        <w:t xml:space="preserve"> (Years Established) [Max 100 Points]:</w:t>
      </w:r>
      <w:r>
        <w:t xml:space="preserve"> </w:t>
      </w:r>
      <w:r>
        <w:t xml:space="preserve">Calculated dynamically via</w:t>
      </w:r>
      <w:r>
        <w:t xml:space="preserve"> </w:t>
      </w:r>
      <w:r>
        <w:rPr>
          <w:rStyle w:val="VerbatimChar"/>
        </w:rPr>
        <w:t xml:space="preserve">(datetime.now() - established_date).days / 365</w:t>
      </w:r>
      <w:r>
        <w:t xml:space="preserve">.</w:t>
      </w:r>
      <w:r>
        <w:t xml:space="preserve"> </w:t>
      </w:r>
      <w:r>
        <w:rPr>
          <w:rStyle w:val="VerbatimChar"/>
        </w:rPr>
        <w:t xml:space="preserve">&gt;= 10 years</w:t>
      </w:r>
      <w:r>
        <w:t xml:space="preserve"> </w:t>
      </w:r>
      <w:r>
        <w:t xml:space="preserve">nets 100 points.</w:t>
      </w:r>
      <w:r>
        <w:t xml:space="preserve"> </w:t>
      </w:r>
      <w:r>
        <w:rPr>
          <w:rStyle w:val="VerbatimChar"/>
        </w:rPr>
        <w:t xml:space="preserve">&gt;= 5 years</w:t>
      </w:r>
      <w:r>
        <w:t xml:space="preserve"> </w:t>
      </w:r>
      <w:r>
        <w:t xml:space="preserve">nets 75 points.</w:t>
      </w:r>
      <w:r>
        <w:t xml:space="preserve"> </w:t>
      </w:r>
      <w:r>
        <w:rPr>
          <w:rStyle w:val="VerbatimChar"/>
        </w:rPr>
        <w:t xml:space="preserve">&lt; 1 year</w:t>
      </w:r>
      <w:r>
        <w:t xml:space="preserve"> </w:t>
      </w:r>
      <w:r>
        <w:t xml:space="preserve">nets 20 points.</w:t>
      </w:r>
      <w:r>
        <w:t xml:space="preserve"> </w:t>
      </w:r>
      <w:r>
        <w:t xml:space="preserve">-</w:t>
      </w:r>
      <w:r>
        <w:t xml:space="preserve"> </w:t>
      </w:r>
      <w:r>
        <w:rPr>
          <w:rFonts w:hint="eastAsia"/>
          <w:b/>
          <w:bCs/>
        </w:rPr>
        <w:t xml:space="preserve">完成項目數</w:t>
      </w:r>
      <w:r>
        <w:rPr>
          <w:b/>
          <w:bCs/>
        </w:rPr>
        <w:t xml:space="preserve"> (Completed Projects) [Max 100 Points]:</w:t>
      </w:r>
      <w:r>
        <w:t xml:space="preserve"> </w:t>
      </w:r>
      <w:r>
        <w:t xml:space="preserve">Aggregated by</w:t>
      </w:r>
      <w:r>
        <w:t xml:space="preserve"> </w:t>
      </w:r>
      <w:r>
        <w:rPr>
          <w:rStyle w:val="VerbatimChar"/>
        </w:rPr>
        <w:t xml:space="preserve">COUNT(Projects.id)</w:t>
      </w:r>
      <w:r>
        <w:t xml:space="preserve"> </w:t>
      </w:r>
      <w:r>
        <w:t xml:space="preserve">where</w:t>
      </w:r>
      <w:r>
        <w:t xml:space="preserve"> </w:t>
      </w:r>
      <w:r>
        <w:rPr>
          <w:rStyle w:val="VerbatimChar"/>
        </w:rPr>
        <w:t xml:space="preserve">status == 'COMPLETED'</w:t>
      </w:r>
      <w:r>
        <w:t xml:space="preserve">.</w:t>
      </w:r>
      <w:r>
        <w:t xml:space="preserve"> </w:t>
      </w:r>
      <w:r>
        <w:rPr>
          <w:rStyle w:val="VerbatimChar"/>
        </w:rPr>
        <w:t xml:space="preserve">&gt;= 100 projects</w:t>
      </w:r>
      <w:r>
        <w:t xml:space="preserve"> </w:t>
      </w:r>
      <w:r>
        <w:t xml:space="preserve">caps at 100 points.</w:t>
      </w:r>
      <w:r>
        <w:t xml:space="preserve"> </w:t>
      </w:r>
      <w:r>
        <w:t xml:space="preserve">-</w:t>
      </w:r>
      <w:r>
        <w:t xml:space="preserve"> </w:t>
      </w:r>
      <w:r>
        <w:rPr>
          <w:rFonts w:hint="eastAsia"/>
          <w:b/>
          <w:bCs/>
        </w:rPr>
        <w:t xml:space="preserve">員工人數</w:t>
      </w:r>
      <w:r>
        <w:rPr>
          <w:b/>
          <w:bCs/>
        </w:rPr>
        <w:t xml:space="preserve"> (Total Headcount) [Max 50 Points]:</w:t>
      </w:r>
      <w:r>
        <w:t xml:space="preserve"> </w:t>
      </w:r>
      <w:r>
        <w:rPr>
          <w:rStyle w:val="VerbatimChar"/>
        </w:rPr>
        <w:t xml:space="preserve">&gt;= 50 employees</w:t>
      </w:r>
      <w:r>
        <w:t xml:space="preserve"> </w:t>
      </w:r>
      <w:r>
        <w:t xml:space="preserve">caps at 50 points. Scales linearly downwards.</w:t>
      </w:r>
    </w:p>
    <w:bookmarkEnd w:id="22"/>
    <w:bookmarkStart w:id="23" w:name="Xcd12c2f33e0e7daf58f5f0d59d81f30aa7e4d75"/>
    <w:p>
      <w:pPr>
        <w:pStyle w:val="Heading4"/>
      </w:pPr>
      <w:r>
        <w:t xml:space="preserve">C. </w:t>
      </w:r>
      <w:r>
        <w:rPr>
          <w:rFonts w:hint="eastAsia"/>
        </w:rPr>
        <w:t xml:space="preserve">資質與認證</w:t>
      </w:r>
      <w:r>
        <w:t xml:space="preserve"> (Qualifications &amp; Regulatory Compliance) - Cap: 200 Points</w:t>
      </w:r>
    </w:p>
    <w:p>
      <w:pPr>
        <w:pStyle w:val="FirstParagraph"/>
      </w:pPr>
      <w:r>
        <w:t xml:space="preserve">Tracks strict regulatory adherence, mapping directly to advanced ESG and OSH integration.</w:t>
      </w:r>
      <w:r>
        <w:t xml:space="preserve"> </w:t>
      </w:r>
      <w:r>
        <w:t xml:space="preserve">-</w:t>
      </w:r>
      <w:r>
        <w:t xml:space="preserve"> </w:t>
      </w:r>
      <w:r>
        <w:rPr>
          <w:b/>
          <w:bCs/>
        </w:rPr>
        <w:t xml:space="preserve">Business Registry (BR) &amp; BD Registration:</w:t>
      </w:r>
      <w:r>
        <w:t xml:space="preserve"> </w:t>
      </w:r>
      <w:r>
        <w:t xml:space="preserve">Absolute prerequisites. The company must input their Registration Number under the Register of Minor Works Contractors. DecoFinance actively cross-checks this against the Buildings Department public database API.</w:t>
      </w:r>
      <w:r>
        <w:t xml:space="preserve"> </w:t>
      </w:r>
      <w:r>
        <w:t xml:space="preserve">-</w:t>
      </w:r>
      <w:r>
        <w:t xml:space="preserve"> </w:t>
      </w:r>
      <w:r>
        <w:rPr>
          <w:rFonts w:hint="eastAsia"/>
          <w:b/>
          <w:bCs/>
        </w:rPr>
        <w:t xml:space="preserve">電子授權</w:t>
      </w:r>
      <w:r>
        <w:rPr>
          <w:b/>
          <w:bCs/>
        </w:rPr>
        <w:t xml:space="preserve"> (Electronic Consents for Deep Validation):</w:t>
      </w:r>
      <w:r>
        <w:t xml:space="preserve"> </w:t>
      </w:r>
      <w:r>
        <w:t xml:space="preserve">Utilizing</w:t>
      </w:r>
      <w:r>
        <w:t xml:space="preserve"> </w:t>
      </w:r>
      <w:r>
        <w:rPr>
          <w:rStyle w:val="VerbatimChar"/>
        </w:rPr>
        <w:t xml:space="preserve">POST /api/v1/company/consents</w:t>
      </w:r>
      <w:r>
        <w:t xml:space="preserve">, companies grant PDPO-compliant authorizations natively integrated with TransUnion (TU) and the Inland Revenue Department (IRD).</w:t>
      </w:r>
      <w:r>
        <w:t xml:space="preserve"> </w:t>
      </w:r>
      <w:r>
        <w:t xml:space="preserve">-</w:t>
      </w:r>
      <w:r>
        <w:t xml:space="preserve"> </w:t>
      </w:r>
      <w:r>
        <w:rPr>
          <w:rFonts w:hint="eastAsia"/>
          <w:b/>
          <w:bCs/>
        </w:rPr>
        <w:t xml:space="preserve">保險狀態</w:t>
      </w:r>
      <w:r>
        <w:rPr>
          <w:b/>
          <w:bCs/>
        </w:rPr>
        <w:t xml:space="preserve"> (Insurance Validity) [+ 50 Points]:</w:t>
      </w:r>
      <w:r>
        <w:t xml:space="preserve"> </w:t>
      </w:r>
      <w:r>
        <w:t xml:space="preserve">The contractor uploads their insurance cover note. An internal reviewer validates the policy bounds against the project requirements, granting 50 points upon approval.</w:t>
      </w:r>
      <w:r>
        <w:t xml:space="preserve"> </w:t>
      </w:r>
      <w:r>
        <w:t xml:space="preserve">-</w:t>
      </w:r>
      <w:r>
        <w:t xml:space="preserve"> </w:t>
      </w:r>
      <w:r>
        <w:rPr>
          <w:rFonts w:hint="eastAsia"/>
          <w:b/>
          <w:bCs/>
        </w:rPr>
        <w:t xml:space="preserve">職安健</w:t>
      </w:r>
      <w:r>
        <w:rPr>
          <w:b/>
          <w:bCs/>
        </w:rPr>
        <w:t xml:space="preserve"> (Occupational Safety Health - OSH) [+ 50 Points]:</w:t>
      </w:r>
      <w:r>
        <w:t xml:space="preserve"> </w:t>
      </w:r>
      <w:r>
        <w:t xml:space="preserve">Uploading verified credentials of registered OSH safety officers associated with their direct payroll dramatically boosts the score.</w:t>
      </w:r>
    </w:p>
    <w:bookmarkEnd w:id="23"/>
    <w:bookmarkStart w:id="24" w:name="X8e2397742518fd67161d21a768db45abfdbfa30"/>
    <w:p>
      <w:pPr>
        <w:pStyle w:val="Heading4"/>
      </w:pPr>
      <w:r>
        <w:t xml:space="preserve">D. </w:t>
      </w:r>
      <w:r>
        <w:rPr>
          <w:rFonts w:hint="eastAsia"/>
        </w:rPr>
        <w:t xml:space="preserve">客戶評價</w:t>
      </w:r>
      <w:r>
        <w:t xml:space="preserve"> (Customer Reviews &amp; Sentiment) - Cap: 300 Points</w:t>
      </w:r>
    </w:p>
    <w:p>
      <w:pPr>
        <w:pStyle w:val="FirstParagraph"/>
      </w:pPr>
      <w:r>
        <w:t xml:space="preserve">A continuously ingesting sentiment aggregator ensuring long-term accountability.</w:t>
      </w:r>
      <w:r>
        <w:t xml:space="preserve"> </w:t>
      </w:r>
      <w:r>
        <w:t xml:space="preserve">-</w:t>
      </w:r>
      <w:r>
        <w:t xml:space="preserve"> </w:t>
      </w:r>
      <w:r>
        <w:rPr>
          <w:b/>
          <w:bCs/>
        </w:rPr>
        <w:t xml:space="preserve">Customer Average Rating [Max 150 Points]:</w:t>
      </w:r>
      <w:r>
        <w:t xml:space="preserve"> </w:t>
      </w:r>
      <w:r>
        <w:t xml:space="preserve">The</w:t>
      </w:r>
      <w:r>
        <w:t xml:space="preserve"> </w:t>
      </w:r>
      <w:r>
        <w:rPr>
          <w:rStyle w:val="VerbatimChar"/>
        </w:rPr>
        <w:t xml:space="preserve">POST /api/v1/projects/{id}/rate</w:t>
      </w:r>
      <w:r>
        <w:t xml:space="preserve"> </w:t>
      </w:r>
      <w:r>
        <w:t xml:space="preserve">endpoint accepts a complex multidimensional object evaluating Quality, Pricing, and Service Speed (1-5 stars). The algorithm calculates the aggregate mean, converting a 5-star average strictly into 150 points.</w:t>
      </w:r>
      <w:r>
        <w:t xml:space="preserve"> </w:t>
      </w:r>
      <w:r>
        <w:t xml:space="preserve">-</w:t>
      </w:r>
      <w:r>
        <w:t xml:space="preserve"> </w:t>
      </w:r>
      <w:r>
        <w:rPr>
          <w:b/>
          <w:bCs/>
        </w:rPr>
        <w:t xml:space="preserve">Internal Auditor Subjective Assessment [Max 150 Points]:</w:t>
      </w:r>
      <w:r>
        <w:t xml:space="preserve"> </w:t>
      </w:r>
      <w:r>
        <w:t xml:space="preserve">DecoFinance administrative auditors review the dispute histories, communication latency on the platform, and external social media presence (e.g., negative Facebook groups) to dynamically apply a subjective modifier to punish historically problematic contractors evading direct platform detection.</w:t>
      </w:r>
    </w:p>
    <w:bookmarkEnd w:id="24"/>
    <w:bookmarkStart w:id="25" w:name="scoring-outputs-and-grade-transitions"/>
    <w:p>
      <w:pPr>
        <w:pStyle w:val="Heading4"/>
      </w:pPr>
      <w:r>
        <w:t xml:space="preserve">Scoring Outputs and Grade Transitions</w:t>
      </w:r>
    </w:p>
    <w:p>
      <w:pPr>
        <w:pStyle w:val="FirstParagraph"/>
      </w:pPr>
      <w:r>
        <w:t xml:space="preserve">The total integer output correlates instantly to a letter grade matrix controlling the contractor’s visibility and, more importantly, their base loan APR mapping.</w:t>
      </w:r>
      <w:r>
        <w:t xml:space="preserve"> </w:t>
      </w:r>
      <w:r>
        <w:t xml:space="preserve">*</w:t>
      </w:r>
      <w:r>
        <w:t xml:space="preserve"> </w:t>
      </w:r>
      <w:r>
        <w:rPr>
          <w:b/>
          <w:bCs/>
        </w:rPr>
        <w:t xml:space="preserve">AAA</w:t>
      </w:r>
      <w:r>
        <w:t xml:space="preserve"> </w:t>
      </w:r>
      <w:r>
        <w:t xml:space="preserve">(751 - 1000 points) -&gt; Premier visibility, 3% APR baseline.</w:t>
      </w:r>
      <w:r>
        <w:t xml:space="preserve"> </w:t>
      </w:r>
      <w:r>
        <w:t xml:space="preserve">*</w:t>
      </w:r>
      <w:r>
        <w:t xml:space="preserve"> </w:t>
      </w:r>
      <w:r>
        <w:rPr>
          <w:b/>
          <w:bCs/>
        </w:rPr>
        <w:t xml:space="preserve">AA</w:t>
      </w:r>
      <w:r>
        <w:t xml:space="preserve"> </w:t>
      </w:r>
      <w:r>
        <w:t xml:space="preserve">(701 - 750 points) -&gt; High visibility, 4.5% APR baseline.</w:t>
      </w:r>
      <w:r>
        <w:t xml:space="preserve"> </w:t>
      </w:r>
      <w:r>
        <w:t xml:space="preserve">*</w:t>
      </w:r>
      <w:r>
        <w:t xml:space="preserve"> </w:t>
      </w:r>
      <w:r>
        <w:rPr>
          <w:b/>
          <w:bCs/>
        </w:rPr>
        <w:t xml:space="preserve">A</w:t>
      </w:r>
      <w:r>
        <w:t xml:space="preserve"> </w:t>
      </w:r>
      <w:r>
        <w:t xml:space="preserve">(651 - 700 points) -&gt; Standard visibility, 6% APR baseline.</w:t>
      </w:r>
      <w:r>
        <w:t xml:space="preserve"> </w:t>
      </w:r>
      <w:r>
        <w:t xml:space="preserve">*</w:t>
      </w:r>
      <w:r>
        <w:t xml:space="preserve"> </w:t>
      </w:r>
      <w:r>
        <w:rPr>
          <w:b/>
          <w:bCs/>
        </w:rPr>
        <w:t xml:space="preserve">BBB</w:t>
      </w:r>
      <w:r>
        <w:t xml:space="preserve"> </w:t>
      </w:r>
      <w:r>
        <w:t xml:space="preserve">(601 - 650 points)</w:t>
      </w:r>
      <w:r>
        <w:t xml:space="preserve"> </w:t>
      </w:r>
      <w:r>
        <w:t xml:space="preserve">*</w:t>
      </w:r>
      <w:r>
        <w:t xml:space="preserve"> </w:t>
      </w:r>
      <w:r>
        <w:rPr>
          <w:b/>
          <w:bCs/>
        </w:rPr>
        <w:t xml:space="preserve">BB</w:t>
      </w:r>
      <w:r>
        <w:t xml:space="preserve"> </w:t>
      </w:r>
      <w:r>
        <w:t xml:space="preserve">(551 - 600 points)</w:t>
      </w:r>
      <w:r>
        <w:t xml:space="preserve"> </w:t>
      </w:r>
      <w:r>
        <w:t xml:space="preserve">*</w:t>
      </w:r>
      <w:r>
        <w:t xml:space="preserve"> </w:t>
      </w:r>
      <w:r>
        <w:rPr>
          <w:b/>
          <w:bCs/>
        </w:rPr>
        <w:t xml:space="preserve">B</w:t>
      </w:r>
      <w:r>
        <w:t xml:space="preserve"> </w:t>
      </w:r>
      <w:r>
        <w:t xml:space="preserve">(501 - 550 points)</w:t>
      </w:r>
      <w:r>
        <w:t xml:space="preserve"> </w:t>
      </w:r>
      <w:r>
        <w:t xml:space="preserve">*</w:t>
      </w:r>
      <w:r>
        <w:t xml:space="preserve"> </w:t>
      </w:r>
      <w:r>
        <w:rPr>
          <w:b/>
          <w:bCs/>
        </w:rPr>
        <w:t xml:space="preserve">C</w:t>
      </w:r>
      <w:r>
        <w:t xml:space="preserve"> </w:t>
      </w:r>
      <w:r>
        <w:t xml:space="preserve">(0 - 500 points) -&gt; Restricted from bidding on high-value projects, barred from lending pool.</w:t>
      </w:r>
    </w:p>
    <w:bookmarkEnd w:id="25"/>
    <w:bookmarkEnd w:id="26"/>
    <w:bookmarkStart w:id="27" w:name="Xf90275a38a2038a76341c9ad3689dac7b476ba2"/>
    <w:p>
      <w:pPr>
        <w:pStyle w:val="Heading3"/>
      </w:pPr>
      <w:r>
        <w:t xml:space="preserve">2. State Machine: Simulated Escrow Ledger (</w:t>
      </w:r>
      <w:r>
        <w:rPr>
          <w:rStyle w:val="VerbatimChar"/>
        </w:rPr>
        <w:t xml:space="preserve">models/escrow_ledger_entry.py</w:t>
      </w:r>
      <w:r>
        <w:t xml:space="preserve">)</w:t>
      </w:r>
    </w:p>
    <w:p>
      <w:pPr>
        <w:pStyle w:val="FirstParagraph"/>
      </w:pPr>
      <w:r>
        <w:t xml:space="preserve">To prevent unauthorized ledger manipulation and ensure transactional integrity, the Escrow execution strictly adheres to a one-directional, deterministic state machine utilizing atomic SQL transactions (</w:t>
      </w:r>
      <w:r>
        <w:rPr>
          <w:rStyle w:val="VerbatimChar"/>
        </w:rPr>
        <w:t xml:space="preserve">session.commit()</w:t>
      </w:r>
      <w:r>
        <w:t xml:space="preserve"> </w:t>
      </w:r>
      <w:r>
        <w:t xml:space="preserve">wrapped with aggressive</w:t>
      </w:r>
      <w:r>
        <w:t xml:space="preserve"> </w:t>
      </w:r>
      <w:r>
        <w:rPr>
          <w:rStyle w:val="VerbatimChar"/>
        </w:rPr>
        <w:t xml:space="preserve">session.rollback()</w:t>
      </w:r>
      <w:r>
        <w:t xml:space="preserve"> </w:t>
      </w:r>
      <w:r>
        <w:t xml:space="preserve">handlers). The object lifecycle is bounded exclusively by these constants:</w:t>
      </w:r>
      <w:r>
        <w:t xml:space="preserve"> </w:t>
      </w:r>
      <w:r>
        <w:t xml:space="preserve">-</w:t>
      </w:r>
      <w:r>
        <w:t xml:space="preserve"> </w:t>
      </w:r>
      <w:r>
        <w:rPr>
          <w:b/>
          <w:bCs/>
        </w:rPr>
        <w:t xml:space="preserve">State: DRAFT:</w:t>
      </w:r>
      <w:r>
        <w:t xml:space="preserve"> </w:t>
      </w:r>
      <w:r>
        <w:t xml:space="preserve">The smart contract object is instantiated upon bid acceptance. Awaiting capital injection.</w:t>
      </w:r>
      <w:r>
        <w:t xml:space="preserve"> </w:t>
      </w:r>
      <w:r>
        <w:t xml:space="preserve">-</w:t>
      </w:r>
      <w:r>
        <w:t xml:space="preserve"> </w:t>
      </w:r>
      <w:r>
        <w:rPr>
          <w:b/>
          <w:bCs/>
        </w:rPr>
        <w:t xml:space="preserve">State: FUNDED:</w:t>
      </w:r>
      <w:r>
        <w:t xml:space="preserve"> </w:t>
      </w:r>
      <w:r>
        <w:t xml:space="preserve">The customer transmits the full agreed-upon project balance to the DecoFinance omnibus account via traditional banking rails or payment gateways. The backend confirms receipt, and capital becomes cryptographically frozen.</w:t>
      </w:r>
      <w:r>
        <w:t xml:space="preserve"> </w:t>
      </w:r>
      <w:r>
        <w:t xml:space="preserve">-</w:t>
      </w:r>
      <w:r>
        <w:t xml:space="preserve"> </w:t>
      </w:r>
      <w:r>
        <w:rPr>
          <w:b/>
          <w:bCs/>
        </w:rPr>
        <w:t xml:space="preserve">State: IN_PROGRESS:</w:t>
      </w:r>
      <w:r>
        <w:t xml:space="preserve"> </w:t>
      </w:r>
      <w:r>
        <w:t xml:space="preserve">Represents an active construction phase. Milestones populate linearly (e.g., Demolition, Plumbing, Tiling, Carpentry).</w:t>
      </w:r>
      <w:r>
        <w:t xml:space="preserve"> </w:t>
      </w:r>
      <w:r>
        <w:t xml:space="preserve">-</w:t>
      </w:r>
      <w:r>
        <w:t xml:space="preserve"> </w:t>
      </w:r>
      <w:r>
        <w:rPr>
          <w:b/>
          <w:bCs/>
        </w:rPr>
        <w:t xml:space="preserve">State: MILESTONE_COMPLETED:</w:t>
      </w:r>
      <w:r>
        <w:t xml:space="preserve"> </w:t>
      </w:r>
      <w:r>
        <w:t xml:space="preserve">The company asserts the phase is finished, uploading photographic proofs (</w:t>
      </w:r>
      <w:r>
        <w:rPr>
          <w:rStyle w:val="VerbatimChar"/>
        </w:rPr>
        <w:t xml:space="preserve">evidence_urls</w:t>
      </w:r>
      <w:r>
        <w:t xml:space="preserve">) to AWS S3. The customer reviews the evidence and the physical site, sending the</w:t>
      </w:r>
      <w:r>
        <w:t xml:space="preserve"> </w:t>
      </w:r>
      <w:r>
        <w:rPr>
          <w:rStyle w:val="VerbatimChar"/>
        </w:rPr>
        <w:t xml:space="preserve">POST /api/v1/milestones/{id}/accept</w:t>
      </w:r>
      <w:r>
        <w:t xml:space="preserve"> </w:t>
      </w:r>
      <w:r>
        <w:t xml:space="preserve">payload.</w:t>
      </w:r>
      <w:r>
        <w:t xml:space="preserve"> </w:t>
      </w:r>
      <w:r>
        <w:t xml:space="preserve">-</w:t>
      </w:r>
      <w:r>
        <w:t xml:space="preserve"> </w:t>
      </w:r>
      <w:r>
        <w:rPr>
          <w:b/>
          <w:bCs/>
        </w:rPr>
        <w:t xml:space="preserve">State: FUNDS_RELEASED:</w:t>
      </w:r>
      <w:r>
        <w:t xml:space="preserve"> </w:t>
      </w:r>
      <w:r>
        <w:t xml:space="preserve">This action is the critical juncture. The backend executes an automated payout fractioning algorithm. The system performs an instantaneous database lookup checking for any active</w:t>
      </w:r>
      <w:r>
        <w:t xml:space="preserve"> </w:t>
      </w:r>
      <w:r>
        <w:rPr>
          <w:rStyle w:val="VerbatimChar"/>
        </w:rPr>
        <w:t xml:space="preserve">LoanApplication</w:t>
      </w:r>
      <w:r>
        <w:t xml:space="preserve"> </w:t>
      </w:r>
      <w:r>
        <w:t xml:space="preserve">tied to this</w:t>
      </w:r>
      <w:r>
        <w:t xml:space="preserve"> </w:t>
      </w:r>
      <w:r>
        <w:rPr>
          <w:rStyle w:val="VerbatimChar"/>
        </w:rPr>
        <w:t xml:space="preserve">Project</w:t>
      </w:r>
      <w:r>
        <w:t xml:space="preserve">. If a $100k loan exists, the deduction splits programmatically (e.g., 40% automatically routed back to DecoFinance to recover principal and accumulated interest, with the remaining 60% released to the Contractor’s operating account). This atomic operation is logged permanently into the</w:t>
      </w:r>
      <w:r>
        <w:t xml:space="preserve"> </w:t>
      </w:r>
      <w:r>
        <w:rPr>
          <w:rStyle w:val="VerbatimChar"/>
        </w:rPr>
        <w:t xml:space="preserve">AuditLog</w:t>
      </w:r>
      <w:r>
        <w:t xml:space="preserve">.</w:t>
      </w:r>
    </w:p>
    <w:bookmarkEnd w:id="27"/>
    <w:bookmarkEnd w:id="28"/>
    <w:bookmarkStart w:id="32" w:name="system-development"/>
    <w:p>
      <w:pPr>
        <w:pStyle w:val="Heading2"/>
      </w:pPr>
      <w:r>
        <w:t xml:space="preserve">System Development</w:t>
      </w:r>
    </w:p>
    <w:p>
      <w:pPr>
        <w:pStyle w:val="FirstParagraph"/>
      </w:pPr>
      <w:r>
        <w:t xml:space="preserve">Deploying a robust, scalable FinTech ecosystem demands rigorous architectural separation between presentation logic and complex mathematical back-office execution. DecoFinance achieves this via a modernized, highly decoupled structural topology.</w:t>
      </w:r>
    </w:p>
    <w:bookmarkStart w:id="29" w:name="architecture-topology"/>
    <w:p>
      <w:pPr>
        <w:pStyle w:val="Heading3"/>
      </w:pPr>
      <w:r>
        <w:t xml:space="preserve">Architecture Topology</w:t>
      </w:r>
    </w:p>
    <w:p>
      <w:pPr>
        <w:pStyle w:val="FirstParagraph"/>
      </w:pPr>
      <w:r>
        <w:rPr>
          <w:b/>
          <w:bCs/>
        </w:rPr>
        <w:t xml:space="preserve">1. Frontend Presentation Tier (Dual UI Strategy):</w:t>
      </w:r>
      <w:r>
        <w:t xml:space="preserve"> </w:t>
      </w:r>
      <w:r>
        <w:t xml:space="preserve">-</w:t>
      </w:r>
      <w:r>
        <w:t xml:space="preserve"> </w:t>
      </w:r>
      <w:r>
        <w:rPr>
          <w:b/>
          <w:bCs/>
        </w:rPr>
        <w:t xml:space="preserve">SSR Context (Jinja2):</w:t>
      </w:r>
      <w:r>
        <w:t xml:space="preserve"> </w:t>
      </w:r>
      <w:r>
        <w:t xml:space="preserve">Conventional static interactions, public-facing company directories, SEO-critical endpoints, and foundational login/registration routines are meticulously managed by Python Flask’s embedded Jinja2 templating engine. This guarantees maximum search engine visibility and prevents heavy bundle downloads for unauthenticated, transient traffic.</w:t>
      </w:r>
      <w:r>
        <w:t xml:space="preserve"> </w:t>
      </w:r>
      <w:r>
        <w:t xml:space="preserve">-</w:t>
      </w:r>
      <w:r>
        <w:t xml:space="preserve"> </w:t>
      </w:r>
      <w:r>
        <w:rPr>
          <w:b/>
          <w:bCs/>
        </w:rPr>
        <w:t xml:space="preserve">React/Vite SPA (</w:t>
      </w:r>
      <w:r>
        <w:rPr>
          <w:rStyle w:val="VerbatimChar"/>
          <w:b/>
          <w:bCs/>
        </w:rPr>
        <w:t xml:space="preserve">/new-ui</w:t>
      </w:r>
      <w:r>
        <w:rPr>
          <w:b/>
          <w:bCs/>
        </w:rPr>
        <w:t xml:space="preserve">):</w:t>
      </w:r>
      <w:r>
        <w:t xml:space="preserve"> </w:t>
      </w:r>
      <w:r>
        <w:t xml:space="preserve">The sophisticated, state-heavy dashboards—particularly the Customer Project Structuring Wizard, the Company multi-part data array uploads (handling hundreds of photos mapping to S3 URIs), and the Reviewer Audit grids—are completely decoupled. They exist as a distinct React.js Single Page Application, compiled by Vite, and mounted under an isolated</w:t>
      </w:r>
      <w:r>
        <w:t xml:space="preserve"> </w:t>
      </w:r>
      <w:r>
        <w:rPr>
          <w:rStyle w:val="VerbatimChar"/>
        </w:rPr>
        <w:t xml:space="preserve">/new-ui</w:t>
      </w:r>
      <w:r>
        <w:t xml:space="preserve"> </w:t>
      </w:r>
      <w:r>
        <w:t xml:space="preserve">route. This allows the utilization of advanced component libraries (like complex drag-and-drop zones and interactive chart mapping) without bloating the foundational framework.</w:t>
      </w:r>
    </w:p>
    <w:bookmarkEnd w:id="29"/>
    <w:bookmarkStart w:id="30" w:name="architectural-topology"/>
    <w:p>
      <w:pPr>
        <w:pStyle w:val="Heading3"/>
      </w:pPr>
      <w:r>
        <w:t xml:space="preserve">Architectural Topology</w:t>
      </w:r>
    </w:p>
    <w:p>
      <w:pPr>
        <w:pStyle w:val="SourceCode"/>
      </w:pPr>
      <w:r>
        <w:rPr>
          <w:rStyle w:val="VerbatimChar"/>
        </w:rPr>
        <w:t xml:space="preserve">flowchart TD</w:t>
      </w:r>
      <w:r>
        <w:br/>
      </w:r>
      <w:r>
        <w:rPr>
          <w:rStyle w:val="VerbatimChar"/>
        </w:rPr>
        <w:t xml:space="preserve">    Client[Web Client Browser]</w:t>
      </w:r>
      <w:r>
        <w:br/>
      </w:r>
      <w:r>
        <w:rPr>
          <w:rStyle w:val="VerbatimChar"/>
        </w:rPr>
        <w:t xml:space="preserve">    </w:t>
      </w:r>
      <w:r>
        <w:br/>
      </w:r>
      <w:r>
        <w:rPr>
          <w:rStyle w:val="VerbatimChar"/>
        </w:rPr>
        <w:t xml:space="preserve">    subgraph Frontend</w:t>
      </w:r>
      <w:r>
        <w:br/>
      </w:r>
      <w:r>
        <w:rPr>
          <w:rStyle w:val="VerbatimChar"/>
        </w:rPr>
        <w:t xml:space="preserve">        SSR[Jinja2 / Static HTML]</w:t>
      </w:r>
      <w:r>
        <w:br/>
      </w:r>
      <w:r>
        <w:rPr>
          <w:rStyle w:val="VerbatimChar"/>
        </w:rPr>
        <w:t xml:space="preserve">        SPA[React.js Vite UI - /new-ui]</w:t>
      </w:r>
      <w:r>
        <w:br/>
      </w:r>
      <w:r>
        <w:rPr>
          <w:rStyle w:val="VerbatimChar"/>
        </w:rPr>
        <w:t xml:space="preserve">    end</w:t>
      </w:r>
      <w:r>
        <w:br/>
      </w:r>
      <w:r>
        <w:rPr>
          <w:rStyle w:val="VerbatimChar"/>
        </w:rPr>
        <w:t xml:space="preserve">    </w:t>
      </w:r>
      <w:r>
        <w:br/>
      </w:r>
      <w:r>
        <w:rPr>
          <w:rStyle w:val="VerbatimChar"/>
        </w:rPr>
        <w:t xml:space="preserve">    subgraph Flask Backend</w:t>
      </w:r>
      <w:r>
        <w:br/>
      </w:r>
      <w:r>
        <w:rPr>
          <w:rStyle w:val="VerbatimChar"/>
        </w:rPr>
        <w:t xml:space="preserve">        Router[Flask Application / Blueprints]</w:t>
      </w:r>
      <w:r>
        <w:br/>
      </w:r>
      <w:r>
        <w:rPr>
          <w:rStyle w:val="VerbatimChar"/>
        </w:rPr>
        <w:t xml:space="preserve">        Auth[utils/auth_helper.py]</w:t>
      </w:r>
      <w:r>
        <w:br/>
      </w:r>
      <w:r>
        <w:rPr>
          <w:rStyle w:val="VerbatimChar"/>
        </w:rPr>
        <w:t xml:space="preserve">        </w:t>
      </w:r>
      <w:r>
        <w:br/>
      </w:r>
      <w:r>
        <w:rPr>
          <w:rStyle w:val="VerbatimChar"/>
        </w:rPr>
        <w:t xml:space="preserve">        subgraph Services</w:t>
      </w:r>
      <w:r>
        <w:br/>
      </w:r>
      <w:r>
        <w:rPr>
          <w:rStyle w:val="VerbatimChar"/>
        </w:rPr>
        <w:t xml:space="preserve">            Scorer[services/credit_scorer.py]</w:t>
      </w:r>
      <w:r>
        <w:br/>
      </w:r>
      <w:r>
        <w:rPr>
          <w:rStyle w:val="VerbatimChar"/>
        </w:rPr>
        <w:t xml:space="preserve">            Escrow[services/escrow_manager.py]</w:t>
      </w:r>
      <w:r>
        <w:br/>
      </w:r>
      <w:r>
        <w:rPr>
          <w:rStyle w:val="VerbatimChar"/>
        </w:rPr>
        <w:t xml:space="preserve">        end</w:t>
      </w:r>
      <w:r>
        <w:br/>
      </w:r>
      <w:r>
        <w:rPr>
          <w:rStyle w:val="VerbatimChar"/>
        </w:rPr>
        <w:t xml:space="preserve">    end</w:t>
      </w:r>
      <w:r>
        <w:br/>
      </w:r>
      <w:r>
        <w:rPr>
          <w:rStyle w:val="VerbatimChar"/>
        </w:rPr>
        <w:t xml:space="preserve">    </w:t>
      </w:r>
      <w:r>
        <w:br/>
      </w:r>
      <w:r>
        <w:rPr>
          <w:rStyle w:val="VerbatimChar"/>
        </w:rPr>
        <w:t xml:space="preserve">    subgraph Database Layer</w:t>
      </w:r>
      <w:r>
        <w:br/>
      </w:r>
      <w:r>
        <w:rPr>
          <w:rStyle w:val="VerbatimChar"/>
        </w:rPr>
        <w:t xml:space="preserve">        ORM[SQLAlchemy ORM]</w:t>
      </w:r>
      <w:r>
        <w:br/>
      </w:r>
      <w:r>
        <w:rPr>
          <w:rStyle w:val="VerbatimChar"/>
        </w:rPr>
        <w:t xml:space="preserve">        DB[(SQLite Database)]</w:t>
      </w:r>
      <w:r>
        <w:br/>
      </w:r>
      <w:r>
        <w:rPr>
          <w:rStyle w:val="VerbatimChar"/>
        </w:rPr>
        <w:t xml:space="preserve">    end</w:t>
      </w:r>
      <w:r>
        <w:br/>
      </w:r>
      <w:r>
        <w:br/>
      </w:r>
      <w:r>
        <w:rPr>
          <w:rStyle w:val="VerbatimChar"/>
        </w:rPr>
        <w:t xml:space="preserve">    Client --&gt; SSR</w:t>
      </w:r>
      <w:r>
        <w:br/>
      </w:r>
      <w:r>
        <w:rPr>
          <w:rStyle w:val="VerbatimChar"/>
        </w:rPr>
        <w:t xml:space="preserve">    Client --&gt; SPA</w:t>
      </w:r>
      <w:r>
        <w:br/>
      </w:r>
      <w:r>
        <w:rPr>
          <w:rStyle w:val="VerbatimChar"/>
        </w:rPr>
        <w:t xml:space="preserve">    SPA --&gt; Router</w:t>
      </w:r>
      <w:r>
        <w:br/>
      </w:r>
      <w:r>
        <w:rPr>
          <w:rStyle w:val="VerbatimChar"/>
        </w:rPr>
        <w:t xml:space="preserve">    SSR --&gt; Router</w:t>
      </w:r>
      <w:r>
        <w:br/>
      </w:r>
      <w:r>
        <w:rPr>
          <w:rStyle w:val="VerbatimChar"/>
        </w:rPr>
        <w:t xml:space="preserve">    Router --&gt; Auth</w:t>
      </w:r>
      <w:r>
        <w:br/>
      </w:r>
      <w:r>
        <w:rPr>
          <w:rStyle w:val="VerbatimChar"/>
        </w:rPr>
        <w:t xml:space="preserve">    Router --&gt; Scorer</w:t>
      </w:r>
      <w:r>
        <w:br/>
      </w:r>
      <w:r>
        <w:rPr>
          <w:rStyle w:val="VerbatimChar"/>
        </w:rPr>
        <w:t xml:space="preserve">    Router --&gt; Escrow</w:t>
      </w:r>
      <w:r>
        <w:br/>
      </w:r>
      <w:r>
        <w:rPr>
          <w:rStyle w:val="VerbatimChar"/>
        </w:rPr>
        <w:t xml:space="preserve">    Auth --&gt; ORM</w:t>
      </w:r>
      <w:r>
        <w:br/>
      </w:r>
      <w:r>
        <w:rPr>
          <w:rStyle w:val="VerbatimChar"/>
        </w:rPr>
        <w:t xml:space="preserve">    Scorer --&gt; ORM</w:t>
      </w:r>
      <w:r>
        <w:br/>
      </w:r>
      <w:r>
        <w:rPr>
          <w:rStyle w:val="VerbatimChar"/>
        </w:rPr>
        <w:t xml:space="preserve">    Escrow --&gt; ORM</w:t>
      </w:r>
      <w:r>
        <w:br/>
      </w:r>
      <w:r>
        <w:rPr>
          <w:rStyle w:val="VerbatimChar"/>
        </w:rPr>
        <w:t xml:space="preserve">    ORM --&gt; DB</w:t>
      </w:r>
    </w:p>
    <w:p>
      <w:pPr>
        <w:pStyle w:val="FirstParagraph"/>
      </w:pPr>
      <w:r>
        <w:rPr>
          <w:b/>
          <w:bCs/>
        </w:rPr>
        <w:t xml:space="preserve">2. Backend API Gateway (Flask Blueprinting):</w:t>
      </w:r>
      <w:r>
        <w:t xml:space="preserve"> </w:t>
      </w:r>
      <w:r>
        <w:t xml:space="preserve">Python 3.9+ operates as the supreme orchestrator utilizing Flask. To prevent monolithic code entanglement, the application utilizes extensive blueprint routing, isolating modules cleanly into</w:t>
      </w:r>
      <w:r>
        <w:t xml:space="preserve"> </w:t>
      </w:r>
      <w:r>
        <w:rPr>
          <w:rStyle w:val="VerbatimChar"/>
        </w:rPr>
        <w:t xml:space="preserve">routes/api.py</w:t>
      </w:r>
      <w:r>
        <w:t xml:space="preserve">,</w:t>
      </w:r>
      <w:r>
        <w:t xml:space="preserve"> </w:t>
      </w:r>
      <w:r>
        <w:rPr>
          <w:rStyle w:val="VerbatimChar"/>
        </w:rPr>
        <w:t xml:space="preserve">routes/loans.py</w:t>
      </w:r>
      <w:r>
        <w:t xml:space="preserve">,</w:t>
      </w:r>
      <w:r>
        <w:t xml:space="preserve"> </w:t>
      </w:r>
      <w:r>
        <w:rPr>
          <w:rStyle w:val="VerbatimChar"/>
        </w:rPr>
        <w:t xml:space="preserve">routes/auth.py</w:t>
      </w:r>
      <w:r>
        <w:t xml:space="preserve">, and</w:t>
      </w:r>
      <w:r>
        <w:t xml:space="preserve"> </w:t>
      </w:r>
      <w:r>
        <w:rPr>
          <w:rStyle w:val="VerbatimChar"/>
        </w:rPr>
        <w:t xml:space="preserve">routes/admin.py</w:t>
      </w:r>
      <w:r>
        <w:t xml:space="preserve">.</w:t>
      </w:r>
    </w:p>
    <w:p>
      <w:pPr>
        <w:pStyle w:val="BodyText"/>
      </w:pPr>
      <w:r>
        <w:rPr>
          <w:b/>
          <w:bCs/>
        </w:rPr>
        <w:t xml:space="preserve">3. Data Relational Layer (SQLAlchemy ORM):</w:t>
      </w:r>
      <w:r>
        <w:t xml:space="preserve"> </w:t>
      </w:r>
      <w:r>
        <w:t xml:space="preserve">By establishing explicit Object Relational Mappings (</w:t>
      </w:r>
      <w:r>
        <w:rPr>
          <w:rStyle w:val="VerbatimChar"/>
        </w:rPr>
        <w:t xml:space="preserve">models/company.py</w:t>
      </w:r>
      <w:r>
        <w:t xml:space="preserve">,</w:t>
      </w:r>
      <w:r>
        <w:t xml:space="preserve"> </w:t>
      </w:r>
      <w:r>
        <w:rPr>
          <w:rStyle w:val="VerbatimChar"/>
        </w:rPr>
        <w:t xml:space="preserve">models/smart_contract_agreement.py</w:t>
      </w:r>
      <w:r>
        <w:t xml:space="preserve">), the platform inherently defenses against SQL injections. SQLAlchemy seamlessly manages entity lifecycles, enabling the system to manipulate complex JSON arrays (e.g., tracking</w:t>
      </w:r>
      <w:r>
        <w:t xml:space="preserve"> </w:t>
      </w:r>
      <w:r>
        <w:rPr>
          <w:rStyle w:val="VerbatimChar"/>
        </w:rPr>
        <w:t xml:space="preserve">design_diagram_urls</w:t>
      </w:r>
      <w:r>
        <w:t xml:space="preserve">) securely within relational SQLite paradigms native to standard containerized deployments.</w:t>
      </w:r>
    </w:p>
    <w:bookmarkEnd w:id="30"/>
    <w:bookmarkStart w:id="31" w:name="the-complete-end-to-end-workflow-model"/>
    <w:p>
      <w:pPr>
        <w:pStyle w:val="Heading3"/>
      </w:pPr>
      <w:r>
        <w:t xml:space="preserve">The Complete End-to-End Workflow Model</w:t>
      </w:r>
    </w:p>
    <w:p>
      <w:pPr>
        <w:pStyle w:val="SourceCode"/>
      </w:pPr>
      <w:r>
        <w:rPr>
          <w:rStyle w:val="VerbatimChar"/>
        </w:rPr>
        <w:t xml:space="preserve">sequenceDiagram</w:t>
      </w:r>
      <w:r>
        <w:br/>
      </w:r>
      <w:r>
        <w:rPr>
          <w:rStyle w:val="VerbatimChar"/>
        </w:rPr>
        <w:t xml:space="preserve">    participant C as Customer</w:t>
      </w:r>
      <w:r>
        <w:br/>
      </w:r>
      <w:r>
        <w:rPr>
          <w:rStyle w:val="VerbatimChar"/>
        </w:rPr>
        <w:t xml:space="preserve">    participant P as Platform (DecoFinance)</w:t>
      </w:r>
      <w:r>
        <w:br/>
      </w:r>
      <w:r>
        <w:rPr>
          <w:rStyle w:val="VerbatimChar"/>
        </w:rPr>
        <w:t xml:space="preserve">    participant S as SME Contractor</w:t>
      </w:r>
      <w:r>
        <w:br/>
      </w:r>
      <w:r>
        <w:rPr>
          <w:rStyle w:val="VerbatimChar"/>
        </w:rPr>
        <w:t xml:space="preserve">    participant B as Banking Partner</w:t>
      </w:r>
      <w:r>
        <w:br/>
      </w:r>
      <w:r>
        <w:br/>
      </w:r>
      <w:r>
        <w:rPr>
          <w:rStyle w:val="VerbatimChar"/>
        </w:rPr>
        <w:t xml:space="preserve">    Note over S, P: Stage 1: Identity &amp; Compliance</w:t>
      </w:r>
      <w:r>
        <w:br/>
      </w:r>
      <w:r>
        <w:rPr>
          <w:rStyle w:val="VerbatimChar"/>
        </w:rPr>
        <w:t xml:space="preserve">    S-&gt;&gt;P: Register &amp; Upload Specs (BD/OSH)</w:t>
      </w:r>
      <w:r>
        <w:br/>
      </w:r>
      <w:r>
        <w:rPr>
          <w:rStyle w:val="VerbatimChar"/>
        </w:rPr>
        <w:t xml:space="preserve">    P--&gt;&gt;S: Baseline 4D Trust Score Assigned</w:t>
      </w:r>
      <w:r>
        <w:br/>
      </w:r>
      <w:r>
        <w:br/>
      </w:r>
      <w:r>
        <w:rPr>
          <w:rStyle w:val="VerbatimChar"/>
        </w:rPr>
        <w:t xml:space="preserve">    Note over C, P: Stage 2: Project Structuring</w:t>
      </w:r>
      <w:r>
        <w:br/>
      </w:r>
      <w:r>
        <w:rPr>
          <w:rStyle w:val="VerbatimChar"/>
        </w:rPr>
        <w:t xml:space="preserve">    C-&gt;&gt;P: Create Project via Wizard (Budget, Style)</w:t>
      </w:r>
      <w:r>
        <w:br/>
      </w:r>
      <w:r>
        <w:rPr>
          <w:rStyle w:val="VerbatimChar"/>
        </w:rPr>
        <w:t xml:space="preserve">    P--&gt;&gt;S: Project Broadcasted to SMEs</w:t>
      </w:r>
      <w:r>
        <w:br/>
      </w:r>
      <w:r>
        <w:br/>
      </w:r>
      <w:r>
        <w:rPr>
          <w:rStyle w:val="VerbatimChar"/>
        </w:rPr>
        <w:t xml:space="preserve">    Note over C, S: Stage 3: Bidding &amp; Escrow</w:t>
      </w:r>
      <w:r>
        <w:br/>
      </w:r>
      <w:r>
        <w:rPr>
          <w:rStyle w:val="VerbatimChar"/>
        </w:rPr>
        <w:t xml:space="preserve">    S-&gt;&gt;P: Submit Bid &amp; Design Diagram</w:t>
      </w:r>
      <w:r>
        <w:br/>
      </w:r>
      <w:r>
        <w:rPr>
          <w:rStyle w:val="VerbatimChar"/>
        </w:rPr>
        <w:t xml:space="preserve">    C-&gt;&gt;P: Approves Bid</w:t>
      </w:r>
      <w:r>
        <w:br/>
      </w:r>
      <w:r>
        <w:rPr>
          <w:rStyle w:val="VerbatimChar"/>
        </w:rPr>
        <w:t xml:space="preserve">    C-&gt;&gt;P: Deposit Full Funds to Escrow</w:t>
      </w:r>
      <w:r>
        <w:br/>
      </w:r>
      <w:r>
        <w:rPr>
          <w:rStyle w:val="VerbatimChar"/>
        </w:rPr>
        <w:t xml:space="preserve">    P--&gt;&gt;P: Smart Contract Locked (State: FUNDED)</w:t>
      </w:r>
      <w:r>
        <w:br/>
      </w:r>
      <w:r>
        <w:br/>
      </w:r>
      <w:r>
        <w:rPr>
          <w:rStyle w:val="VerbatimChar"/>
        </w:rPr>
        <w:t xml:space="preserve">    Note over S, B: Stage 4: Intelligent Financing</w:t>
      </w:r>
      <w:r>
        <w:br/>
      </w:r>
      <w:r>
        <w:rPr>
          <w:rStyle w:val="VerbatimChar"/>
        </w:rPr>
        <w:t xml:space="preserve">    S-&gt;&gt;P: Request Material Loan against Escrow</w:t>
      </w:r>
      <w:r>
        <w:br/>
      </w:r>
      <w:r>
        <w:rPr>
          <w:rStyle w:val="VerbatimChar"/>
        </w:rPr>
        <w:t xml:space="preserve">    P-&gt;&gt;B: Encrypted Borrower Data &amp; Trust Score</w:t>
      </w:r>
      <w:r>
        <w:br/>
      </w:r>
      <w:r>
        <w:rPr>
          <w:rStyle w:val="VerbatimChar"/>
        </w:rPr>
        <w:t xml:space="preserve">    B--&gt;&gt;S: Loan Advanced (Secured by Escrow)</w:t>
      </w:r>
      <w:r>
        <w:br/>
      </w:r>
      <w:r>
        <w:br/>
      </w:r>
      <w:r>
        <w:rPr>
          <w:rStyle w:val="VerbatimChar"/>
        </w:rPr>
        <w:t xml:space="preserve">    Note over C, P: Stage 5: Milestone Execution &amp; Release</w:t>
      </w:r>
      <w:r>
        <w:br/>
      </w:r>
      <w:r>
        <w:rPr>
          <w:rStyle w:val="VerbatimChar"/>
        </w:rPr>
        <w:t xml:space="preserve">    S-&gt;&gt;P: Milestone Finished &amp; Proof Uploaded</w:t>
      </w:r>
      <w:r>
        <w:br/>
      </w:r>
      <w:r>
        <w:rPr>
          <w:rStyle w:val="VerbatimChar"/>
        </w:rPr>
        <w:t xml:space="preserve">    P--&gt;&gt;C: Prompt for Review (Chase Progress)</w:t>
      </w:r>
      <w:r>
        <w:br/>
      </w:r>
      <w:r>
        <w:rPr>
          <w:rStyle w:val="VerbatimChar"/>
        </w:rPr>
        <w:t xml:space="preserve">    C-&gt;&gt;P: Accept Milestone</w:t>
      </w:r>
      <w:r>
        <w:br/>
      </w:r>
      <w:r>
        <w:rPr>
          <w:rStyle w:val="VerbatimChar"/>
        </w:rPr>
        <w:t xml:space="preserve">    P-&gt;&gt;P: Atomic Splitting (Deduct Loan Principal &amp; Interest)</w:t>
      </w:r>
      <w:r>
        <w:br/>
      </w:r>
      <w:r>
        <w:rPr>
          <w:rStyle w:val="VerbatimChar"/>
        </w:rPr>
        <w:t xml:space="preserve">    P--&gt;&gt;S: Residual Funds Transferred to SME</w:t>
      </w:r>
      <w:r>
        <w:br/>
      </w:r>
      <w:r>
        <w:rPr>
          <w:rStyle w:val="VerbatimChar"/>
        </w:rPr>
        <w:t xml:space="preserve">    P--&gt;&gt;B: Loan Repayment Transferred</w:t>
      </w:r>
    </w:p>
    <w:p>
      <w:pPr>
        <w:pStyle w:val="Compact"/>
        <w:numPr>
          <w:ilvl w:val="0"/>
          <w:numId w:val="1002"/>
        </w:numPr>
      </w:pPr>
      <w:r>
        <w:rPr>
          <w:b/>
          <w:bCs/>
        </w:rPr>
        <w:t xml:space="preserve">Stage 1 (Identity &amp; Baseline Compliance Initialization):</w:t>
      </w:r>
      <w:r>
        <w:t xml:space="preserve"> </w:t>
      </w:r>
      <w:r>
        <w:t xml:space="preserve">A contracting firm accesses the platform, registers, and uploads foundational compliance records via</w:t>
      </w:r>
      <w:r>
        <w:t xml:space="preserve"> </w:t>
      </w:r>
      <w:r>
        <w:rPr>
          <w:rStyle w:val="VerbatimChar"/>
        </w:rPr>
        <w:t xml:space="preserve">POST /api/v1/company/upload-docs</w:t>
      </w:r>
      <w:r>
        <w:t xml:space="preserve">. Simultaneously, the company submits crucial trans-bureau authorizations via</w:t>
      </w:r>
      <w:r>
        <w:t xml:space="preserve"> </w:t>
      </w:r>
      <w:r>
        <w:rPr>
          <w:rStyle w:val="VerbatimChar"/>
        </w:rPr>
        <w:t xml:space="preserve">POST /api/v1/company/consents</w:t>
      </w:r>
      <w:r>
        <w:t xml:space="preserve">. At this juncture, the Internal Reviewer interrogates the payload, validates the BD Minor Works license, and triggers the initial</w:t>
      </w:r>
      <w:r>
        <w:t xml:space="preserve"> </w:t>
      </w:r>
      <w:r>
        <w:rPr>
          <w:rStyle w:val="VerbatimChar"/>
        </w:rPr>
        <w:t xml:space="preserve">calculate_score()</w:t>
      </w:r>
      <w:r>
        <w:t xml:space="preserve"> </w:t>
      </w:r>
      <w:r>
        <w:t xml:space="preserve">protocol to establish the baseline</w:t>
      </w:r>
      <w:r>
        <w:t xml:space="preserve"> </w:t>
      </w:r>
      <w:r>
        <w:rPr>
          <w:rStyle w:val="VerbatimChar"/>
        </w:rPr>
        <w:t xml:space="preserve">Trust Score</w:t>
      </w:r>
      <w:r>
        <w:t xml:space="preserve">.</w:t>
      </w:r>
    </w:p>
    <w:p>
      <w:pPr>
        <w:pStyle w:val="Compact"/>
        <w:numPr>
          <w:ilvl w:val="0"/>
          <w:numId w:val="1002"/>
        </w:numPr>
      </w:pPr>
      <w:r>
        <w:rPr>
          <w:b/>
          <w:bCs/>
        </w:rPr>
        <w:t xml:space="preserve">Stage 2 (B2C Project Discovery &amp; Wizard Mapping):</w:t>
      </w:r>
      <w:r>
        <w:t xml:space="preserve"> </w:t>
      </w:r>
      <w:r>
        <w:t xml:space="preserve">A verified Customer invokes the interactive</w:t>
      </w:r>
      <w:r>
        <w:t xml:space="preserve"> </w:t>
      </w:r>
      <w:r>
        <w:rPr>
          <w:rStyle w:val="VerbatimChar"/>
        </w:rPr>
        <w:t xml:space="preserve">&lt;ProjectWizard \&gt;</w:t>
      </w:r>
      <w:r>
        <w:t xml:space="preserve"> </w:t>
      </w:r>
      <w:r>
        <w:t xml:space="preserve">through the React SPA. They meticulously structure their project demand, defining specific enumeration metrics:</w:t>
      </w:r>
      <w:r>
        <w:t xml:space="preserve"> </w:t>
      </w:r>
      <w:r>
        <w:rPr>
          <w:rStyle w:val="VerbatimChar"/>
        </w:rPr>
        <w:t xml:space="preserve">flat_category</w:t>
      </w:r>
      <w:r>
        <w:t xml:space="preserve"> </w:t>
      </w:r>
      <w:r>
        <w:t xml:space="preserve">(e.g., standard residential, villa),</w:t>
      </w:r>
      <w:r>
        <w:t xml:space="preserve"> </w:t>
      </w:r>
      <w:r>
        <w:rPr>
          <w:rStyle w:val="VerbatimChar"/>
        </w:rPr>
        <w:t xml:space="preserve">flat_size_sqft</w:t>
      </w:r>
      <w:r>
        <w:t xml:space="preserve">,</w:t>
      </w:r>
      <w:r>
        <w:t xml:space="preserve"> </w:t>
      </w:r>
      <w:r>
        <w:rPr>
          <w:rStyle w:val="VerbatimChar"/>
        </w:rPr>
        <w:t xml:space="preserve">deco_category</w:t>
      </w:r>
      <w:r>
        <w:t xml:space="preserve"> </w:t>
      </w:r>
      <w:r>
        <w:t xml:space="preserve">(e.g., partial plumbing, whole house overhaul), desired</w:t>
      </w:r>
      <w:r>
        <w:t xml:space="preserve"> </w:t>
      </w:r>
      <w:r>
        <w:rPr>
          <w:rStyle w:val="VerbatimChar"/>
        </w:rPr>
        <w:t xml:space="preserve">style</w:t>
      </w:r>
      <w:r>
        <w:t xml:space="preserve"> </w:t>
      </w:r>
      <w:r>
        <w:t xml:space="preserve">(e.g., Nordic Minimalist), and macro budget bounds, published finally via</w:t>
      </w:r>
      <w:r>
        <w:t xml:space="preserve"> </w:t>
      </w:r>
      <w:r>
        <w:rPr>
          <w:rStyle w:val="VerbatimChar"/>
        </w:rPr>
        <w:t xml:space="preserve">POST /api/v1/projects</w:t>
      </w:r>
      <w:r>
        <w:t xml:space="preserve">.</w:t>
      </w:r>
    </w:p>
    <w:p>
      <w:pPr>
        <w:pStyle w:val="Compact"/>
        <w:numPr>
          <w:ilvl w:val="0"/>
          <w:numId w:val="1002"/>
        </w:numPr>
      </w:pPr>
      <w:r>
        <w:rPr>
          <w:b/>
          <w:bCs/>
        </w:rPr>
        <w:t xml:space="preserve">Stage 3 (Algorithmic Bidding &amp; Contract Instantiation):</w:t>
      </w:r>
      <w:r>
        <w:t xml:space="preserve"> </w:t>
      </w:r>
      <w:r>
        <w:t xml:space="preserve">Pre-screened companies query the active project board (</w:t>
      </w:r>
      <w:r>
        <w:rPr>
          <w:rStyle w:val="VerbatimChar"/>
        </w:rPr>
        <w:t xml:space="preserve">GET /api/v1/projects</w:t>
      </w:r>
      <w:r>
        <w:t xml:space="preserve">). They inject dynamic bids including their precise</w:t>
      </w:r>
      <w:r>
        <w:t xml:space="preserve"> </w:t>
      </w:r>
      <w:r>
        <w:rPr>
          <w:rStyle w:val="VerbatimChar"/>
        </w:rPr>
        <w:t xml:space="preserve">quotation_amount</w:t>
      </w:r>
      <w:r>
        <w:t xml:space="preserve">, timeline expectations, and attach external</w:t>
      </w:r>
      <w:r>
        <w:t xml:space="preserve"> </w:t>
      </w:r>
      <w:r>
        <w:rPr>
          <w:rStyle w:val="VerbatimChar"/>
        </w:rPr>
        <w:t xml:space="preserve">design_diagram_urls</w:t>
      </w:r>
      <w:r>
        <w:t xml:space="preserve">. The customer evaluates competing bids—weighing the raw quotation against the contractor’s visual 4D Trust Score—and officially accepts one (</w:t>
      </w:r>
      <w:r>
        <w:rPr>
          <w:rStyle w:val="VerbatimChar"/>
        </w:rPr>
        <w:t xml:space="preserve">POST /api/v1/bids/{id}/accept</w:t>
      </w:r>
      <w:r>
        <w:t xml:space="preserve">). The backend catches this webhook, binds a</w:t>
      </w:r>
      <w:r>
        <w:t xml:space="preserve"> </w:t>
      </w:r>
      <w:r>
        <w:rPr>
          <w:rStyle w:val="VerbatimChar"/>
        </w:rPr>
        <w:t xml:space="preserve">SmartContractAgreement</w:t>
      </w:r>
      <w:r>
        <w:t xml:space="preserve"> </w:t>
      </w:r>
      <w:r>
        <w:t xml:space="preserve">matrix, but deliberately locks the state. Work commences only once full structural funding has been verified and deposited into the platform’s escrow repository.</w:t>
      </w:r>
    </w:p>
    <w:p>
      <w:pPr>
        <w:pStyle w:val="Compact"/>
        <w:numPr>
          <w:ilvl w:val="0"/>
          <w:numId w:val="1002"/>
        </w:numPr>
      </w:pPr>
      <w:r>
        <w:rPr>
          <w:b/>
          <w:bCs/>
        </w:rPr>
        <w:t xml:space="preserve">Stage 4 (Intelligent Financing &amp; External API Packaging):</w:t>
      </w:r>
      <w:r>
        <w:t xml:space="preserve"> </w:t>
      </w:r>
      <w:r>
        <w:t xml:space="preserve">Exploiting their</w:t>
      </w:r>
      <w:r>
        <w:t xml:space="preserve"> </w:t>
      </w:r>
      <w:r>
        <w:t xml:space="preserve">‘AAA’</w:t>
      </w:r>
      <w:r>
        <w:t xml:space="preserve"> </w:t>
      </w:r>
      <w:r>
        <w:t xml:space="preserve">Trust Score and the newly minted Smart Contract as collateral, the contractor requests a material extraction loan via</w:t>
      </w:r>
      <w:r>
        <w:t xml:space="preserve"> </w:t>
      </w:r>
      <w:r>
        <w:rPr>
          <w:rStyle w:val="VerbatimChar"/>
        </w:rPr>
        <w:t xml:space="preserve">POST /api/v1/loans/apply</w:t>
      </w:r>
      <w:r>
        <w:t xml:space="preserve">. DecoFinance’s loan manager aggregates, encrypts, and strictly enforces PDPO data-packaging rules to synthesize the contractor’s BD/TU parameters into a highly secure standalone JSON/PDF payload, transmitting it seamlessly to institutional banking partners for instantaneous liquidity deployment.</w:t>
      </w:r>
    </w:p>
    <w:p>
      <w:pPr>
        <w:pStyle w:val="Compact"/>
        <w:numPr>
          <w:ilvl w:val="0"/>
          <w:numId w:val="1002"/>
        </w:numPr>
      </w:pPr>
      <w:r>
        <w:rPr>
          <w:b/>
          <w:bCs/>
        </w:rPr>
        <w:t xml:space="preserve">Stage 5 (Milestone Cooldown, Validation, &amp; Atomic Release):</w:t>
      </w:r>
      <w:r>
        <w:t xml:space="preserve"> </w:t>
      </w:r>
      <w:r>
        <w:t xml:space="preserve">The contractor executes the first milestone (e.g., demolition). They upload</w:t>
      </w:r>
      <w:r>
        <w:t xml:space="preserve"> </w:t>
      </w:r>
      <w:r>
        <w:rPr>
          <w:rStyle w:val="VerbatimChar"/>
        </w:rPr>
        <w:t xml:space="preserve">evidence_urls</w:t>
      </w:r>
      <w:r>
        <w:t xml:space="preserve"> </w:t>
      </w:r>
      <w:r>
        <w:t xml:space="preserve">and invoke the</w:t>
      </w:r>
      <w:r>
        <w:t xml:space="preserve"> </w:t>
      </w:r>
      <w:r>
        <w:t xml:space="preserve">“Chase Progress”</w:t>
      </w:r>
      <w:r>
        <w:t xml:space="preserve"> </w:t>
      </w:r>
      <w:r>
        <w:t xml:space="preserve">protocol (</w:t>
      </w:r>
      <w:r>
        <w:rPr>
          <w:rStyle w:val="VerbatimChar"/>
        </w:rPr>
        <w:t xml:space="preserve">POST /api/v1/milestones/{id}/chase</w:t>
      </w:r>
      <w:r>
        <w:t xml:space="preserve">) to ping the customer. The customer physically evaluates the site and subsequently triggers</w:t>
      </w:r>
      <w:r>
        <w:t xml:space="preserve"> </w:t>
      </w:r>
      <w:r>
        <w:rPr>
          <w:rStyle w:val="VerbatimChar"/>
        </w:rPr>
        <w:t xml:space="preserve">POST /api/v1/milestones/{id}/accept</w:t>
      </w:r>
      <w:r>
        <w:t xml:space="preserve">. The backend catches this, executes the</w:t>
      </w:r>
      <w:r>
        <w:t xml:space="preserve"> </w:t>
      </w:r>
      <w:r>
        <w:rPr>
          <w:rStyle w:val="VerbatimChar"/>
        </w:rPr>
        <w:t xml:space="preserve">EscrowLedgerEntry</w:t>
      </w:r>
      <w:r>
        <w:t xml:space="preserve"> </w:t>
      </w:r>
      <w:r>
        <w:t xml:space="preserve">transitions, deducts any active loan principal obligations programmatically, and instructs real-time external banking APIs to push the residual liquid capital directly to the contractor’s operational accounts. Should physical conflict arise over workmanship, invoking</w:t>
      </w:r>
      <w:r>
        <w:t xml:space="preserve"> </w:t>
      </w:r>
      <w:r>
        <w:rPr>
          <w:rStyle w:val="VerbatimChar"/>
        </w:rPr>
        <w:t xml:space="preserve">POST /api/v1/milestones/{id}/dispute</w:t>
      </w:r>
      <w:r>
        <w:t xml:space="preserve"> </w:t>
      </w:r>
      <w:r>
        <w:t xml:space="preserve">instantly hard-freezes the ledger, necessitating administrator intervention and mandatory multipart photographic uploads.</w:t>
      </w:r>
    </w:p>
    <w:bookmarkEnd w:id="31"/>
    <w:bookmarkEnd w:id="32"/>
    <w:bookmarkStart w:id="36" w:name="uiux-design"/>
    <w:p>
      <w:pPr>
        <w:pStyle w:val="Heading2"/>
      </w:pPr>
      <w:r>
        <w:t xml:space="preserve">UI/UX Design</w:t>
      </w:r>
    </w:p>
    <w:p>
      <w:pPr>
        <w:pStyle w:val="FirstParagraph"/>
      </w:pPr>
      <w:r>
        <w:t xml:space="preserve">The DecoFinance dual-architecture interface logic enables highly targeted, role-specified interface experiences conforming exactly to the unique operational mental models of three radically disparate user types. The decoupling provided by React.js and Vite ensures interface fluidity even when managing exceptionally dense JSON objects spanning thousands of data nodes.</w:t>
      </w:r>
    </w:p>
    <w:bookmarkStart w:id="33" w:name="Xfa50908e1f9ede6c1b24b60af85e03221ffc3c0"/>
    <w:p>
      <w:pPr>
        <w:pStyle w:val="Heading3"/>
      </w:pPr>
      <w:r>
        <w:t xml:space="preserve">1. The Customer View (B2C Focus - Anxiety Reduction &amp; Transparency)</w:t>
      </w:r>
    </w:p>
    <w:p>
      <w:pPr>
        <w:pStyle w:val="FirstParagraph"/>
      </w:pPr>
      <w:r>
        <w:t xml:space="preserve">The fundamental design philosophy dictating the B2C interfaces is extreme risk-aversion compensation and transparency. The visual hierarchy utilizes calming color palettes and prominent, legally reassuring iconography (e.g., padlock symbols denoting</w:t>
      </w:r>
      <w:r>
        <w:t xml:space="preserve"> </w:t>
      </w:r>
      <w:r>
        <w:t xml:space="preserve">“Funds Locked in Escrow”</w:t>
      </w:r>
      <w:r>
        <w:t xml:space="preserve">).</w:t>
      </w:r>
      <w:r>
        <w:t xml:space="preserve"> </w:t>
      </w:r>
      <w:r>
        <w:t xml:space="preserve">-</w:t>
      </w:r>
      <w:r>
        <w:t xml:space="preserve"> </w:t>
      </w:r>
      <w:r>
        <w:rPr>
          <w:b/>
          <w:bCs/>
        </w:rPr>
        <w:t xml:space="preserve">Trust Visualization:</w:t>
      </w:r>
      <w:r>
        <w:t xml:space="preserve"> </w:t>
      </w:r>
      <w:r>
        <w:t xml:space="preserve">When reviewing bids, the customer is presented with radar charts mapping the contractor’s 4D Trust Score visually, breaking down the abstract</w:t>
      </w:r>
      <w:r>
        <w:t xml:space="preserve"> </w:t>
      </w:r>
      <w:r>
        <w:t xml:space="preserve">‘A’</w:t>
      </w:r>
      <w:r>
        <w:t xml:space="preserve"> </w:t>
      </w:r>
      <w:r>
        <w:t xml:space="preserve">grade into its component vectors (Financial, Qualifications, Sentiment) so the customer understands precisely</w:t>
      </w:r>
      <w:r>
        <w:t xml:space="preserve"> </w:t>
      </w:r>
      <w:r>
        <w:rPr>
          <w:i/>
          <w:iCs/>
        </w:rPr>
        <w:t xml:space="preserve">why</w:t>
      </w:r>
      <w:r>
        <w:t xml:space="preserve"> </w:t>
      </w:r>
      <w:r>
        <w:t xml:space="preserve">the contractor is trusted.</w:t>
      </w:r>
      <w:r>
        <w:t xml:space="preserve"> </w:t>
      </w:r>
      <w:r>
        <w:t xml:space="preserve">-</w:t>
      </w:r>
      <w:r>
        <w:t xml:space="preserve"> </w:t>
      </w:r>
      <w:r>
        <w:rPr>
          <w:b/>
          <w:bCs/>
        </w:rPr>
        <w:t xml:space="preserve">Milestone Matrix:</w:t>
      </w:r>
      <w:r>
        <w:t xml:space="preserve"> </w:t>
      </w:r>
      <w:r>
        <w:t xml:space="preserve">The active project dashboard visualizes construction linearly using a step-tracker component (Phase 1 -&gt; Phase 2 -&gt; Phase 3). Each step clearly delineates the percentage of the remaining escrow budget assigned to it, granting the consumer absolute visual control over their capital burn rate.</w:t>
      </w:r>
    </w:p>
    <w:bookmarkEnd w:id="33"/>
    <w:bookmarkStart w:id="34" w:name="X4eabd562e08d8a5253a05e2e6321a9cc87628b5"/>
    <w:p>
      <w:pPr>
        <w:pStyle w:val="Heading3"/>
      </w:pPr>
      <w:r>
        <w:t xml:space="preserve">2. The Company View (B2B Focus - Operational Density &amp; Cash Flow)</w:t>
      </w:r>
    </w:p>
    <w:p>
      <w:pPr>
        <w:pStyle w:val="FirstParagraph"/>
      </w:pPr>
      <w:r>
        <w:t xml:space="preserve">Contractors require interfaces geared toward rapid data ingestion, analytical depth, and clear cash-flow tracking.</w:t>
      </w:r>
      <w:r>
        <w:t xml:space="preserve"> </w:t>
      </w:r>
      <w:r>
        <w:t xml:space="preserve">-</w:t>
      </w:r>
      <w:r>
        <w:t xml:space="preserve"> </w:t>
      </w:r>
      <w:r>
        <w:rPr>
          <w:b/>
          <w:bCs/>
        </w:rPr>
        <w:t xml:space="preserve">Liquidity Dashboards:</w:t>
      </w:r>
      <w:r>
        <w:t xml:space="preserve"> </w:t>
      </w:r>
      <w:r>
        <w:t xml:space="preserve">The paramount visual element is the real-time cash flow tracker. This chart displays active funds held in escrow, outstanding loan balances deployed against those escrows, and projected next-payout dates.</w:t>
      </w:r>
      <w:r>
        <w:t xml:space="preserve"> </w:t>
      </w:r>
      <w:r>
        <w:t xml:space="preserve">-</w:t>
      </w:r>
      <w:r>
        <w:t xml:space="preserve"> </w:t>
      </w:r>
      <w:r>
        <w:rPr>
          <w:b/>
          <w:bCs/>
        </w:rPr>
        <w:t xml:space="preserve">Multi-Part Upload Matrices:</w:t>
      </w:r>
      <w:r>
        <w:t xml:space="preserve"> </w:t>
      </w:r>
      <w:r>
        <w:t xml:space="preserve">Recognizing the intense data requirements of compliance (uploading BD licenses, insurance cover notes, financial statements, and hundreds of daily project progress photos), the React UI utilizes customized asynchronous drag-and-drop zones. These zones immediately chunk and upload binaries to AWS S3, returning the required JSON URL arrays back to the Flask backend without stalling the browser thread, preventing timeouts common in legacy systems.</w:t>
      </w:r>
    </w:p>
    <w:bookmarkEnd w:id="34"/>
    <w:bookmarkStart w:id="35" w:name="X9bd9fbf5e7e99efff61bdc69a32375a40bb6e75"/>
    <w:p>
      <w:pPr>
        <w:pStyle w:val="Heading3"/>
      </w:pPr>
      <w:r>
        <w:t xml:space="preserve">3. Reviewer / Admin Portal (Compliance Focus - High Grid Density)</w:t>
      </w:r>
    </w:p>
    <w:p>
      <w:pPr>
        <w:pStyle w:val="FirstParagraph"/>
      </w:pPr>
      <w:r>
        <w:t xml:space="preserve">An interface exclusively gated behind severe RBAC JSON Web Token restrictions. It is constructed functionally as a hyper-efficient, data-dense enterprise backend grid. This view aggregates disparate JSON arrays spanning IRD documentation, algorithmic TU outputs, and subjective sentiment reviews into a unified chronological data-table format. It provides administrators with immediate, un-interruptive action modals allowing them to manually override scores, validate compliance uploads (</w:t>
      </w:r>
      <w:r>
        <w:rPr>
          <w:rStyle w:val="VerbatimChar"/>
        </w:rPr>
        <w:t xml:space="preserve">Valid / Invalid</w:t>
      </w:r>
      <w:r>
        <w:t xml:space="preserve"> </w:t>
      </w:r>
      <w:r>
        <w:t xml:space="preserve">toggles), and execute deep-dive forensic analyses during the dispute resolution process devoid of command-line database querying.</w:t>
      </w:r>
    </w:p>
    <w:bookmarkEnd w:id="35"/>
    <w:bookmarkEnd w:id="36"/>
    <w:bookmarkStart w:id="37" w:name="backend"/>
    <w:p>
      <w:pPr>
        <w:pStyle w:val="Heading2"/>
      </w:pPr>
      <w:r>
        <w:t xml:space="preserve">Backend</w:t>
      </w:r>
    </w:p>
    <w:p>
      <w:pPr>
        <w:pStyle w:val="FirstParagraph"/>
      </w:pPr>
      <w:r>
        <w:t xml:space="preserve">The Python underlying massive core processes within DecoFinance adheres strictly to scalable enterprise backend paradigms, aggressively separating logic into distinct, highly testable service layers.</w:t>
      </w:r>
    </w:p>
    <w:p>
      <w:pPr>
        <w:pStyle w:val="BodyText"/>
      </w:pPr>
      <w:r>
        <w:rPr>
          <w:b/>
          <w:bCs/>
        </w:rPr>
        <w:t xml:space="preserve">RESTful Blueprint Orchestration:</w:t>
      </w:r>
      <w:r>
        <w:t xml:space="preserve"> </w:t>
      </w:r>
      <w:r>
        <w:t xml:space="preserve">The architecture avoids monolithic bottlenecking by instantiating semantic separation utilizing Flask Blueprints. The</w:t>
      </w:r>
      <w:r>
        <w:t xml:space="preserve"> </w:t>
      </w:r>
      <w:r>
        <w:rPr>
          <w:rStyle w:val="VerbatimChar"/>
        </w:rPr>
        <w:t xml:space="preserve">routes/loans.py</w:t>
      </w:r>
      <w:r>
        <w:t xml:space="preserve"> </w:t>
      </w:r>
      <w:r>
        <w:t xml:space="preserve">logic never intertwines with</w:t>
      </w:r>
      <w:r>
        <w:t xml:space="preserve"> </w:t>
      </w:r>
      <w:r>
        <w:rPr>
          <w:rStyle w:val="VerbatimChar"/>
        </w:rPr>
        <w:t xml:space="preserve">routes/admin.py</w:t>
      </w:r>
      <w:r>
        <w:t xml:space="preserve">, meaning an update to the loan application data models will never inadvertently crash the administrator verification endpoints. All routing functions act strictly as payload validators and request routers, intercepting HTTP traffic, applying JWT security verification, flattening incoming JSON, and then instantly passing off execution threads into the</w:t>
      </w:r>
      <w:r>
        <w:t xml:space="preserve"> </w:t>
      </w:r>
      <w:r>
        <w:rPr>
          <w:rStyle w:val="VerbatimChar"/>
        </w:rPr>
        <w:t xml:space="preserve">services/</w:t>
      </w:r>
      <w:r>
        <w:t xml:space="preserve"> </w:t>
      </w:r>
      <w:r>
        <w:t xml:space="preserve">namespace for heavy mathematical lifting.</w:t>
      </w:r>
    </w:p>
    <w:p>
      <w:pPr>
        <w:pStyle w:val="BodyText"/>
      </w:pPr>
      <w:r>
        <w:rPr>
          <w:b/>
          <w:bCs/>
        </w:rPr>
        <w:t xml:space="preserve">Service Abstraction &amp; The</w:t>
      </w:r>
      <w:r>
        <w:rPr>
          <w:b/>
          <w:bCs/>
        </w:rPr>
        <w:t xml:space="preserve"> </w:t>
      </w:r>
      <w:r>
        <w:rPr>
          <w:rStyle w:val="VerbatimChar"/>
          <w:b/>
          <w:bCs/>
        </w:rPr>
        <w:t xml:space="preserve">loan_manager.py</w:t>
      </w:r>
      <w:r>
        <w:rPr>
          <w:b/>
          <w:bCs/>
        </w:rPr>
        <w:t xml:space="preserve"> </w:t>
      </w:r>
      <w:r>
        <w:rPr>
          <w:b/>
          <w:bCs/>
        </w:rPr>
        <w:t xml:space="preserve">Packager:</w:t>
      </w:r>
      <w:r>
        <w:t xml:space="preserve"> </w:t>
      </w:r>
      <w:r>
        <w:t xml:space="preserve">Complex logic is restricted exclusively to the service layer. For instance, the</w:t>
      </w:r>
      <w:r>
        <w:t xml:space="preserve"> </w:t>
      </w:r>
      <w:r>
        <w:rPr>
          <w:rStyle w:val="VerbatimChar"/>
        </w:rPr>
        <w:t xml:space="preserve">services/loan_manager.py</w:t>
      </w:r>
      <w:r>
        <w:t xml:space="preserve"> </w:t>
      </w:r>
      <w:r>
        <w:t xml:space="preserve">operates as an asynchronous wrapper built to handle the exceedingly complex packaging logic necessary for external banking protocol integrations. When a loan is algorithmically approved via</w:t>
      </w:r>
      <w:r>
        <w:t xml:space="preserve"> </w:t>
      </w:r>
      <w:r>
        <w:rPr>
          <w:rStyle w:val="VerbatimChar"/>
        </w:rPr>
        <w:t xml:space="preserve">POST /api/v1/loans/apply</w:t>
      </w:r>
      <w:r>
        <w:t xml:space="preserve">, this service constructs deeply nested, deeply complex Python dictionaries encompassing the applicant’s aggregated Financial Strength score alongside project-specific metrics, contractor IDs, and expected escrow yield dates. This payload is subsequently serialized into encrypted JSON strings (and dynamically compiled PDF dossiers using background workers) tailored precisely to external institutional partner specifications, functioning essentially as a robust API translation and data packaging gateway.</w:t>
      </w:r>
    </w:p>
    <w:p>
      <w:pPr>
        <w:pStyle w:val="BodyText"/>
      </w:pPr>
      <w:r>
        <w:rPr>
          <w:b/>
          <w:bCs/>
        </w:rPr>
        <w:t xml:space="preserve">Data Parsing &amp; Event Validation Models:</w:t>
      </w:r>
      <w:r>
        <w:t xml:space="preserve"> </w:t>
      </w:r>
      <w:r>
        <w:t xml:space="preserve">The backend is highly sophisticated in its handling of variable data types mandated by the updated v2.0 DecoFinance specification. Endpoints handling project configurations cleanly parse specialized Enums (</w:t>
      </w:r>
      <w:r>
        <w:rPr>
          <w:rStyle w:val="VerbatimChar"/>
        </w:rPr>
        <w:t xml:space="preserve">flat_category</w:t>
      </w:r>
      <w:r>
        <w:t xml:space="preserve">,</w:t>
      </w:r>
      <w:r>
        <w:t xml:space="preserve"> </w:t>
      </w:r>
      <w:r>
        <w:rPr>
          <w:rStyle w:val="VerbatimChar"/>
        </w:rPr>
        <w:t xml:space="preserve">style</w:t>
      </w:r>
      <w:r>
        <w:t xml:space="preserve">,</w:t>
      </w:r>
      <w:r>
        <w:t xml:space="preserve"> </w:t>
      </w:r>
      <w:r>
        <w:rPr>
          <w:rStyle w:val="VerbatimChar"/>
        </w:rPr>
        <w:t xml:space="preserve">deco_category</w:t>
      </w:r>
      <w:r>
        <w:t xml:space="preserve">). When execution triggers the dispute state machine (</w:t>
      </w:r>
      <w:r>
        <w:rPr>
          <w:rStyle w:val="VerbatimChar"/>
        </w:rPr>
        <w:t xml:space="preserve">POST /api/v1/milestones/{id}/dispute</w:t>
      </w:r>
      <w:r>
        <w:t xml:space="preserve">), the backend automatically restricts</w:t>
      </w:r>
      <w:r>
        <w:t xml:space="preserve"> </w:t>
      </w:r>
      <w:r>
        <w:rPr>
          <w:rStyle w:val="VerbatimChar"/>
        </w:rPr>
        <w:t xml:space="preserve">application/json</w:t>
      </w:r>
      <w:r>
        <w:t xml:space="preserve"> </w:t>
      </w:r>
      <w:r>
        <w:t xml:space="preserve">content types and mandates</w:t>
      </w:r>
      <w:r>
        <w:t xml:space="preserve"> </w:t>
      </w:r>
      <w:r>
        <w:rPr>
          <w:rStyle w:val="VerbatimChar"/>
        </w:rPr>
        <w:t xml:space="preserve">multipart/form-data</w:t>
      </w:r>
      <w:r>
        <w:t xml:space="preserve">, ensuring that mandatory forensic photographic uploads are caught by the Werkzeug request parser, processed, and attached securely to the database ledger within a single atomic database lock, preventing race conditions where a dispute is registered but the evidence is lost.</w:t>
      </w:r>
    </w:p>
    <w:bookmarkEnd w:id="37"/>
    <w:bookmarkStart w:id="39" w:name="database"/>
    <w:p>
      <w:pPr>
        <w:pStyle w:val="Heading2"/>
      </w:pPr>
      <w:r>
        <w:t xml:space="preserve">Database</w:t>
      </w:r>
    </w:p>
    <w:p>
      <w:pPr>
        <w:pStyle w:val="FirstParagraph"/>
      </w:pPr>
      <w:r>
        <w:t xml:space="preserve">The foundational data layer leverages the robust SQLite engine, augmented vastly by the SQLAlchemy Object-Relational Mapper (ORM). This architectural decision intrinsically mitigates the catastrophic capability of SQL Injection attacks via automatic parameter binding, while simultaneously providing robust mechanisms to accommodate the serialized JSON arrays required by modern, photo-heavy application constraints.</w:t>
      </w:r>
    </w:p>
    <w:p>
      <w:pPr>
        <w:pStyle w:val="BodyText"/>
      </w:pPr>
      <w:r>
        <w:t xml:space="preserve">The foundational data layer leverages SQLite via SQLAlchemy ORM, mitigating SQL-injection and handling intense 1-to-Many relationships.</w:t>
      </w:r>
    </w:p>
    <w:bookmarkStart w:id="38" w:name="safe-relational-diagram"/>
    <w:p>
      <w:pPr>
        <w:pStyle w:val="Heading3"/>
      </w:pPr>
      <w:r>
        <w:t xml:space="preserve">Safe Relational Diagram</w:t>
      </w:r>
    </w:p>
    <w:p>
      <w:pPr>
        <w:pStyle w:val="SourceCode"/>
      </w:pPr>
      <w:r>
        <w:rPr>
          <w:rStyle w:val="VerbatimChar"/>
        </w:rPr>
        <w:t xml:space="preserve">erDiagram</w:t>
      </w:r>
      <w:r>
        <w:br/>
      </w:r>
      <w:r>
        <w:rPr>
          <w:rStyle w:val="VerbatimChar"/>
        </w:rPr>
        <w:t xml:space="preserve">    USER ||--o| COMPANY : owns</w:t>
      </w:r>
      <w:r>
        <w:br/>
      </w:r>
      <w:r>
        <w:rPr>
          <w:rStyle w:val="VerbatimChar"/>
        </w:rPr>
        <w:t xml:space="preserve">    COMPANY ||--o{ PROJECT_BID : places</w:t>
      </w:r>
      <w:r>
        <w:br/>
      </w:r>
      <w:r>
        <w:rPr>
          <w:rStyle w:val="VerbatimChar"/>
        </w:rPr>
        <w:t xml:space="preserve">    USER ||--o{ PROJECT : creates</w:t>
      </w:r>
      <w:r>
        <w:br/>
      </w:r>
      <w:r>
        <w:rPr>
          <w:rStyle w:val="VerbatimChar"/>
        </w:rPr>
        <w:t xml:space="preserve">    PROJECT ||--|{ PROJECT_MILESTONE : contains</w:t>
      </w:r>
      <w:r>
        <w:br/>
      </w:r>
      <w:r>
        <w:rPr>
          <w:rStyle w:val="VerbatimChar"/>
        </w:rPr>
        <w:t xml:space="preserve">    PROJECT ||--o| SMART_CONTRACT : governed_by</w:t>
      </w:r>
      <w:r>
        <w:br/>
      </w:r>
      <w:r>
        <w:rPr>
          <w:rStyle w:val="VerbatimChar"/>
        </w:rPr>
        <w:t xml:space="preserve">    SMART_CONTRACT ||--o{ ESCROW_LEDGER : records_transactions</w:t>
      </w:r>
      <w:r>
        <w:br/>
      </w:r>
      <w:r>
        <w:rPr>
          <w:rStyle w:val="VerbatimChar"/>
        </w:rPr>
        <w:t xml:space="preserve">    COMPANY ||--o{ LOAN_APPLICATION : applies</w:t>
      </w:r>
    </w:p>
    <w:p>
      <w:pPr>
        <w:pStyle w:val="FirstParagraph"/>
      </w:pPr>
      <w:r>
        <w:rPr>
          <w:rStyle w:val="VerbatimChar"/>
        </w:rPr>
        <w:t xml:space="preserve">Projects</w:t>
      </w:r>
      <w:r>
        <w:t xml:space="preserve"> </w:t>
      </w:r>
      <w:r>
        <w:t xml:space="preserve">forms the macro root, bridging to</w:t>
      </w:r>
      <w:r>
        <w:t xml:space="preserve"> </w:t>
      </w:r>
      <w:r>
        <w:rPr>
          <w:rStyle w:val="VerbatimChar"/>
        </w:rPr>
        <w:t xml:space="preserve">Bids</w:t>
      </w:r>
      <w:r>
        <w:t xml:space="preserve"> </w:t>
      </w:r>
      <w:r>
        <w:t xml:space="preserve">and</w:t>
      </w:r>
      <w:r>
        <w:t xml:space="preserve"> </w:t>
      </w:r>
      <w:r>
        <w:rPr>
          <w:rStyle w:val="VerbatimChar"/>
        </w:rPr>
        <w:t xml:space="preserve">Milestones</w:t>
      </w:r>
      <w:r>
        <w:t xml:space="preserve">. To aggressively improve read-ops and support dense media, massive parameter arrays (such as AWS</w:t>
      </w:r>
      <w:r>
        <w:t xml:space="preserve"> </w:t>
      </w:r>
      <w:r>
        <w:rPr>
          <w:rStyle w:val="VerbatimChar"/>
        </w:rPr>
        <w:t xml:space="preserve">evidence_urls</w:t>
      </w:r>
      <w:r>
        <w:t xml:space="preserve">) are stored utilizing SQLAlchemy native</w:t>
      </w:r>
      <w:r>
        <w:t xml:space="preserve"> </w:t>
      </w:r>
      <w:r>
        <w:rPr>
          <w:rStyle w:val="VerbatimChar"/>
        </w:rPr>
        <w:t xml:space="preserve">JSON</w:t>
      </w:r>
      <w:r>
        <w:t xml:space="preserve"> </w:t>
      </w:r>
      <w:r>
        <w:t xml:space="preserve">columns explicitly attached to the primary relational keys, maintaining atomic conformity without unnecessary junction tables.</w:t>
      </w:r>
    </w:p>
    <w:p>
      <w:pPr>
        <w:pStyle w:val="BodyText"/>
      </w:pPr>
      <w:r>
        <w:rPr>
          <w:b/>
          <w:bCs/>
        </w:rPr>
        <w:t xml:space="preserve">Core Entity-Relationship Modeling (ERD) Normalization:</w:t>
      </w:r>
      <w:r>
        <w:t xml:space="preserve"> </w:t>
      </w:r>
      <w:r>
        <w:t xml:space="preserve">-</w:t>
      </w:r>
      <w:r>
        <w:t xml:space="preserve"> </w:t>
      </w:r>
      <w:r>
        <w:rPr>
          <w:rStyle w:val="VerbatimChar"/>
          <w:b/>
          <w:bCs/>
        </w:rPr>
        <w:t xml:space="preserve">Users</w:t>
      </w:r>
      <w:r>
        <w:rPr>
          <w:b/>
          <w:bCs/>
        </w:rPr>
        <w:t xml:space="preserve"> </w:t>
      </w:r>
      <w:r>
        <w:rPr>
          <w:b/>
          <w:bCs/>
        </w:rPr>
        <w:t xml:space="preserve">and</w:t>
      </w:r>
      <w:r>
        <w:rPr>
          <w:b/>
          <w:bCs/>
        </w:rPr>
        <w:t xml:space="preserve"> </w:t>
      </w:r>
      <w:r>
        <w:rPr>
          <w:rStyle w:val="VerbatimChar"/>
          <w:b/>
          <w:bCs/>
        </w:rPr>
        <w:t xml:space="preserve">Company_Profiles</w:t>
      </w:r>
      <w:r>
        <w:rPr>
          <w:b/>
          <w:bCs/>
        </w:rPr>
        <w:t xml:space="preserve"> </w:t>
      </w:r>
      <w:r>
        <w:rPr>
          <w:b/>
          <w:bCs/>
        </w:rPr>
        <w:t xml:space="preserve">Entities:</w:t>
      </w:r>
      <w:r>
        <w:t xml:space="preserve"> </w:t>
      </w:r>
      <w:r>
        <w:t xml:space="preserve">Establish strict 1-to-1 relationships allowing identity management to be wholly separate from corporate profiling. The</w:t>
      </w:r>
      <w:r>
        <w:t xml:space="preserve"> </w:t>
      </w:r>
      <w:r>
        <w:rPr>
          <w:rStyle w:val="VerbatimChar"/>
        </w:rPr>
        <w:t xml:space="preserve">Company_Profiles</w:t>
      </w:r>
      <w:r>
        <w:t xml:space="preserve"> </w:t>
      </w:r>
      <w:r>
        <w:t xml:space="preserve">table encapsulates intensely complex organizational parameters such as</w:t>
      </w:r>
      <w:r>
        <w:t xml:space="preserve"> </w:t>
      </w:r>
      <w:r>
        <w:rPr>
          <w:rStyle w:val="VerbatimChar"/>
        </w:rPr>
        <w:t xml:space="preserve">br_number</w:t>
      </w:r>
      <w:r>
        <w:t xml:space="preserve">,</w:t>
      </w:r>
      <w:r>
        <w:t xml:space="preserve"> </w:t>
      </w:r>
      <w:r>
        <w:rPr>
          <w:rStyle w:val="VerbatimChar"/>
        </w:rPr>
        <w:t xml:space="preserve">registered_capital</w:t>
      </w:r>
      <w:r>
        <w:t xml:space="preserve">, dynamic positive rating rates, composite Trust Scores, and detailed operational datetime logs mapping to the SME’s structural performance.</w:t>
      </w:r>
      <w:r>
        <w:t xml:space="preserve"> </w:t>
      </w:r>
      <w:r>
        <w:t xml:space="preserve">-</w:t>
      </w:r>
      <w:r>
        <w:t xml:space="preserve"> </w:t>
      </w:r>
      <w:r>
        <w:rPr>
          <w:rStyle w:val="VerbatimChar"/>
          <w:b/>
          <w:bCs/>
        </w:rPr>
        <w:t xml:space="preserve">Projects</w:t>
      </w:r>
      <w:r>
        <w:rPr>
          <w:b/>
          <w:bCs/>
        </w:rPr>
        <w:t xml:space="preserve">,</w:t>
      </w:r>
      <w:r>
        <w:rPr>
          <w:b/>
          <w:bCs/>
        </w:rPr>
        <w:t xml:space="preserve"> </w:t>
      </w:r>
      <w:r>
        <w:rPr>
          <w:rStyle w:val="VerbatimChar"/>
          <w:b/>
          <w:bCs/>
        </w:rPr>
        <w:t xml:space="preserve">Bids</w:t>
      </w:r>
      <w:r>
        <w:rPr>
          <w:b/>
          <w:bCs/>
        </w:rPr>
        <w:t xml:space="preserve">, and</w:t>
      </w:r>
      <w:r>
        <w:rPr>
          <w:b/>
          <w:bCs/>
        </w:rPr>
        <w:t xml:space="preserve"> </w:t>
      </w:r>
      <w:r>
        <w:rPr>
          <w:rStyle w:val="VerbatimChar"/>
          <w:b/>
          <w:bCs/>
        </w:rPr>
        <w:t xml:space="preserve">Milestones</w:t>
      </w:r>
      <w:r>
        <w:rPr>
          <w:b/>
          <w:bCs/>
        </w:rPr>
        <w:t xml:space="preserve"> </w:t>
      </w:r>
      <w:r>
        <w:rPr>
          <w:b/>
          <w:bCs/>
        </w:rPr>
        <w:t xml:space="preserve">Flow:</w:t>
      </w:r>
      <w:r>
        <w:t xml:space="preserve"> </w:t>
      </w:r>
      <w:r>
        <w:t xml:space="preserve">Configured structurally as the macro root object, the</w:t>
      </w:r>
      <w:r>
        <w:t xml:space="preserve"> </w:t>
      </w:r>
      <w:r>
        <w:rPr>
          <w:rStyle w:val="VerbatimChar"/>
        </w:rPr>
        <w:t xml:space="preserve">Projects</w:t>
      </w:r>
      <w:r>
        <w:t xml:space="preserve"> </w:t>
      </w:r>
      <w:r>
        <w:t xml:space="preserve">table links strictly 1-to-Many entities downward toward</w:t>
      </w:r>
      <w:r>
        <w:t xml:space="preserve"> </w:t>
      </w:r>
      <w:r>
        <w:rPr>
          <w:rStyle w:val="VerbatimChar"/>
        </w:rPr>
        <w:t xml:space="preserve">Project_Bids</w:t>
      </w:r>
      <w:r>
        <w:t xml:space="preserve"> </w:t>
      </w:r>
      <w:r>
        <w:t xml:space="preserve">and</w:t>
      </w:r>
      <w:r>
        <w:t xml:space="preserve"> </w:t>
      </w:r>
      <w:r>
        <w:rPr>
          <w:rStyle w:val="VerbatimChar"/>
        </w:rPr>
        <w:t xml:space="preserve">Project_Milestones</w:t>
      </w:r>
      <w:r>
        <w:t xml:space="preserve">. Utilizing SQLAlchemy’s capacity for JSON typing and text serialization, aggressively long arrays such as</w:t>
      </w:r>
      <w:r>
        <w:t xml:space="preserve"> </w:t>
      </w:r>
      <w:r>
        <w:rPr>
          <w:rStyle w:val="VerbatimChar"/>
        </w:rPr>
        <w:t xml:space="preserve">design_diagram_urls</w:t>
      </w:r>
      <w:r>
        <w:t xml:space="preserve"> </w:t>
      </w:r>
      <w:r>
        <w:t xml:space="preserve">(attached to bids) and</w:t>
      </w:r>
      <w:r>
        <w:t xml:space="preserve"> </w:t>
      </w:r>
      <w:r>
        <w:rPr>
          <w:rStyle w:val="VerbatimChar"/>
        </w:rPr>
        <w:t xml:space="preserve">evidence_urls</w:t>
      </w:r>
      <w:r>
        <w:t xml:space="preserve"> </w:t>
      </w:r>
      <w:r>
        <w:t xml:space="preserve">(attached to completed milestones) are persistently tracked natively within the relational structures. This completely bypasses the necessity for establishing dozens of distinct, convoluted external mapping tables, significantly accelerating localized read-ops and speeding up page hydration.</w:t>
      </w:r>
      <w:r>
        <w:t xml:space="preserve"> </w:t>
      </w:r>
      <w:r>
        <w:t xml:space="preserve">-</w:t>
      </w:r>
      <w:r>
        <w:t xml:space="preserve"> </w:t>
      </w:r>
      <w:r>
        <w:rPr>
          <w:b/>
          <w:bCs/>
        </w:rPr>
        <w:t xml:space="preserve">The Immutability Layer (</w:t>
      </w:r>
      <w:r>
        <w:rPr>
          <w:rStyle w:val="VerbatimChar"/>
          <w:b/>
          <w:bCs/>
        </w:rPr>
        <w:t xml:space="preserve">EscrowLedgerEntry</w:t>
      </w:r>
      <w:r>
        <w:rPr>
          <w:b/>
          <w:bCs/>
        </w:rPr>
        <w:t xml:space="preserve"> </w:t>
      </w:r>
      <w:r>
        <w:rPr>
          <w:b/>
          <w:bCs/>
        </w:rPr>
        <w:t xml:space="preserve">and</w:t>
      </w:r>
      <w:r>
        <w:rPr>
          <w:b/>
          <w:bCs/>
        </w:rPr>
        <w:t xml:space="preserve"> </w:t>
      </w:r>
      <w:r>
        <w:rPr>
          <w:rStyle w:val="VerbatimChar"/>
          <w:b/>
          <w:bCs/>
        </w:rPr>
        <w:t xml:space="preserve">AuditLog</w:t>
      </w:r>
      <w:r>
        <w:rPr>
          <w:b/>
          <w:bCs/>
        </w:rPr>
        <w:t xml:space="preserve">):</w:t>
      </w:r>
      <w:r>
        <w:t xml:space="preserve"> </w:t>
      </w:r>
      <w:r>
        <w:t xml:space="preserve">These two crucial entities function mathematically similarly to decentralized blockchain structural records. They are exclusively engineered to be Append-Only data structures. Modification (UPDATE/DELETE operations) is fundamentally blocked programmatically via hardcoded restrictions at the ORM model lifecycle layer. Whenever a critical financial state mutations occurs—be it a loan issuance, a milestone escrow fraction checkout, or a trust score override—an</w:t>
      </w:r>
      <w:r>
        <w:t xml:space="preserve"> </w:t>
      </w:r>
      <w:r>
        <w:rPr>
          <w:rStyle w:val="VerbatimChar"/>
        </w:rPr>
        <w:t xml:space="preserve">EscrowLedgerEntry</w:t>
      </w:r>
      <w:r>
        <w:t xml:space="preserve"> </w:t>
      </w:r>
      <w:r>
        <w:t xml:space="preserve">or</w:t>
      </w:r>
      <w:r>
        <w:t xml:space="preserve"> </w:t>
      </w:r>
      <w:r>
        <w:rPr>
          <w:rStyle w:val="VerbatimChar"/>
        </w:rPr>
        <w:t xml:space="preserve">AuditLog</w:t>
      </w:r>
      <w:r>
        <w:t xml:space="preserve"> </w:t>
      </w:r>
      <w:r>
        <w:t xml:space="preserve">immediately records the explicit foreign key ID alongside a datetime-stamped monetary delta, enforcing absolute chronological, cryptographically sound traceability.</w:t>
      </w:r>
    </w:p>
    <w:bookmarkEnd w:id="38"/>
    <w:bookmarkEnd w:id="39"/>
    <w:bookmarkStart w:id="40" w:name="software-qa-test-tracy"/>
    <w:p>
      <w:pPr>
        <w:pStyle w:val="Heading2"/>
      </w:pPr>
      <w:r>
        <w:t xml:space="preserve">Software QA Test (</w:t>
      </w:r>
      <w:r>
        <w:t xml:space="preserve">@Tracy</w:t>
      </w:r>
      <w:r>
        <w:t xml:space="preserve">)</w:t>
      </w:r>
    </w:p>
    <w:p>
      <w:pPr>
        <w:pStyle w:val="FirstParagraph"/>
      </w:pPr>
      <w:r>
        <w:t xml:space="preserve">Given the transactional stakes involved in the Escrow and the algorithm-determined loan structures, assuring software execution stability across extreme scenarios is mission-critical. DecoFinance heavily integrates automated assurance environments:</w:t>
      </w:r>
      <w:r>
        <w:t xml:space="preserve"> </w:t>
      </w:r>
      <w:r>
        <w:t xml:space="preserve">*</w:t>
      </w:r>
      <w:r>
        <w:t xml:space="preserve"> </w:t>
      </w:r>
      <w:r>
        <w:rPr>
          <w:b/>
          <w:bCs/>
        </w:rPr>
        <w:t xml:space="preserve">Unit ;&amp; Algorithmic Testing (Pytest):</w:t>
      </w:r>
      <w:r>
        <w:t xml:space="preserve"> </w:t>
      </w:r>
      <w:r>
        <w:t xml:space="preserve">Explicit test suites assert the core mathematical logic driving</w:t>
      </w:r>
      <w:r>
        <w:t xml:space="preserve"> </w:t>
      </w:r>
      <w:r>
        <w:rPr>
          <w:rStyle w:val="VerbatimChar"/>
        </w:rPr>
        <w:t xml:space="preserve">services/credit_scorer.py</w:t>
      </w:r>
      <w:r>
        <w:t xml:space="preserve">. Mathematical mocks guarantee that boundary parameters (e.g., verifying exactly</w:t>
      </w:r>
      <w:r>
        <w:t xml:space="preserve"> </w:t>
      </w:r>
      <w:r>
        <w:rPr>
          <w:rStyle w:val="VerbatimChar"/>
        </w:rPr>
        <w:t xml:space="preserve">10,000,000 HKD</w:t>
      </w:r>
      <w:r>
        <w:t xml:space="preserve"> </w:t>
      </w:r>
      <w:r>
        <w:t xml:space="preserve">registered capital equates to</w:t>
      </w:r>
      <w:r>
        <w:t xml:space="preserve"> </w:t>
      </w:r>
      <w:r>
        <w:rPr>
          <w:rStyle w:val="VerbatimChar"/>
        </w:rPr>
        <w:t xml:space="preserve">150</w:t>
      </w:r>
      <w:r>
        <w:t xml:space="preserve"> </w:t>
      </w:r>
      <w:r>
        <w:t xml:space="preserve">internal points) never drift following future codebase regressions.</w:t>
      </w:r>
      <w:r>
        <w:t xml:space="preserve"> </w:t>
      </w:r>
      <w:r>
        <w:t xml:space="preserve">*</w:t>
      </w:r>
      <w:r>
        <w:t xml:space="preserve"> </w:t>
      </w:r>
      <w:r>
        <w:rPr>
          <w:b/>
          <w:bCs/>
        </w:rPr>
        <w:t xml:space="preserve">UI/UX Verification (Selenium):</w:t>
      </w:r>
      <w:r>
        <w:t xml:space="preserve"> </w:t>
      </w:r>
      <w:r>
        <w:t xml:space="preserve">Comprehensive end-to-end (E2E) testing targets the React/Vite interfaces. Specifically targeting complex component structures encompassing the B2C Project Structuring Wizard and B2B Asynchronous photo upload handlers, ensuring network timeouts gracefully rebound without permanently locking an active Escrow state.</w:t>
      </w:r>
      <w:r>
        <w:t xml:space="preserve"> </w:t>
      </w:r>
      <w:r>
        <w:t xml:space="preserve">*</w:t>
      </w:r>
      <w:r>
        <w:t xml:space="preserve"> </w:t>
      </w:r>
      <w:r>
        <w:rPr>
          <w:b/>
          <w:bCs/>
        </w:rPr>
        <w:t xml:space="preserve">Compliance to ISO/IEC 25010 Standards:</w:t>
      </w:r>
      <w:r>
        <w:t xml:space="preserve"> </w:t>
      </w:r>
      <w:r>
        <w:t xml:space="preserve">This validation philosophy directly addresses core criteria for Reliability and Functional Suitability, assuring strict state alignment within the</w:t>
      </w:r>
      <w:r>
        <w:t xml:space="preserve"> </w:t>
      </w:r>
      <w:r>
        <w:rPr>
          <w:rStyle w:val="VerbatimChar"/>
        </w:rPr>
        <w:t xml:space="preserve">EscrowLedgerEntry</w:t>
      </w:r>
      <w:r>
        <w:t xml:space="preserve"> </w:t>
      </w:r>
      <w:r>
        <w:t xml:space="preserve">limits during multi-user concurrency.</w:t>
      </w:r>
    </w:p>
    <w:bookmarkEnd w:id="40"/>
    <w:bookmarkStart w:id="41" w:name="it-security-and-compliance"/>
    <w:p>
      <w:pPr>
        <w:pStyle w:val="Heading2"/>
      </w:pPr>
      <w:r>
        <w:t xml:space="preserve">IT Security and Compliance</w:t>
      </w:r>
    </w:p>
    <w:p>
      <w:pPr>
        <w:pStyle w:val="FirstParagraph"/>
      </w:pPr>
      <w:r>
        <w:t xml:space="preserve">The system design natively integrates top-tier FinTech security matrices heavily influenced by the OWASP Top 10 standards. The paramount objectives dictate eliminating authorization failures, enforcing cryptographic data protection at rest, and ensuring absolute ledger immutability against both internal and external threat actors.</w:t>
      </w:r>
    </w:p>
    <w:p>
      <w:pPr>
        <w:pStyle w:val="BodyText"/>
      </w:pPr>
      <w:r>
        <w:rPr>
          <w:b/>
          <w:bCs/>
        </w:rPr>
        <w:t xml:space="preserve">Tasks Executed for Absolute System Security:</w:t>
      </w:r>
      <w:r>
        <w:t xml:space="preserve"> </w:t>
      </w:r>
      <w:r>
        <w:t xml:space="preserve">-</w:t>
      </w:r>
      <w:r>
        <w:t xml:space="preserve"> </w:t>
      </w:r>
      <w:r>
        <w:rPr>
          <w:b/>
          <w:bCs/>
        </w:rPr>
        <w:t xml:space="preserve">Rigid Role-Based Access Control (RBAC):</w:t>
      </w:r>
      <w:r>
        <w:t xml:space="preserve"> </w:t>
      </w:r>
      <w:r>
        <w:t xml:space="preserve">Implementation of sophisticated custom wrapper decorators specifically utilizing Python properties (</w:t>
      </w:r>
      <w:r>
        <w:rPr>
          <w:rStyle w:val="VerbatimChar"/>
        </w:rPr>
        <w:t xml:space="preserve">@login_required</w:t>
      </w:r>
      <w:r>
        <w:t xml:space="preserve">,</w:t>
      </w:r>
      <w:r>
        <w:t xml:space="preserve"> </w:t>
      </w:r>
      <w:r>
        <w:rPr>
          <w:rStyle w:val="VerbatimChar"/>
        </w:rPr>
        <w:t xml:space="preserve">@role_required('admin')</w:t>
      </w:r>
      <w:r>
        <w:t xml:space="preserve">). These decorators force Flask to interrogate the active encrypted</w:t>
      </w:r>
      <w:r>
        <w:t xml:space="preserve"> </w:t>
      </w:r>
      <w:r>
        <w:rPr>
          <w:rStyle w:val="VerbatimChar"/>
        </w:rPr>
        <w:t xml:space="preserve">session</w:t>
      </w:r>
      <w:r>
        <w:t xml:space="preserve"> </w:t>
      </w:r>
      <w:r>
        <w:t xml:space="preserve">cookie or JWT (JSON Web Token) payload milliseconds prior to allocating HTTP traffic to the mapped operational endpoints. For instance, if an authenticated user with a</w:t>
      </w:r>
      <w:r>
        <w:t xml:space="preserve"> </w:t>
      </w:r>
      <w:r>
        <w:rPr>
          <w:rStyle w:val="VerbatimChar"/>
        </w:rPr>
        <w:t xml:space="preserve">customer</w:t>
      </w:r>
      <w:r>
        <w:t xml:space="preserve"> </w:t>
      </w:r>
      <w:r>
        <w:t xml:space="preserve">claim attempts to POST to the</w:t>
      </w:r>
      <w:r>
        <w:t xml:space="preserve"> </w:t>
      </w:r>
      <w:r>
        <w:rPr>
          <w:rStyle w:val="VerbatimChar"/>
        </w:rPr>
        <w:t xml:space="preserve">/api/v1/admin/verify_company</w:t>
      </w:r>
      <w:r>
        <w:t xml:space="preserve"> </w:t>
      </w:r>
      <w:r>
        <w:t xml:space="preserve">controller, the backend intercepts the process and throws an instantaneous</w:t>
      </w:r>
      <w:r>
        <w:t xml:space="preserve"> </w:t>
      </w:r>
      <w:r>
        <w:rPr>
          <w:rStyle w:val="VerbatimChar"/>
        </w:rPr>
        <w:t xml:space="preserve">HTTP 403 Forbidden</w:t>
      </w:r>
      <w:r>
        <w:t xml:space="preserve"> </w:t>
      </w:r>
      <w:r>
        <w:t xml:space="preserve">response, ensuring zero horizontal or vertical privilege escalation anywhere within the architecture.</w:t>
      </w:r>
      <w:r>
        <w:t xml:space="preserve"> </w:t>
      </w:r>
      <w:r>
        <w:t xml:space="preserve">-</w:t>
      </w:r>
      <w:r>
        <w:t xml:space="preserve"> </w:t>
      </w:r>
      <w:r>
        <w:rPr>
          <w:b/>
          <w:bCs/>
        </w:rPr>
        <w:t xml:space="preserve">Advanced Cryptography:</w:t>
      </w:r>
      <w:r>
        <w:t xml:space="preserve"> </w:t>
      </w:r>
      <w:r>
        <w:t xml:space="preserve">User credentials and core API secrets are never, under any operational circumstance, stored in plaintext matrices. The system integrates the robust</w:t>
      </w:r>
      <w:r>
        <w:t xml:space="preserve"> </w:t>
      </w:r>
      <w:r>
        <w:rPr>
          <w:rStyle w:val="VerbatimChar"/>
        </w:rPr>
        <w:t xml:space="preserve">Werkzeug.security</w:t>
      </w:r>
      <w:r>
        <w:t xml:space="preserve"> </w:t>
      </w:r>
      <w:r>
        <w:t xml:space="preserve">module natively out-of-the-box, enforcing standard hashing procedures (e.g.,</w:t>
      </w:r>
      <w:r>
        <w:t xml:space="preserve"> </w:t>
      </w:r>
      <w:r>
        <w:rPr>
          <w:rStyle w:val="VerbatimChar"/>
        </w:rPr>
        <w:t xml:space="preserve">generate_password_hash('pbkdf2:sha256')</w:t>
      </w:r>
      <w:r>
        <w:t xml:space="preserve">). This aggressive one-way serialization inherently enforces a near-absolute defense against rainbow table credential scraping and brute-force brute injections.</w:t>
      </w:r>
      <w:r>
        <w:t xml:space="preserve"> </w:t>
      </w:r>
      <w:r>
        <w:t xml:space="preserve">-</w:t>
      </w:r>
      <w:r>
        <w:t xml:space="preserve"> </w:t>
      </w:r>
      <w:r>
        <w:rPr>
          <w:b/>
          <w:bCs/>
        </w:rPr>
        <w:t xml:space="preserve">Ledger Security &amp; Semantic Locking:</w:t>
      </w:r>
      <w:r>
        <w:t xml:space="preserve"> </w:t>
      </w:r>
      <w:r>
        <w:t xml:space="preserve">By strictly funneling advanced JSON object mutations through meticulously parameterized routing functions wrapped directly around the SQLAlchemy transaction protocol (</w:t>
      </w:r>
      <w:r>
        <w:rPr>
          <w:rStyle w:val="VerbatimChar"/>
        </w:rPr>
        <w:t xml:space="preserve">session.commit()</w:t>
      </w:r>
      <w:r>
        <w:t xml:space="preserve"> </w:t>
      </w:r>
      <w:r>
        <w:t xml:space="preserve">explicitly coupled closely with</w:t>
      </w:r>
      <w:r>
        <w:t xml:space="preserve"> </w:t>
      </w:r>
      <w:r>
        <w:rPr>
          <w:rStyle w:val="VerbatimChar"/>
        </w:rPr>
        <w:t xml:space="preserve">try...except...session.rollback()</w:t>
      </w:r>
      <w:r>
        <w:t xml:space="preserve">), atomic transaction safety is mathematically guaranteed down to the byte layer.</w:t>
      </w:r>
    </w:p>
    <w:p>
      <w:pPr>
        <w:pStyle w:val="BodyText"/>
      </w:pPr>
      <w:r>
        <w:rPr>
          <w:b/>
          <w:bCs/>
        </w:rPr>
        <w:t xml:space="preserve">Compliance Enforcements:</w:t>
      </w:r>
      <w:r>
        <w:t xml:space="preserve"> </w:t>
      </w:r>
      <w:r>
        <w:t xml:space="preserve">Beyond cybersecurity, DecoFinance heavily mainlines continuous integration of Environmental, Social, and Governance (ESG) alongside Personal Data Privacy Ordinance (PDPO) compliance mechanisms. The overarching algorithm functionally rewards optimal socio-behavioral attributes (e.g., explicitly contracting registered OSH officers, purchasing comprehensive employee indemnity insurance). By scaling the SME’s structural Trust Score upwards dynamically upon verification of these documents, DecoFinance operates essentially as a regulatory carrot—offering discounted APR lending percentages natively linked to compliance behaviors, forcing industry participants to literally self-regulate to ensure cheaper debt.</w:t>
      </w:r>
    </w:p>
    <w:bookmarkEnd w:id="41"/>
    <w:bookmarkStart w:id="42" w:name="limitations-future-work"/>
    <w:p>
      <w:pPr>
        <w:pStyle w:val="Heading2"/>
      </w:pPr>
      <w:r>
        <w:t xml:space="preserve">Limitations &amp; Future Work</w:t>
      </w:r>
    </w:p>
    <w:p>
      <w:pPr>
        <w:pStyle w:val="FirstParagraph"/>
      </w:pPr>
      <w:r>
        <w:t xml:space="preserve">While the current DecoFinance v2.0 deployment successfully and fully validates the core business logic, the behavioral economics loop, and the primary user interfacing schemas, several significant architectural limits natively exist due to its configuration as a monolithic prototype. The roadmap dictates addressing these explicitly in consecutive development sprints:</w:t>
      </w:r>
    </w:p>
    <w:p>
      <w:pPr>
        <w:pStyle w:val="Compact"/>
        <w:numPr>
          <w:ilvl w:val="0"/>
          <w:numId w:val="1003"/>
        </w:numPr>
      </w:pPr>
      <w:r>
        <w:rPr>
          <w:b/>
          <w:bCs/>
        </w:rPr>
        <w:t xml:space="preserve">Decentralized Escrow Ledger Migration (Web3 Transition):</w:t>
      </w:r>
      <w:r>
        <w:t xml:space="preserve"> </w:t>
      </w:r>
      <w:r>
        <w:t xml:space="preserve">While the existing Escrow Ledger is accurately and flawlessly simulated utilizing atomic transactions within SQLite, it remains a centralized database. This introduces a theoretical single-point-of-failure vulnerability endemic to all traditional Cloud-SQL configurations. For genuine, unassailable cryptographic immutability, the immediate next phase dictates migrating the core Escrow capability toward a fully decentralized Ethereum Virtual Machine (EVM) or an institutional Hyperledger Fabric smart contract framework utilizing natively coded Solidity scripts. Executing against a recognized, fiat-backed cryptographic stablecoin (e.g., HKDA, USDC) effectively removes backend administrative tampering capabilities entirely.</w:t>
      </w:r>
    </w:p>
    <w:p>
      <w:pPr>
        <w:pStyle w:val="Compact"/>
        <w:numPr>
          <w:ilvl w:val="0"/>
          <w:numId w:val="1003"/>
        </w:numPr>
      </w:pPr>
      <w:r>
        <w:rPr>
          <w:b/>
          <w:bCs/>
        </w:rPr>
        <w:t xml:space="preserve">Machine Learning (AI) Predictive Grading Capabilities:</w:t>
      </w:r>
      <w:r>
        <w:t xml:space="preserve"> </w:t>
      </w:r>
      <w:r>
        <w:t xml:space="preserve">The present iteration of the</w:t>
      </w:r>
      <w:r>
        <w:t xml:space="preserve"> </w:t>
      </w:r>
      <w:r>
        <w:rPr>
          <w:rStyle w:val="VerbatimChar"/>
        </w:rPr>
        <w:t xml:space="preserve">services/credit_scorer.py</w:t>
      </w:r>
      <w:r>
        <w:t xml:space="preserve"> </w:t>
      </w:r>
      <w:r>
        <w:t xml:space="preserve">function is predominantly reliant on static, hardcoded threshold boundaries (e.g.,</w:t>
      </w:r>
      <w:r>
        <w:t xml:space="preserve"> </w:t>
      </w:r>
      <w:r>
        <w:t xml:space="preserve">“if revenue &gt; 50M -&gt; +150 points”</w:t>
      </w:r>
      <w:r>
        <w:t xml:space="preserve">). While effective, it isn’t strictly learning. Future engineering pipelines demand the integration of supervised execution learning models—specifically utilizing algorithms such as XGBoost arrays or sophisticated PyTorch deep learning regressions. Models natively capable of processing dynamic dataset weightings against hundreds of thousands of historical platform records will radically refine and heighten the predictive fidelity of identifying loan default probabilities automatically, stripping bias entirely from the underwriting protocol.</w:t>
      </w:r>
    </w:p>
    <w:p>
      <w:pPr>
        <w:pStyle w:val="Compact"/>
        <w:numPr>
          <w:ilvl w:val="0"/>
          <w:numId w:val="1003"/>
        </w:numPr>
      </w:pPr>
      <w:r>
        <w:rPr>
          <w:b/>
          <w:bCs/>
        </w:rPr>
        <w:t xml:space="preserve">Open API Integrations (Automated e-KYC Pipelines):</w:t>
      </w:r>
      <w:r>
        <w:t xml:space="preserve"> </w:t>
      </w:r>
      <w:r>
        <w:t xml:space="preserve">The necessity of the</w:t>
      </w:r>
      <w:r>
        <w:t xml:space="preserve"> </w:t>
      </w:r>
      <w:r>
        <w:t xml:space="preserve">“Reviewer”</w:t>
      </w:r>
      <w:r>
        <w:t xml:space="preserve"> </w:t>
      </w:r>
      <w:r>
        <w:t xml:space="preserve">role to manually validate PDF documents uploaded to AWS S3 presents an immense future operational bottleneck affecting extreme user-scaling goals. The incorporation of completely automated, server-to-server REST pipelines communicating directly with the Hong Kong Monetary Authority (HKMA), TransUnion (TU) databanks, and the Inland Revenue Department (IRD) via formalized Open APIs, combined tightly with integrated Optical Character Recognition (OCR) heuristics, will completely eliminate human intervention delays during comprehensive KYC/KYB background scans.</w:t>
      </w:r>
    </w:p>
    <w:bookmarkEnd w:id="42"/>
    <w:bookmarkStart w:id="43" w:name="team-and-work-distribution"/>
    <w:p>
      <w:pPr>
        <w:pStyle w:val="Heading2"/>
      </w:pPr>
      <w:r>
        <w:t xml:space="preserve">Team and Work Distribution</w:t>
      </w:r>
    </w:p>
    <w:p>
      <w:pPr>
        <w:pStyle w:val="FirstParagraph"/>
      </w:pPr>
      <w:r>
        <w:t xml:space="preserve">Achieving this highly sophisticated functional ecosystem demanded tight coordination across specialized engineering silos matching modern Agile development heuristics.</w:t>
      </w:r>
    </w:p>
    <w:p>
      <w:pPr>
        <w:pStyle w:val="Compact"/>
        <w:numPr>
          <w:ilvl w:val="0"/>
          <w:numId w:val="1004"/>
        </w:numPr>
      </w:pPr>
      <w:r>
        <w:rPr>
          <w:b/>
          <w:bCs/>
        </w:rPr>
        <w:t xml:space="preserve">Product Manager / Business Architect (</w:t>
      </w:r>
      <w:r>
        <w:rPr>
          <w:b/>
          <w:bCs/>
        </w:rPr>
        <w:t xml:space="preserve">@Laurance</w:t>
      </w:r>
      <w:r>
        <w:rPr>
          <w:b/>
          <w:bCs/>
        </w:rPr>
        <w:t xml:space="preserve"> </w:t>
      </w:r>
      <w:r>
        <w:rPr>
          <w:rFonts w:hint="eastAsia"/>
          <w:b/>
          <w:bCs/>
        </w:rPr>
        <w:t xml:space="preserve">林)</w:t>
      </w:r>
      <w:r>
        <w:t xml:space="preserve">: Conceptualized and formulated the overarching structural logic dictating the Business Model, advanced Market Research, and modeled behavioral economic interventions specifically designed to cure localized structural information asymmetry. Engineered the foundational UX logic tracking workflows spanning from the algorithmic Bidding matrices all the way downward toward the finalized Milestone Escrow checkouts and conflict dispute boundaries.</w:t>
      </w:r>
    </w:p>
    <w:p>
      <w:pPr>
        <w:pStyle w:val="Compact"/>
        <w:numPr>
          <w:ilvl w:val="0"/>
          <w:numId w:val="1004"/>
        </w:numPr>
      </w:pPr>
      <w:r>
        <w:rPr>
          <w:b/>
          <w:bCs/>
        </w:rPr>
        <w:t xml:space="preserve">Backend Services Engineer (</w:t>
      </w:r>
      <w:r>
        <w:rPr>
          <w:rFonts w:hint="eastAsia"/>
          <w:b/>
          <w:bCs/>
        </w:rPr>
        <w:t xml:space="preserve">@成友</w:t>
      </w:r>
      <w:r>
        <w:rPr>
          <w:b/>
          <w:bCs/>
        </w:rPr>
        <w:t xml:space="preserve">)</w:t>
      </w:r>
      <w:r>
        <w:t xml:space="preserve">: Conceived, tested, and implemented the comprehensive core Flask API structures underpinning the entire node. Coded the rigorous multi-parameter financial logic encapsulated deep within the 4-Dimensional Trust Score computational models (</w:t>
      </w:r>
      <w:r>
        <w:rPr>
          <w:rStyle w:val="VerbatimChar"/>
        </w:rPr>
        <w:t xml:space="preserve">credit_scorer.py</w:t>
      </w:r>
      <w:r>
        <w:t xml:space="preserve">), and expertly integrated the essential localized atomic transaction protections effectively simulating the complex Escrow behavioral array matrices.</w:t>
      </w:r>
    </w:p>
    <w:p>
      <w:pPr>
        <w:pStyle w:val="Compact"/>
        <w:numPr>
          <w:ilvl w:val="0"/>
          <w:numId w:val="1004"/>
        </w:numPr>
      </w:pPr>
      <w:r>
        <w:rPr>
          <w:b/>
          <w:bCs/>
        </w:rPr>
        <w:t xml:space="preserve">Database Engineer &amp; Main QA Strategist (</w:t>
      </w:r>
      <w:r>
        <w:rPr>
          <w:b/>
          <w:bCs/>
        </w:rPr>
        <w:t xml:space="preserve">@Tracy</w:t>
      </w:r>
      <w:r>
        <w:rPr>
          <w:b/>
          <w:bCs/>
        </w:rPr>
        <w:t xml:space="preserve">)</w:t>
      </w:r>
      <w:r>
        <w:t xml:space="preserve">: Designed and formulated the overarching relational SQL paradigm defining absolute entity boundaries utilizing robust SQLAlchemy implementations mapping</w:t>
      </w:r>
      <w:r>
        <w:t xml:space="preserve"> </w:t>
      </w:r>
      <w:r>
        <w:rPr>
          <w:rStyle w:val="VerbatimChar"/>
        </w:rPr>
        <w:t xml:space="preserve">Users</w:t>
      </w:r>
      <w:r>
        <w:t xml:space="preserve">,</w:t>
      </w:r>
      <w:r>
        <w:t xml:space="preserve"> </w:t>
      </w:r>
      <w:r>
        <w:rPr>
          <w:rStyle w:val="VerbatimChar"/>
        </w:rPr>
        <w:t xml:space="preserve">Projects</w:t>
      </w:r>
      <w:r>
        <w:t xml:space="preserve">,</w:t>
      </w:r>
      <w:r>
        <w:t xml:space="preserve"> </w:t>
      </w:r>
      <w:r>
        <w:rPr>
          <w:rStyle w:val="VerbatimChar"/>
        </w:rPr>
        <w:t xml:space="preserve">Bids</w:t>
      </w:r>
      <w:r>
        <w:t xml:space="preserve">, and nested JSON array</w:t>
      </w:r>
      <w:r>
        <w:t xml:space="preserve"> </w:t>
      </w:r>
      <w:r>
        <w:rPr>
          <w:rStyle w:val="VerbatimChar"/>
        </w:rPr>
        <w:t xml:space="preserve">Milestones</w:t>
      </w:r>
      <w:r>
        <w:t xml:space="preserve">. She also instituted intense, automated cross-browser testing arrays utilizing native Pytest endpoints alongside Selenium web-drivers ensuring strict database schema stability during rapid form interactions.</w:t>
      </w:r>
    </w:p>
    <w:p>
      <w:pPr>
        <w:pStyle w:val="Compact"/>
        <w:numPr>
          <w:ilvl w:val="0"/>
          <w:numId w:val="1004"/>
        </w:numPr>
      </w:pPr>
      <w:r>
        <w:rPr>
          <w:b/>
          <w:bCs/>
        </w:rPr>
        <w:t xml:space="preserve">Frontend UI/UX Architectural Designer (</w:t>
      </w:r>
      <w:r>
        <w:rPr>
          <w:rFonts w:hint="eastAsia"/>
          <w:b/>
          <w:bCs/>
        </w:rPr>
        <w:t xml:space="preserve">@哥斯拉</w:t>
      </w:r>
      <w:r>
        <w:rPr>
          <w:b/>
          <w:bCs/>
        </w:rPr>
        <w:t xml:space="preserve">🦕)</w:t>
      </w:r>
      <w:r>
        <w:t xml:space="preserve">: Single-handedly executed the modernized dual-architecture frontend deployment combining native React.js (Vite compiler) alongside established Jinja2 SEO structures. Ensured absolutely flawless JSON serialization from the</w:t>
      </w:r>
      <w:r>
        <w:t xml:space="preserve"> </w:t>
      </w:r>
      <w:r>
        <w:rPr>
          <w:rStyle w:val="VerbatimChar"/>
        </w:rPr>
        <w:t xml:space="preserve">/new-ui</w:t>
      </w:r>
      <w:r>
        <w:t xml:space="preserve"> </w:t>
      </w:r>
      <w:r>
        <w:t xml:space="preserve">pipelines natively feeding into the Python endpoints. He engineered high-fidelity structural data visualizations accurately rendering complex OSH uploads, dashboard layouts, and encrypted PDF visual boundaries flawlessly obeying Restrictive RBAC models.</w:t>
      </w:r>
    </w:p>
    <w:p>
      <w:pPr>
        <w:pStyle w:val="Compact"/>
        <w:numPr>
          <w:ilvl w:val="0"/>
          <w:numId w:val="1004"/>
        </w:numPr>
      </w:pPr>
      <w:r>
        <w:rPr>
          <w:b/>
          <w:bCs/>
        </w:rPr>
        <w:t xml:space="preserve">Tech Coordinator &amp; Principal Security Architect (William Tiu)</w:t>
      </w:r>
      <w:r>
        <w:t xml:space="preserve">: Commanded absolute project lifecycle orchestration leveraging stringent DevOps repository versioning schemas alongside sophisticated CI/CD pipelines. Authored defining IT Security logic native within the Flask instance, encompassing complex Python’s</w:t>
      </w:r>
      <w:r>
        <w:t xml:space="preserve"> </w:t>
      </w:r>
      <w:r>
        <w:rPr>
          <w:rStyle w:val="VerbatimChar"/>
        </w:rPr>
        <w:t xml:space="preserve">@role_required</w:t>
      </w:r>
      <w:r>
        <w:t xml:space="preserve"> </w:t>
      </w:r>
      <w:r>
        <w:t xml:space="preserve">parameter limits ensuring secure scaling. Managed the comprehensive compliance integrations, definitively verifying that the platform universally adhered natively to fundamental ESG configurations and explicit PDPO operational guidelines defending mission-critical identity assets against external exploits.</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2026-04-01T13:22:06Z</dcterms:created>
  <dcterms:modified xsi:type="dcterms:W3CDTF">2026-04-01T13:22:06Z</dcterms:modified>
</cp:coreProperties>
</file>

<file path=docProps/custom.xml><?xml version="1.0" encoding="utf-8"?>
<Properties xmlns="http://schemas.openxmlformats.org/officeDocument/2006/custom-properties" xmlns:vt="http://schemas.openxmlformats.org/officeDocument/2006/docPropsVTypes"/>
</file>