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87C91" w14:textId="77777777" w:rsidR="00B526BF" w:rsidRDefault="00000000">
      <w:bookmarkStart w:id="0" w:name="executive-summary"/>
      <w:r>
        <w:pict w14:anchorId="5998107D">
          <v:rect id="_x0000_i1025" style="width:0;height:1.5pt" o:hralign="center" o:hrstd="t" o:hr="t"/>
        </w:pict>
      </w:r>
    </w:p>
    <w:p w14:paraId="0F2FC306" w14:textId="77777777" w:rsidR="00B526BF" w:rsidRDefault="00000000">
      <w:pPr>
        <w:pStyle w:val="2"/>
      </w:pPr>
      <w:bookmarkStart w:id="1" w:name="it-security-and-risk-assessment"/>
      <w:r>
        <w:t>1. IT Security and Risk Assessment</w:t>
      </w:r>
    </w:p>
    <w:p w14:paraId="36596E09" w14:textId="77777777" w:rsidR="00B526BF" w:rsidRDefault="00000000">
      <w:pPr>
        <w:pStyle w:val="FirstParagraph"/>
      </w:pPr>
      <w:r>
        <w:t>A high-level threat modeling analysis of the current software architecture reveals four critical security vectors. For each vector, a structured mitigation roadmap is established to transition from the current baseline to an advanced, enterprise-grade security posture.</w:t>
      </w:r>
    </w:p>
    <w:p w14:paraId="1FDF133B" w14:textId="77777777" w:rsidR="00B526BF" w:rsidRDefault="00000000">
      <w:pPr>
        <w:pStyle w:val="3"/>
      </w:pPr>
      <w:bookmarkStart w:id="2" w:name="injection-vulnerabilities-sqlnosql-xss"/>
      <w:r>
        <w:t>1.1 Injection Vulnerabilities (SQL/NoSQL &amp; XSS)</w:t>
      </w:r>
    </w:p>
    <w:p w14:paraId="4BF18E9B" w14:textId="77777777" w:rsidR="00B526BF" w:rsidRDefault="00000000">
      <w:pPr>
        <w:pStyle w:val="Compact"/>
        <w:numPr>
          <w:ilvl w:val="0"/>
          <w:numId w:val="2"/>
        </w:numPr>
      </w:pPr>
      <w:r>
        <w:rPr>
          <w:b/>
          <w:bCs/>
        </w:rPr>
        <w:t>Current Security Posture:</w:t>
      </w:r>
      <w:r>
        <w:t xml:space="preserve"> The platform utilizes parameterized queries via ORM (Object-Relational Mapping, e.g., SQLAlchemy) to neutralize basic SQL injection attempts. Input validation is performed at the application layer for primary data entry points.</w:t>
      </w:r>
    </w:p>
    <w:p w14:paraId="0CF8B7CA" w14:textId="77777777" w:rsidR="00B526BF" w:rsidRDefault="00000000">
      <w:pPr>
        <w:pStyle w:val="Compact"/>
        <w:numPr>
          <w:ilvl w:val="0"/>
          <w:numId w:val="2"/>
        </w:numPr>
      </w:pPr>
      <w:r>
        <w:rPr>
          <w:b/>
          <w:bCs/>
        </w:rPr>
        <w:t>Future Hardening Strategy:</w:t>
      </w:r>
      <w:r>
        <w:t xml:space="preserve"> Implement a robust </w:t>
      </w:r>
      <w:r>
        <w:rPr>
          <w:b/>
          <w:bCs/>
        </w:rPr>
        <w:t>Web Application Firewall (WAF)</w:t>
      </w:r>
      <w:r>
        <w:t xml:space="preserve"> and transition to strict </w:t>
      </w:r>
      <w:r>
        <w:rPr>
          <w:b/>
          <w:bCs/>
        </w:rPr>
        <w:t>DevSecOps</w:t>
      </w:r>
      <w:r>
        <w:t xml:space="preserve"> pipelines where Static Application Security Testing (SAST) and Dynamic Application Security Testing (DAST) are automated. Enforce strict Content Security Policies (CSP) and context-aware output encoding to categorically eliminate Cross-Site Scripting (XSS) vectors across the UI. This aligns directly with the mitigation guidelines stipulated in the </w:t>
      </w:r>
      <w:r>
        <w:rPr>
          <w:b/>
          <w:bCs/>
        </w:rPr>
        <w:t>OWASP Top 10 (2021) A03:2021-Injection</w:t>
      </w:r>
      <w:r>
        <w:t xml:space="preserve"> and </w:t>
      </w:r>
      <w:r>
        <w:rPr>
          <w:b/>
          <w:bCs/>
        </w:rPr>
        <w:t>A03:2021-Cross-Site Scripting</w:t>
      </w:r>
      <w:r>
        <w:t>.</w:t>
      </w:r>
    </w:p>
    <w:p w14:paraId="3CAF6DF1" w14:textId="77777777" w:rsidR="00B526BF" w:rsidRDefault="00000000">
      <w:pPr>
        <w:pStyle w:val="3"/>
      </w:pPr>
      <w:bookmarkStart w:id="3" w:name="authentication-and-authorization-flaws"/>
      <w:bookmarkEnd w:id="2"/>
      <w:r>
        <w:t>1.2 Authentication and Authorization Flaws</w:t>
      </w:r>
    </w:p>
    <w:p w14:paraId="31197AD0" w14:textId="77777777" w:rsidR="00B526BF" w:rsidRDefault="00000000">
      <w:pPr>
        <w:pStyle w:val="Compact"/>
        <w:numPr>
          <w:ilvl w:val="0"/>
          <w:numId w:val="3"/>
        </w:numPr>
      </w:pPr>
      <w:r>
        <w:rPr>
          <w:b/>
          <w:bCs/>
        </w:rPr>
        <w:t>Current Security Posture:</w:t>
      </w:r>
      <w:r>
        <w:t xml:space="preserve"> The system employs JWT (JSON Web Tokens) or session-based cookies for stateful user authentication, coupled with basic Role-Based Access Control (RBAC) separating Homeowners, Contractors, and Administrators.</w:t>
      </w:r>
    </w:p>
    <w:p w14:paraId="3989433F" w14:textId="77777777" w:rsidR="00B526BF" w:rsidRDefault="00000000">
      <w:pPr>
        <w:pStyle w:val="Compact"/>
        <w:numPr>
          <w:ilvl w:val="0"/>
          <w:numId w:val="3"/>
        </w:numPr>
      </w:pPr>
      <w:r>
        <w:rPr>
          <w:b/>
          <w:bCs/>
        </w:rPr>
        <w:t>Future Hardening Strategy:</w:t>
      </w:r>
      <w:r>
        <w:t xml:space="preserve"> Adopt a </w:t>
      </w:r>
      <w:r>
        <w:rPr>
          <w:b/>
          <w:bCs/>
        </w:rPr>
        <w:t>Zero-Trust Architecture</w:t>
      </w:r>
      <w:r>
        <w:t xml:space="preserve"> in accordance with </w:t>
      </w:r>
      <w:r>
        <w:rPr>
          <w:b/>
          <w:bCs/>
        </w:rPr>
        <w:t>NIST SP 800-207</w:t>
      </w:r>
      <w:r>
        <w:t xml:space="preserve">. Implement Multi-Factor Authentication (MFA) as mandatory for all elevated actions (e.g., milestone approvals, fund disbursements). Transition to Attribute-Based Access Control (ABAC) to enforce contextual policies (e.g., location, time) and ensure continuous token validation with aggressive expiration and rotation protocols to mitigate risks identified in </w:t>
      </w:r>
      <w:r>
        <w:rPr>
          <w:b/>
          <w:bCs/>
        </w:rPr>
        <w:t>OWASP A07:2021-Identification and Authentication Failures</w:t>
      </w:r>
      <w:r>
        <w:t>.</w:t>
      </w:r>
    </w:p>
    <w:p w14:paraId="61E59EE0" w14:textId="77777777" w:rsidR="00B526BF" w:rsidRDefault="00000000">
      <w:pPr>
        <w:pStyle w:val="3"/>
      </w:pPr>
      <w:bookmarkStart w:id="4" w:name="insecure-api-exposure"/>
      <w:bookmarkEnd w:id="3"/>
      <w:r>
        <w:t>1.3 Insecure API Exposure</w:t>
      </w:r>
    </w:p>
    <w:p w14:paraId="410CF328" w14:textId="77777777" w:rsidR="00B526BF" w:rsidRDefault="00000000">
      <w:pPr>
        <w:pStyle w:val="Compact"/>
        <w:numPr>
          <w:ilvl w:val="0"/>
          <w:numId w:val="4"/>
        </w:numPr>
      </w:pPr>
      <w:r>
        <w:rPr>
          <w:b/>
          <w:bCs/>
        </w:rPr>
        <w:t>Current Security Posture:</w:t>
      </w:r>
      <w:r>
        <w:t xml:space="preserve"> RESTful API endpoints are secured via standard HTTPS/TLS encryption and basic endpoint authorization checks, preventing unauthorized direct data access.</w:t>
      </w:r>
    </w:p>
    <w:p w14:paraId="28D92212" w14:textId="77777777" w:rsidR="00B526BF" w:rsidRDefault="00000000">
      <w:pPr>
        <w:pStyle w:val="Compact"/>
        <w:numPr>
          <w:ilvl w:val="0"/>
          <w:numId w:val="4"/>
        </w:numPr>
      </w:pPr>
      <w:r>
        <w:rPr>
          <w:b/>
          <w:bCs/>
        </w:rPr>
        <w:t>Future Hardening Strategy:</w:t>
      </w:r>
      <w:r>
        <w:t xml:space="preserve"> Deploy an </w:t>
      </w:r>
      <w:r>
        <w:rPr>
          <w:b/>
          <w:bCs/>
        </w:rPr>
        <w:t>Enterprise API Gateway</w:t>
      </w:r>
      <w:r>
        <w:t xml:space="preserve"> to enforce rate limiting, payload inspection, and anti-DDoS measures. Implement </w:t>
      </w:r>
      <w:r>
        <w:lastRenderedPageBreak/>
        <w:t xml:space="preserve">comprehensive API discovery and schema validation (e.g., OpenAPI standard enforcement). Regular penetration testing aligned with the </w:t>
      </w:r>
      <w:r>
        <w:rPr>
          <w:b/>
          <w:bCs/>
        </w:rPr>
        <w:t>OWASP API Security Top 10 (2023)</w:t>
      </w:r>
      <w:r>
        <w:t xml:space="preserve"> must be institutionalized to comprehensively address </w:t>
      </w:r>
      <w:r>
        <w:rPr>
          <w:b/>
          <w:bCs/>
        </w:rPr>
        <w:t>API1:2023 Broken Object Level Authorization (BOLA)</w:t>
      </w:r>
      <w:r>
        <w:t xml:space="preserve"> and </w:t>
      </w:r>
      <w:r>
        <w:rPr>
          <w:b/>
          <w:bCs/>
        </w:rPr>
        <w:t>API3:2023 Broken Object Property Level Authorization</w:t>
      </w:r>
      <w:r>
        <w:t>.</w:t>
      </w:r>
    </w:p>
    <w:p w14:paraId="2CFCCC88" w14:textId="77777777" w:rsidR="00B526BF" w:rsidRDefault="00000000">
      <w:pPr>
        <w:pStyle w:val="3"/>
      </w:pPr>
      <w:bookmarkStart w:id="5" w:name="X2869e110a4cba16f38f4cd6d892f1a49146da95"/>
      <w:bookmarkEnd w:id="4"/>
      <w:r>
        <w:t>1.4 Infrastructure and Configuration Vulnerabilities</w:t>
      </w:r>
    </w:p>
    <w:p w14:paraId="793F3586" w14:textId="77777777" w:rsidR="00B526BF" w:rsidRDefault="00000000">
      <w:pPr>
        <w:pStyle w:val="Compact"/>
        <w:numPr>
          <w:ilvl w:val="0"/>
          <w:numId w:val="5"/>
        </w:numPr>
      </w:pPr>
      <w:r>
        <w:rPr>
          <w:b/>
          <w:bCs/>
        </w:rPr>
        <w:t>Current Security Posture:</w:t>
      </w:r>
      <w:r>
        <w:t xml:space="preserve"> The application is hosted on containerized instances with environment variables managing secret keys. Periodic manual updates are applied to base images and dependencies.</w:t>
      </w:r>
    </w:p>
    <w:p w14:paraId="08F557C2" w14:textId="77777777" w:rsidR="00B526BF" w:rsidRDefault="00000000">
      <w:pPr>
        <w:pStyle w:val="Compact"/>
        <w:numPr>
          <w:ilvl w:val="0"/>
          <w:numId w:val="5"/>
        </w:numPr>
      </w:pPr>
      <w:r>
        <w:rPr>
          <w:b/>
          <w:bCs/>
        </w:rPr>
        <w:t>Future Hardening Strategy:</w:t>
      </w:r>
      <w:r>
        <w:t xml:space="preserve"> Migrate strictly to </w:t>
      </w:r>
      <w:r>
        <w:rPr>
          <w:b/>
          <w:bCs/>
        </w:rPr>
        <w:t>Infrastructure as Code (IaC)</w:t>
      </w:r>
      <w:r>
        <w:t xml:space="preserve"> utilizing tools like Terraform, paired with continuous configuration drift detection. Integrate automated secret management systems (e.g., Azure Key Vault or HashiCorp Vault) to dynamically rotate credentials. Enforce strict network micro-segmentation, isolating public-facing web instances from internal database clusters and escrow-processing workers, thus rectifying </w:t>
      </w:r>
      <w:r>
        <w:rPr>
          <w:b/>
          <w:bCs/>
        </w:rPr>
        <w:t>OWASP A05:2021-Security Misconfiguration</w:t>
      </w:r>
      <w:r>
        <w:t xml:space="preserve"> vulnerabilities.</w:t>
      </w:r>
    </w:p>
    <w:p w14:paraId="47346D8A" w14:textId="77777777" w:rsidR="00B526BF" w:rsidRDefault="00000000">
      <w:r>
        <w:pict w14:anchorId="39BD71EA">
          <v:rect id="_x0000_i1026" style="width:0;height:1.5pt" o:hralign="center" o:hrstd="t" o:hr="t"/>
        </w:pict>
      </w:r>
    </w:p>
    <w:p w14:paraId="415B2C96" w14:textId="77777777" w:rsidR="00B526BF" w:rsidRDefault="00000000">
      <w:pPr>
        <w:pStyle w:val="2"/>
      </w:pPr>
      <w:bookmarkStart w:id="6" w:name="compliance-and-governance-framework"/>
      <w:bookmarkEnd w:id="1"/>
      <w:bookmarkEnd w:id="5"/>
      <w:r>
        <w:t>2. Compliance and Governance Framework</w:t>
      </w:r>
    </w:p>
    <w:p w14:paraId="61CA4E15" w14:textId="77777777" w:rsidR="00B526BF" w:rsidRDefault="00000000">
      <w:pPr>
        <w:pStyle w:val="FirstParagraph"/>
      </w:pPr>
      <w:r>
        <w:t>To establish institutional trust, the platform must adhere to stringent regulatory architectures, primarily focusing on the Hong Kong regulatory landscape.</w:t>
      </w:r>
    </w:p>
    <w:p w14:paraId="2922626F" w14:textId="77777777" w:rsidR="00B526BF" w:rsidRDefault="00000000">
      <w:pPr>
        <w:pStyle w:val="3"/>
      </w:pPr>
      <w:bookmarkStart w:id="7" w:name="X0ee2ca03b1bfb9b12a49aa317304878a81f9bb1"/>
      <w:r>
        <w:t>2.1 Regulatory Alignment (Hong Kong PDPO &amp; International Standards)</w:t>
      </w:r>
    </w:p>
    <w:p w14:paraId="2726F7E5" w14:textId="77777777" w:rsidR="00B526BF" w:rsidRDefault="00000000">
      <w:pPr>
        <w:pStyle w:val="Compact"/>
        <w:numPr>
          <w:ilvl w:val="0"/>
          <w:numId w:val="6"/>
        </w:numPr>
      </w:pPr>
      <w:r>
        <w:rPr>
          <w:b/>
          <w:bCs/>
        </w:rPr>
        <w:t>Hong Kong PDPO Compliance:</w:t>
      </w:r>
      <w:r>
        <w:t xml:space="preserve"> The system’s data collection mechanisms must strictly adhere to the </w:t>
      </w:r>
      <w:r>
        <w:rPr>
          <w:b/>
          <w:bCs/>
        </w:rPr>
        <w:t>Cap. 486 Personal Data (Privacy) Ordinance</w:t>
      </w:r>
      <w:r>
        <w:t>, specifically Schedule 1 (Data Protection Principles). Compliance mandates explicit, informed consent prior to collecting financial histories and identity documents (DPP1 - Purpose and Manner of Collection), ensuring stringent data minimization (DPP2 - Accuracy and Duration of Retention), and enforcing explicit restrictions on cross-marketing utilize (DPP3 - Use of Personal Data) without opt-in consent.</w:t>
      </w:r>
    </w:p>
    <w:p w14:paraId="1D00CF2E" w14:textId="77777777" w:rsidR="00B526BF" w:rsidRDefault="00000000">
      <w:pPr>
        <w:pStyle w:val="Compact"/>
        <w:numPr>
          <w:ilvl w:val="0"/>
          <w:numId w:val="6"/>
        </w:numPr>
      </w:pPr>
      <w:r>
        <w:rPr>
          <w:b/>
          <w:bCs/>
        </w:rPr>
        <w:t>Global Benchmarking:</w:t>
      </w:r>
      <w:r>
        <w:t xml:space="preserve"> To satisfy tier-one banking risk matrices, the platform’s data governance extends beyond Hong Kong. It will cross-reference </w:t>
      </w:r>
      <w:r>
        <w:rPr>
          <w:b/>
          <w:bCs/>
        </w:rPr>
        <w:t>GDPR (Regulation (EU) 2016/679)</w:t>
      </w:r>
      <w:r>
        <w:t xml:space="preserve">, explicitly incorporating Article 17 (“Right to erasure”) and Article 20 (“Right to data portability”). Concurrently, standardizing against </w:t>
      </w:r>
      <w:r>
        <w:rPr>
          <w:b/>
          <w:bCs/>
        </w:rPr>
        <w:t>ISO/IEC 27001:2022</w:t>
      </w:r>
      <w:r>
        <w:t xml:space="preserve"> (notably Clauses 5 “Leadership/Policies” and 8 “Operation”) is mandatory to establish an independently certifiable Information Security Management System (ISMS).</w:t>
      </w:r>
    </w:p>
    <w:p w14:paraId="4318DA06" w14:textId="77777777" w:rsidR="00B526BF" w:rsidRDefault="00000000">
      <w:pPr>
        <w:pStyle w:val="3"/>
      </w:pPr>
      <w:bookmarkStart w:id="8" w:name="X2fefbb1c1ce687252d231a08ee14e689629b63c"/>
      <w:bookmarkEnd w:id="7"/>
      <w:r>
        <w:lastRenderedPageBreak/>
        <w:t>2.2 IT Governance and Data Lifecycle Protocols</w:t>
      </w:r>
    </w:p>
    <w:p w14:paraId="2B70E881" w14:textId="77777777" w:rsidR="00B526BF" w:rsidRDefault="00000000">
      <w:pPr>
        <w:pStyle w:val="Compact"/>
        <w:numPr>
          <w:ilvl w:val="0"/>
          <w:numId w:val="7"/>
        </w:numPr>
      </w:pPr>
      <w:r>
        <w:rPr>
          <w:b/>
          <w:bCs/>
        </w:rPr>
        <w:t>Secure Data Lifecycle Management:</w:t>
      </w:r>
      <w:r>
        <w:t xml:space="preserve"> Implementation of end-to-end encryption for </w:t>
      </w:r>
      <w:r>
        <w:rPr>
          <w:b/>
          <w:bCs/>
        </w:rPr>
        <w:t>Data at Rest</w:t>
      </w:r>
      <w:r>
        <w:t xml:space="preserve"> (using AES-256) and </w:t>
      </w:r>
      <w:r>
        <w:rPr>
          <w:b/>
          <w:bCs/>
        </w:rPr>
        <w:t>Data in Transit</w:t>
      </w:r>
      <w:r>
        <w:t xml:space="preserve"> (TLS 1.3 as recommended by IETF RFC 8446). PII and financial records must be tokenized or pseudonymized in the core analytical datasets, ensuring GDPR Article 32 (Security of Processing) compliance.</w:t>
      </w:r>
    </w:p>
    <w:p w14:paraId="25946BEA" w14:textId="77777777" w:rsidR="00B526BF" w:rsidRDefault="00000000">
      <w:pPr>
        <w:pStyle w:val="Compact"/>
        <w:numPr>
          <w:ilvl w:val="0"/>
          <w:numId w:val="7"/>
        </w:numPr>
      </w:pPr>
      <w:r>
        <w:rPr>
          <w:b/>
          <w:bCs/>
        </w:rPr>
        <w:t>Continuous Auditing &amp; Logging:</w:t>
      </w:r>
      <w:r>
        <w:t xml:space="preserve"> Deploy centralized, immutable logging servers (e.g., ELK stack or Splunk) configured for WORM (Write Once, Read Many) compliance to meet the evidentiary standards of the </w:t>
      </w:r>
      <w:r>
        <w:rPr>
          <w:b/>
          <w:bCs/>
        </w:rPr>
        <w:t>Hong Kong Monetary Authority (HKMA) Supervisory Policy Manual (SPM) TM-E-1</w:t>
      </w:r>
      <w:r>
        <w:t xml:space="preserve"> on Risk Management of E-banking. Every critical transaction—bidding, smart contract execution, and milestone approvals—must generate cryptographic audit trails to facilitate dispute resolution and regulatory audits.</w:t>
      </w:r>
    </w:p>
    <w:p w14:paraId="49FCBBAF" w14:textId="77777777" w:rsidR="00B526BF" w:rsidRDefault="00000000">
      <w:r>
        <w:pict w14:anchorId="33C7E411">
          <v:rect id="_x0000_i1027" style="width:0;height:1.5pt" o:hralign="center" o:hrstd="t" o:hr="t"/>
        </w:pict>
      </w:r>
    </w:p>
    <w:p w14:paraId="7FB913F1" w14:textId="77777777" w:rsidR="00B526BF" w:rsidRDefault="00000000">
      <w:pPr>
        <w:pStyle w:val="2"/>
      </w:pPr>
      <w:bookmarkStart w:id="9" w:name="future-development-strategic-roadmap"/>
      <w:bookmarkEnd w:id="6"/>
      <w:bookmarkEnd w:id="8"/>
      <w:r>
        <w:t>3. Future Development Strategic Roadmap</w:t>
      </w:r>
    </w:p>
    <w:p w14:paraId="7A3F0FEA" w14:textId="77777777" w:rsidR="00B526BF" w:rsidRDefault="00000000">
      <w:pPr>
        <w:pStyle w:val="FirstParagraph"/>
      </w:pPr>
      <w:r>
        <w:t>The platform’s evolution is structured across three interconnected pillars, driving technological maturity, industry standardization, and aggressive market capture.</w:t>
      </w:r>
    </w:p>
    <w:p w14:paraId="60527E84" w14:textId="77777777" w:rsidR="00B526BF" w:rsidRDefault="00000000">
      <w:pPr>
        <w:pStyle w:val="3"/>
      </w:pPr>
      <w:bookmarkStart w:id="10" w:name="technical-architecture-evolution"/>
      <w:r>
        <w:t>3.1 Technical Architecture Evolution</w:t>
      </w:r>
    </w:p>
    <w:p w14:paraId="57CC6731" w14:textId="77777777" w:rsidR="00B526BF" w:rsidRDefault="00000000">
      <w:pPr>
        <w:pStyle w:val="Compact"/>
        <w:numPr>
          <w:ilvl w:val="0"/>
          <w:numId w:val="8"/>
        </w:numPr>
      </w:pPr>
      <w:r>
        <w:rPr>
          <w:b/>
          <w:bCs/>
        </w:rPr>
        <w:t>Cloud-Native Scalability:</w:t>
      </w:r>
      <w:r>
        <w:t xml:space="preserve"> Transition the monolithic/hybrid MVP framework into a federated </w:t>
      </w:r>
      <w:r>
        <w:rPr>
          <w:b/>
          <w:bCs/>
        </w:rPr>
        <w:t>Microservices Architecture</w:t>
      </w:r>
      <w:r>
        <w:t xml:space="preserve"> formally aligned with the </w:t>
      </w:r>
      <w:r>
        <w:rPr>
          <w:b/>
          <w:bCs/>
        </w:rPr>
        <w:t>Cloud Native Computing Foundation (CNCF)</w:t>
      </w:r>
      <w:r>
        <w:t xml:space="preserve"> best practices. Using </w:t>
      </w:r>
      <w:r>
        <w:rPr>
          <w:b/>
          <w:bCs/>
        </w:rPr>
        <w:t>Kubernetes</w:t>
      </w:r>
      <w:r>
        <w:t xml:space="preserve"> integration, the credit scoring engine, escrow ledger, and user-facing API gateways decouple into independent, horizontally scalable bounded contexts to ensure robust fault tolerance and sustained SLA metrics (99.99% uptime) during cyclical transaction volume peaks.</w:t>
      </w:r>
    </w:p>
    <w:p w14:paraId="579FA974" w14:textId="77777777" w:rsidR="00B526BF" w:rsidRDefault="00000000">
      <w:pPr>
        <w:pStyle w:val="Compact"/>
        <w:numPr>
          <w:ilvl w:val="0"/>
          <w:numId w:val="8"/>
        </w:numPr>
      </w:pPr>
      <w:r>
        <w:rPr>
          <w:b/>
          <w:bCs/>
        </w:rPr>
        <w:t>Advanced AI &amp; Digital Twin Integration:</w:t>
      </w:r>
      <w:r>
        <w:t xml:space="preserve"> Evolve beyond manual photographic evidence by integrating spatial computing and AI. The platform will automatically compare the construction site’s </w:t>
      </w:r>
      <w:r>
        <w:rPr>
          <w:b/>
          <w:bCs/>
        </w:rPr>
        <w:t>Digital Twin</w:t>
      </w:r>
      <w:r>
        <w:t xml:space="preserve"> (captured via LiDAR/photogrammetry) against the original </w:t>
      </w:r>
      <w:r>
        <w:rPr>
          <w:b/>
          <w:bCs/>
        </w:rPr>
        <w:t>BIM (Building Information Modeling)</w:t>
      </w:r>
      <w:r>
        <w:t xml:space="preserve"> parameters. If structural deviations fall within the accepted tolerances defined by the </w:t>
      </w:r>
      <w:r>
        <w:rPr>
          <w:b/>
          <w:bCs/>
        </w:rPr>
        <w:t>ISO 19650</w:t>
      </w:r>
      <w:r>
        <w:t xml:space="preserve"> or </w:t>
      </w:r>
      <w:r>
        <w:rPr>
          <w:b/>
          <w:bCs/>
        </w:rPr>
        <w:t>HKIS Standards</w:t>
      </w:r>
      <w:r>
        <w:t xml:space="preserve">, the system’s </w:t>
      </w:r>
      <w:r>
        <w:rPr>
          <w:b/>
          <w:bCs/>
        </w:rPr>
        <w:t>Virtual AI Adjudicator</w:t>
      </w:r>
      <w:r>
        <w:t xml:space="preserve"> will autonomously trigger the smart contract for milestone fund disbursement. This integration incorporates </w:t>
      </w:r>
      <w:r>
        <w:rPr>
          <w:b/>
          <w:bCs/>
        </w:rPr>
        <w:t>Explainable AI (XAI)</w:t>
      </w:r>
      <w:r>
        <w:t xml:space="preserve"> frameworks to produce unbiased, transparent mediation findings that satisfy financial regulatory accountability.</w:t>
      </w:r>
    </w:p>
    <w:p w14:paraId="23349B23" w14:textId="77777777" w:rsidR="00B526BF" w:rsidRDefault="00000000">
      <w:pPr>
        <w:pStyle w:val="Compact"/>
        <w:numPr>
          <w:ilvl w:val="0"/>
          <w:numId w:val="8"/>
        </w:numPr>
      </w:pPr>
      <w:r>
        <w:rPr>
          <w:b/>
          <w:bCs/>
        </w:rPr>
        <w:t>UI/UX Modernization:</w:t>
      </w:r>
      <w:r>
        <w:t xml:space="preserve"> Deploy a progressive, mobile-optimized experience leveraging state-of-the-art frontend ecosystems (e.g., Next.js with React 18). State management micro-interactions must adhere strictly strictly to </w:t>
      </w:r>
      <w:r>
        <w:rPr>
          <w:b/>
          <w:bCs/>
        </w:rPr>
        <w:t>Web Content Accessibility Guidelines (WCAG) 2.2 Level AA</w:t>
      </w:r>
      <w:r>
        <w:t>, ensuring inclusive access for the aged or disabled demographics within Hong Kong.</w:t>
      </w:r>
    </w:p>
    <w:p w14:paraId="343058F2" w14:textId="77777777" w:rsidR="00B526BF" w:rsidRDefault="00000000">
      <w:pPr>
        <w:pStyle w:val="3"/>
      </w:pPr>
      <w:bookmarkStart w:id="11" w:name="Xb8425d09e494157262d886ced91e5f6b01f3ca4"/>
      <w:bookmarkEnd w:id="10"/>
      <w:r>
        <w:lastRenderedPageBreak/>
        <w:t>3.2 Industry Standardization &amp; Policy Integration</w:t>
      </w:r>
    </w:p>
    <w:p w14:paraId="3DD0FD7A" w14:textId="77777777" w:rsidR="00B526BF" w:rsidRDefault="00000000">
      <w:pPr>
        <w:pStyle w:val="Compact"/>
        <w:numPr>
          <w:ilvl w:val="0"/>
          <w:numId w:val="9"/>
        </w:numPr>
      </w:pPr>
      <w:r>
        <w:rPr>
          <w:b/>
          <w:bCs/>
        </w:rPr>
        <w:t>Institutional Governance &amp; Whitepaper Integration:</w:t>
      </w:r>
      <w:r>
        <w:t xml:space="preserve"> Transition from passive industry alignment to active institutional governance. By formulating a strategic memorandum with the </w:t>
      </w:r>
      <w:r>
        <w:rPr>
          <w:b/>
          <w:bCs/>
        </w:rPr>
        <w:t>Construction Industry Council (CIC)</w:t>
      </w:r>
      <w:r>
        <w:t xml:space="preserve">, the platform proposes the joint establishment of a </w:t>
      </w:r>
      <w:r>
        <w:rPr>
          <w:b/>
          <w:bCs/>
        </w:rPr>
        <w:t>“Renovation Data Whitepaper”</w:t>
      </w:r>
      <w:r>
        <w:t xml:space="preserve">. This positions the platform’s aggregated, structured data as the authoritative “digital gripper” </w:t>
      </w:r>
      <w:r>
        <w:rPr>
          <w:rFonts w:hint="eastAsia"/>
        </w:rPr>
        <w:t>(</w:t>
      </w:r>
      <w:r>
        <w:rPr>
          <w:rFonts w:hint="eastAsia"/>
        </w:rPr>
        <w:t>數字抓手</w:t>
      </w:r>
      <w:r>
        <w:rPr>
          <w:rFonts w:hint="eastAsia"/>
        </w:rPr>
        <w:t>)</w:t>
      </w:r>
      <w:r>
        <w:t xml:space="preserve"> for government oversight and regulatory enforcement.</w:t>
      </w:r>
    </w:p>
    <w:p w14:paraId="159908B1" w14:textId="77777777" w:rsidR="00B526BF" w:rsidRDefault="00000000">
      <w:pPr>
        <w:pStyle w:val="Compact"/>
        <w:numPr>
          <w:ilvl w:val="0"/>
          <w:numId w:val="9"/>
        </w:numPr>
      </w:pPr>
      <w:r>
        <w:rPr>
          <w:b/>
          <w:bCs/>
        </w:rPr>
        <w:t>Parametric Benchmarking &amp; Micro-Level Quantification:</w:t>
      </w:r>
      <w:r>
        <w:t xml:space="preserve"> Eradicate the pervasive subjectivity plaguing the sector by enforcing </w:t>
      </w:r>
      <w:r>
        <w:rPr>
          <w:b/>
          <w:bCs/>
        </w:rPr>
        <w:t>“parametric” and “quantified”</w:t>
      </w:r>
      <w:r>
        <w:t xml:space="preserve"> quality control models (Specs). Specific physical execution metrics—such as “wall surface flatness” (measured in mm/m) or “waterproofing layer thickness”—are directly bound to software Data Points. These completion indices translate directly into executable algorithmic logics within smart contracts. When captured deviations align rigidly with HKIS specifications, they act as objective, automated disbursement triggers, ensuring unassailable transactional integrity.</w:t>
      </w:r>
    </w:p>
    <w:p w14:paraId="2AEF19D6" w14:textId="77777777" w:rsidR="00B526BF" w:rsidRDefault="00000000">
      <w:pPr>
        <w:pStyle w:val="Compact"/>
        <w:numPr>
          <w:ilvl w:val="0"/>
          <w:numId w:val="9"/>
        </w:numPr>
      </w:pPr>
      <w:r>
        <w:rPr>
          <w:b/>
          <w:bCs/>
        </w:rPr>
        <w:t>Socio-Economic Impact:</w:t>
      </w:r>
      <w:r>
        <w:t xml:space="preserve"> Emphasizing Corporate Social Responsibility (CSR) and ESG (Environmental, Social, and Governance), the platform structurally eradicates endemic industry malpractices—such as ‘hidden fees’ or ‘financial abandonment’. The resulting standardized transparency mitigates direct socio-economic harm, elevates the fiduciary dignity of compliant SMEs, and shields retail homeowners across the SAR.</w:t>
      </w:r>
    </w:p>
    <w:p w14:paraId="31BEEEAD" w14:textId="77777777" w:rsidR="00B526BF" w:rsidRDefault="00000000">
      <w:pPr>
        <w:pStyle w:val="3"/>
      </w:pPr>
      <w:bookmarkStart w:id="12" w:name="go-to-market-gtm-commercialization"/>
      <w:bookmarkEnd w:id="11"/>
      <w:r>
        <w:t>3.3 Go-to-Market (GTM) &amp; Commercialization</w:t>
      </w:r>
    </w:p>
    <w:p w14:paraId="04D724B7" w14:textId="77777777" w:rsidR="00B526BF" w:rsidRDefault="00000000">
      <w:pPr>
        <w:pStyle w:val="Compact"/>
        <w:numPr>
          <w:ilvl w:val="0"/>
          <w:numId w:val="10"/>
        </w:numPr>
      </w:pPr>
      <w:r>
        <w:rPr>
          <w:b/>
          <w:bCs/>
        </w:rPr>
        <w:t>Open Banking Ecosystem Integration (The Trust Anchor):</w:t>
      </w:r>
      <w:r>
        <w:t xml:space="preserve"> Execute a strategic institutional wedge into the financial sector by aligning explicitly with the </w:t>
      </w:r>
      <w:r>
        <w:rPr>
          <w:b/>
          <w:bCs/>
        </w:rPr>
        <w:t>Hong Kong Monetary Authority (HKMA) Open API Framework</w:t>
      </w:r>
      <w:r>
        <w:t xml:space="preserve">. Going beyond mere passive escrow custodianship, this leverages true “Open Banking” synergy. Banks can utilize our standardized, veracious progress data via API gateways. Based on this trusted data layer, financial institutions can algorithmically underwrite low-interest </w:t>
      </w:r>
      <w:r>
        <w:rPr>
          <w:b/>
          <w:bCs/>
        </w:rPr>
        <w:t>“Green Construction Loans”</w:t>
      </w:r>
      <w:r>
        <w:t xml:space="preserve"> or rapid working-capital credit lines for highly-rated SMEs, effectively resolving endemic cash-flow bottlenecks. Simultaneously, onboard ERB-verified engineering firms as adjudicators to cement unassailable platform authority.</w:t>
      </w:r>
    </w:p>
    <w:p w14:paraId="4CA826FE" w14:textId="77777777" w:rsidR="00B526BF" w:rsidRDefault="00000000">
      <w:pPr>
        <w:pStyle w:val="Compact"/>
        <w:numPr>
          <w:ilvl w:val="0"/>
          <w:numId w:val="10"/>
        </w:numPr>
      </w:pPr>
      <w:r>
        <w:rPr>
          <w:b/>
          <w:bCs/>
        </w:rPr>
        <w:t>B2C Omni-Channel Acquisition:</w:t>
      </w:r>
      <w:r>
        <w:t xml:space="preserve"> Roll out a high-velocity, intent-driven digital marketing infrastructure leveraging complex algorithmic targeting across primary social consumption ecosystems:</w:t>
      </w:r>
    </w:p>
    <w:p w14:paraId="69ECC60C" w14:textId="77777777" w:rsidR="00B526BF" w:rsidRDefault="00000000">
      <w:pPr>
        <w:pStyle w:val="Compact"/>
        <w:numPr>
          <w:ilvl w:val="1"/>
          <w:numId w:val="11"/>
        </w:numPr>
      </w:pPr>
      <w:r>
        <w:rPr>
          <w:b/>
          <w:bCs/>
        </w:rPr>
        <w:t>Facebook &amp; YouTube:</w:t>
      </w:r>
      <w:r>
        <w:t xml:space="preserve"> Disseminate high-production, data-driven case studies modeling the asymmetrical financial risks of unregulated, cash-advanced renovations against the mathematically secure reality of the platform’s escrow and smart contract apparatus.</w:t>
      </w:r>
    </w:p>
    <w:p w14:paraId="3B76AA27" w14:textId="77777777" w:rsidR="00B526BF" w:rsidRDefault="00000000">
      <w:pPr>
        <w:pStyle w:val="Compact"/>
        <w:numPr>
          <w:ilvl w:val="1"/>
          <w:numId w:val="11"/>
        </w:numPr>
      </w:pPr>
      <w:r>
        <w:rPr>
          <w:b/>
          <w:bCs/>
        </w:rPr>
        <w:lastRenderedPageBreak/>
        <w:t xml:space="preserve">Xiaohongshu </w:t>
      </w:r>
      <w:r>
        <w:rPr>
          <w:rFonts w:hint="eastAsia"/>
          <w:b/>
          <w:bCs/>
        </w:rPr>
        <w:t>(</w:t>
      </w:r>
      <w:r>
        <w:rPr>
          <w:rFonts w:hint="eastAsia"/>
          <w:b/>
          <w:bCs/>
        </w:rPr>
        <w:t>小紅書</w:t>
      </w:r>
      <w:r>
        <w:rPr>
          <w:rFonts w:hint="eastAsia"/>
          <w:b/>
          <w:bCs/>
        </w:rPr>
        <w:t>):</w:t>
      </w:r>
      <w:r>
        <w:t xml:space="preserve"> Penetrate high-intent Millennial and Gen-Z demographic segments by synthesizing influencer-driven “KOL” tutorials highlighting preventative strategies against the “renovation trap” </w:t>
      </w:r>
      <w:r>
        <w:rPr>
          <w:rFonts w:hint="eastAsia"/>
        </w:rPr>
        <w:t>(</w:t>
      </w:r>
      <w:r>
        <w:rPr>
          <w:rFonts w:hint="eastAsia"/>
        </w:rPr>
        <w:t>裝修陷阱</w:t>
      </w:r>
      <w:r>
        <w:rPr>
          <w:rFonts w:hint="eastAsia"/>
        </w:rPr>
        <w:t>),</w:t>
      </w:r>
      <w:r>
        <w:t xml:space="preserve"> framing the platform as a de facto consumer protection utility.</w:t>
      </w:r>
    </w:p>
    <w:p w14:paraId="526A744E" w14:textId="77777777" w:rsidR="00B526BF" w:rsidRDefault="00000000">
      <w:pPr>
        <w:pStyle w:val="Compact"/>
        <w:numPr>
          <w:ilvl w:val="1"/>
          <w:numId w:val="11"/>
        </w:numPr>
      </w:pPr>
      <w:r>
        <w:t>Prioritize rigorous Conversion Rate Optimization (CRO) strategies based on continuous A/B multivariant testing, aiming to achieve dominant user acquisition density and establish a monopolistic network effect within the initial 18-month GTM lifecycle.</w:t>
      </w:r>
    </w:p>
    <w:p w14:paraId="58FCC1E1" w14:textId="77777777" w:rsidR="00B526BF" w:rsidRDefault="00000000">
      <w:r>
        <w:pict w14:anchorId="168533A6">
          <v:rect id="_x0000_i1028" style="width:0;height:1.5pt" o:hralign="center" o:hrstd="t" o:hr="t"/>
        </w:pict>
      </w:r>
    </w:p>
    <w:p w14:paraId="73A6C401" w14:textId="77777777" w:rsidR="00B526BF" w:rsidRDefault="00000000">
      <w:pPr>
        <w:pStyle w:val="2"/>
      </w:pPr>
      <w:bookmarkStart w:id="13" w:name="conclusion-the-trust-layer-protocol"/>
      <w:bookmarkEnd w:id="9"/>
      <w:bookmarkEnd w:id="12"/>
      <w:r>
        <w:t>4. Conclusion: The Trust-Layer Protocol</w:t>
      </w:r>
    </w:p>
    <w:p w14:paraId="32B691F5" w14:textId="77777777" w:rsidR="00120AEE" w:rsidRPr="00120AEE" w:rsidRDefault="00120AEE" w:rsidP="00120AEE">
      <w:r w:rsidRPr="00120AEE">
        <w:t xml:space="preserve">As a transformative SaaS platform at the intersection of FinTech and </w:t>
      </w:r>
      <w:proofErr w:type="spellStart"/>
      <w:r w:rsidRPr="00120AEE">
        <w:t>PropTech</w:t>
      </w:r>
      <w:proofErr w:type="spellEnd"/>
      <w:r w:rsidRPr="00120AEE">
        <w:t>, the Renovation Credit &amp; Escrow System addresses systemic trust deficits in the renovation and construction industry. By introducing standardized credit scoring, escrow-backed milestone payments, and rigorous compliance gateways, the platform mitigates financial risk for homeowners while incentivizing high-quality execution by contractors. This positions the system not merely as a software utility, but as an institutional standard-bearer for transparency and financial integrity.</w:t>
      </w:r>
    </w:p>
    <w:p w14:paraId="210A3EE5" w14:textId="77777777" w:rsidR="00120AEE" w:rsidRPr="00120AEE" w:rsidRDefault="00120AEE" w:rsidP="00120AEE">
      <w:r w:rsidRPr="00120AEE">
        <w:t xml:space="preserve">Ultimately, the platform transcends the limitations of conventional SaaS solutions. It operates as a foundational "Trust-Layer Protocol," engineered to rectify the chronic information asymmetry and trust defaults that have historically plagued Hong Kong’s interior design and renovation sector. Much like how Alipay revolutionized early Asian e-commerce by neutralizing the credit gap between unverified merchants and remote buyers via escrow mechanics, this platform institutionalizes financial security for homeowners while programmatically guaranteeing fair, unhindered compensation for diligent contractors. By converging blockchain-based smart contracts, BIM/Digital Twin validation, and HKMA Open Banking integration, the system pioneers an incorruptible, automated paradigm for </w:t>
      </w:r>
      <w:proofErr w:type="spellStart"/>
      <w:r w:rsidRPr="00120AEE">
        <w:t>PropTech</w:t>
      </w:r>
      <w:proofErr w:type="spellEnd"/>
      <w:r w:rsidRPr="00120AEE">
        <w:t xml:space="preserve"> governance—directly fulfilling the core academic and practical objectives of the COMP7300 Financial Technology program.</w:t>
      </w:r>
    </w:p>
    <w:p w14:paraId="09AD2FCF" w14:textId="77777777" w:rsidR="00B526BF" w:rsidRDefault="00000000">
      <w:r>
        <w:pict w14:anchorId="0F1B281F">
          <v:rect id="_x0000_i1029" style="width:0;height:1.5pt" o:hralign="center" o:hrstd="t" o:hr="t"/>
        </w:pict>
      </w:r>
    </w:p>
    <w:p w14:paraId="540FDE7B" w14:textId="77777777" w:rsidR="00B526BF" w:rsidRDefault="00000000">
      <w:pPr>
        <w:pStyle w:val="2"/>
      </w:pPr>
      <w:bookmarkStart w:id="14" w:name="references-documentation-standards"/>
      <w:bookmarkEnd w:id="13"/>
      <w:r>
        <w:t>5. References &amp; Documentation Standards</w:t>
      </w:r>
    </w:p>
    <w:p w14:paraId="7FD6FD0E" w14:textId="77777777" w:rsidR="00B526BF" w:rsidRDefault="00000000">
      <w:pPr>
        <w:pStyle w:val="Compact"/>
        <w:numPr>
          <w:ilvl w:val="0"/>
          <w:numId w:val="12"/>
        </w:numPr>
      </w:pPr>
      <w:r>
        <w:t xml:space="preserve">ISO/IEC 27001:2022. </w:t>
      </w:r>
      <w:r>
        <w:rPr>
          <w:i/>
          <w:iCs/>
        </w:rPr>
        <w:t>Information security, cybersecurity and privacy protection — Information security management systems — Requirements</w:t>
      </w:r>
      <w:r>
        <w:t>.</w:t>
      </w:r>
    </w:p>
    <w:p w14:paraId="75B70342" w14:textId="77777777" w:rsidR="00B526BF" w:rsidRDefault="00000000">
      <w:pPr>
        <w:pStyle w:val="Compact"/>
        <w:numPr>
          <w:ilvl w:val="0"/>
          <w:numId w:val="12"/>
        </w:numPr>
      </w:pPr>
      <w:r>
        <w:t xml:space="preserve">ISO 19650-1:2018. </w:t>
      </w:r>
      <w:r>
        <w:rPr>
          <w:i/>
          <w:iCs/>
        </w:rPr>
        <w:t>Organization and digitization of information about buildings and civil engineering works, including building information modelling (BIM)</w:t>
      </w:r>
      <w:r>
        <w:t>.</w:t>
      </w:r>
    </w:p>
    <w:p w14:paraId="090500E1" w14:textId="77777777" w:rsidR="00B526BF" w:rsidRDefault="00000000">
      <w:pPr>
        <w:pStyle w:val="Compact"/>
        <w:numPr>
          <w:ilvl w:val="0"/>
          <w:numId w:val="12"/>
        </w:numPr>
      </w:pPr>
      <w:r>
        <w:t xml:space="preserve">Hong Kong e-Legislation (n.d.). </w:t>
      </w:r>
      <w:r>
        <w:rPr>
          <w:i/>
          <w:iCs/>
        </w:rPr>
        <w:t>Cap. 486 Personal Data (Privacy) Ordinance</w:t>
      </w:r>
      <w:r>
        <w:t>. Hong Kong SAR Government.</w:t>
      </w:r>
    </w:p>
    <w:p w14:paraId="1FFF5BA2" w14:textId="77777777" w:rsidR="00B526BF" w:rsidRDefault="00000000">
      <w:pPr>
        <w:pStyle w:val="Compact"/>
        <w:numPr>
          <w:ilvl w:val="0"/>
          <w:numId w:val="12"/>
        </w:numPr>
      </w:pPr>
      <w:r>
        <w:lastRenderedPageBreak/>
        <w:t xml:space="preserve">Hong Kong Monetary Authority (HKMA). </w:t>
      </w:r>
      <w:r>
        <w:rPr>
          <w:i/>
          <w:iCs/>
        </w:rPr>
        <w:t>Supervisory Policy Manual (SPM) TM-E-1: Risk Management of E-banking</w:t>
      </w:r>
      <w:r>
        <w:t>.</w:t>
      </w:r>
    </w:p>
    <w:p w14:paraId="226B098E" w14:textId="77777777" w:rsidR="00B526BF" w:rsidRDefault="00000000">
      <w:pPr>
        <w:pStyle w:val="Compact"/>
        <w:numPr>
          <w:ilvl w:val="0"/>
          <w:numId w:val="12"/>
        </w:numPr>
      </w:pPr>
      <w:r>
        <w:t xml:space="preserve">OWASP Foundation (2021). </w:t>
      </w:r>
      <w:r>
        <w:rPr>
          <w:i/>
          <w:iCs/>
        </w:rPr>
        <w:t>OWASP Top 10 Web Application Security Risks</w:t>
      </w:r>
      <w:r>
        <w:t>.</w:t>
      </w:r>
    </w:p>
    <w:p w14:paraId="7F5A4CCC" w14:textId="77777777" w:rsidR="00B526BF" w:rsidRDefault="00000000">
      <w:pPr>
        <w:pStyle w:val="Compact"/>
        <w:numPr>
          <w:ilvl w:val="0"/>
          <w:numId w:val="12"/>
        </w:numPr>
      </w:pPr>
      <w:r>
        <w:t xml:space="preserve">OWASP Foundation (2023). </w:t>
      </w:r>
      <w:r>
        <w:rPr>
          <w:i/>
          <w:iCs/>
        </w:rPr>
        <w:t>OWASP API Security Top 10</w:t>
      </w:r>
      <w:r>
        <w:t>.</w:t>
      </w:r>
    </w:p>
    <w:p w14:paraId="46412180" w14:textId="77777777" w:rsidR="00B526BF" w:rsidRDefault="00000000">
      <w:pPr>
        <w:pStyle w:val="Compact"/>
        <w:numPr>
          <w:ilvl w:val="0"/>
          <w:numId w:val="12"/>
        </w:numPr>
      </w:pPr>
      <w:r>
        <w:t xml:space="preserve">Rose, S., et al. (2020). </w:t>
      </w:r>
      <w:r>
        <w:rPr>
          <w:i/>
          <w:iCs/>
        </w:rPr>
        <w:t>NIST Special Publication 800-207: Zero Trust Architecture</w:t>
      </w:r>
      <w:r>
        <w:t>. National Institute of Standards and Technology.</w:t>
      </w:r>
    </w:p>
    <w:p w14:paraId="4BAEFAD9" w14:textId="77777777" w:rsidR="00B526BF" w:rsidRDefault="00000000">
      <w:pPr>
        <w:pStyle w:val="Compact"/>
        <w:numPr>
          <w:ilvl w:val="0"/>
          <w:numId w:val="12"/>
        </w:numPr>
      </w:pPr>
      <w:r>
        <w:t xml:space="preserve">Construction Industry Council (CIC). </w:t>
      </w:r>
      <w:r>
        <w:rPr>
          <w:i/>
          <w:iCs/>
        </w:rPr>
        <w:t>Guidelines on Construction Subcontracting in Hong Kong</w:t>
      </w:r>
      <w:r>
        <w:t>.</w:t>
      </w:r>
    </w:p>
    <w:p w14:paraId="12DA3E63" w14:textId="77777777" w:rsidR="00B526BF" w:rsidRDefault="00000000">
      <w:pPr>
        <w:pStyle w:val="Compact"/>
        <w:numPr>
          <w:ilvl w:val="0"/>
          <w:numId w:val="12"/>
        </w:numPr>
      </w:pPr>
      <w:r>
        <w:t xml:space="preserve">European Parliament and Council (2016). </w:t>
      </w:r>
      <w:r>
        <w:rPr>
          <w:i/>
          <w:iCs/>
        </w:rPr>
        <w:t>Regulation (EU) 2016/679 (General Data Protection Regulation)</w:t>
      </w:r>
      <w:r>
        <w:t>.</w:t>
      </w:r>
      <w:bookmarkEnd w:id="0"/>
      <w:bookmarkEnd w:id="14"/>
    </w:p>
    <w:sectPr w:rsidR="00B526B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4988" w14:textId="77777777" w:rsidR="004A0EFC" w:rsidRDefault="004A0EFC" w:rsidP="00120AEE">
      <w:pPr>
        <w:spacing w:after="0"/>
      </w:pPr>
      <w:r>
        <w:separator/>
      </w:r>
    </w:p>
  </w:endnote>
  <w:endnote w:type="continuationSeparator" w:id="0">
    <w:p w14:paraId="77DAE367" w14:textId="77777777" w:rsidR="004A0EFC" w:rsidRDefault="004A0EFC" w:rsidP="00120A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7554" w14:textId="77777777" w:rsidR="004A0EFC" w:rsidRDefault="004A0EFC" w:rsidP="00120AEE">
      <w:pPr>
        <w:spacing w:after="0"/>
      </w:pPr>
      <w:r>
        <w:separator/>
      </w:r>
    </w:p>
  </w:footnote>
  <w:footnote w:type="continuationSeparator" w:id="0">
    <w:p w14:paraId="081356AF" w14:textId="77777777" w:rsidR="004A0EFC" w:rsidRDefault="004A0EFC" w:rsidP="00120A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0AAC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0CAB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00763">
    <w:abstractNumId w:val="0"/>
  </w:num>
  <w:num w:numId="2" w16cid:durableId="632950696">
    <w:abstractNumId w:val="1"/>
  </w:num>
  <w:num w:numId="3" w16cid:durableId="1226186292">
    <w:abstractNumId w:val="1"/>
  </w:num>
  <w:num w:numId="4" w16cid:durableId="845828026">
    <w:abstractNumId w:val="1"/>
  </w:num>
  <w:num w:numId="5" w16cid:durableId="2120445506">
    <w:abstractNumId w:val="1"/>
  </w:num>
  <w:num w:numId="6" w16cid:durableId="1169254924">
    <w:abstractNumId w:val="1"/>
  </w:num>
  <w:num w:numId="7" w16cid:durableId="503281027">
    <w:abstractNumId w:val="1"/>
  </w:num>
  <w:num w:numId="8" w16cid:durableId="1750040279">
    <w:abstractNumId w:val="1"/>
  </w:num>
  <w:num w:numId="9" w16cid:durableId="557211539">
    <w:abstractNumId w:val="1"/>
  </w:num>
  <w:num w:numId="10" w16cid:durableId="1686785476">
    <w:abstractNumId w:val="1"/>
  </w:num>
  <w:num w:numId="11" w16cid:durableId="1658879674">
    <w:abstractNumId w:val="1"/>
  </w:num>
  <w:num w:numId="12" w16cid:durableId="611401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26BF"/>
    <w:rsid w:val="00120AEE"/>
    <w:rsid w:val="004A0EFC"/>
    <w:rsid w:val="00B526BF"/>
    <w:rsid w:val="00BD44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92605"/>
  <w15:docId w15:val="{588B0F0B-CA37-4A29-91E2-7B1570EA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120AEE"/>
    <w:pPr>
      <w:tabs>
        <w:tab w:val="center" w:pos="4153"/>
        <w:tab w:val="right" w:pos="8306"/>
      </w:tabs>
      <w:snapToGrid w:val="0"/>
    </w:pPr>
    <w:rPr>
      <w:sz w:val="20"/>
      <w:szCs w:val="20"/>
    </w:rPr>
  </w:style>
  <w:style w:type="character" w:customStyle="1" w:styleId="af2">
    <w:name w:val="頁首 字元"/>
    <w:basedOn w:val="a1"/>
    <w:link w:val="af1"/>
    <w:rsid w:val="00120AEE"/>
    <w:rPr>
      <w:sz w:val="20"/>
      <w:szCs w:val="20"/>
    </w:rPr>
  </w:style>
  <w:style w:type="paragraph" w:styleId="af3">
    <w:name w:val="footer"/>
    <w:basedOn w:val="a"/>
    <w:link w:val="af4"/>
    <w:rsid w:val="00120AEE"/>
    <w:pPr>
      <w:tabs>
        <w:tab w:val="center" w:pos="4153"/>
        <w:tab w:val="right" w:pos="8306"/>
      </w:tabs>
      <w:snapToGrid w:val="0"/>
    </w:pPr>
    <w:rPr>
      <w:sz w:val="20"/>
      <w:szCs w:val="20"/>
    </w:rPr>
  </w:style>
  <w:style w:type="character" w:customStyle="1" w:styleId="af4">
    <w:name w:val="頁尾 字元"/>
    <w:basedOn w:val="a1"/>
    <w:link w:val="af3"/>
    <w:rsid w:val="00120AE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1648</Words>
  <Characters>11458</Characters>
  <Application>Microsoft Office Word</Application>
  <DocSecurity>0</DocSecurity>
  <Lines>204</Lines>
  <Paragraphs>57</Paragraphs>
  <ScaleCrop>false</ScaleCrop>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 tiu</cp:lastModifiedBy>
  <cp:revision>2</cp:revision>
  <dcterms:created xsi:type="dcterms:W3CDTF">2026-04-13T04:30:00Z</dcterms:created>
  <dcterms:modified xsi:type="dcterms:W3CDTF">2026-04-13T04:36:00Z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2026-04-13T04:36:37Z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10e9d129-06e8-45b6-bcbd-9b49b35f8931</vt:lpwstr>
  </property>
  <property fmtid="{D5CDD505-2E9C-101B-9397-08002B2CF9AE}" pid="7" name="MSIP_Label_defa4170-0d19-0005-0004-bc88714345d2_ActionId">
    <vt:lpwstr>34a63d20-06bb-4e5c-be33-44a9d5030df5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