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78" w:rsidRDefault="00AE0E74">
      <w:pPr>
        <w:spacing w:before="56"/>
        <w:ind w:left="100" w:right="872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/>
          <w:b/>
          <w:sz w:val="24"/>
        </w:rPr>
        <w:t>References</w:t>
      </w:r>
    </w:p>
    <w:p w:rsidR="007E5578" w:rsidRDefault="007E5578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spacing w:line="274" w:lineRule="exact"/>
        <w:ind w:right="872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May </w:t>
      </w:r>
      <w:r>
        <w:rPr>
          <w:rFonts w:ascii="Arial"/>
          <w:spacing w:val="2"/>
          <w:sz w:val="24"/>
        </w:rPr>
        <w:t xml:space="preserve">WM, </w:t>
      </w:r>
      <w:r>
        <w:rPr>
          <w:rFonts w:ascii="Arial"/>
          <w:sz w:val="24"/>
        </w:rPr>
        <w:t>Morgan BJ, Lemke JC, Karst GM, et al. Model for</w:t>
      </w:r>
      <w:r>
        <w:rPr>
          <w:rFonts w:ascii="Arial"/>
          <w:spacing w:val="-29"/>
          <w:sz w:val="24"/>
        </w:rPr>
        <w:t xml:space="preserve"> </w:t>
      </w:r>
      <w:r>
        <w:rPr>
          <w:rFonts w:ascii="Arial"/>
          <w:sz w:val="24"/>
        </w:rPr>
        <w:t xml:space="preserve">ability-based assessment in physical therapy education. </w:t>
      </w:r>
      <w:r>
        <w:rPr>
          <w:rFonts w:ascii="Arial"/>
          <w:i/>
          <w:sz w:val="24"/>
        </w:rPr>
        <w:t>Phys Ther.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sz w:val="24"/>
        </w:rPr>
        <w:t>1995;9(1):3-6.</w:t>
      </w:r>
    </w:p>
    <w:p w:rsidR="007E5578" w:rsidRDefault="007E5578">
      <w:pPr>
        <w:spacing w:before="5"/>
        <w:rPr>
          <w:rFonts w:ascii="Arial" w:eastAsia="Arial" w:hAnsi="Arial" w:cs="Arial"/>
          <w:sz w:val="23"/>
          <w:szCs w:val="23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  <w:tab w:val="left" w:pos="5974"/>
        </w:tabs>
        <w:spacing w:line="242" w:lineRule="auto"/>
        <w:ind w:right="8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Professional Behaviors for the 21</w:t>
      </w:r>
      <w:r>
        <w:rPr>
          <w:rFonts w:ascii="Arial"/>
          <w:position w:val="8"/>
          <w:sz w:val="16"/>
        </w:rPr>
        <w:t xml:space="preserve">st </w:t>
      </w:r>
      <w:r>
        <w:rPr>
          <w:rFonts w:ascii="Arial"/>
          <w:sz w:val="24"/>
        </w:rPr>
        <w:t>Century.</w:t>
      </w:r>
      <w:r>
        <w:rPr>
          <w:rFonts w:ascii="Arial"/>
          <w:spacing w:val="3"/>
          <w:sz w:val="24"/>
        </w:rPr>
        <w:t xml:space="preserve"> </w:t>
      </w:r>
      <w:hyperlink r:id="rId6">
        <w:r>
          <w:rPr>
            <w:rFonts w:ascii="Arial"/>
            <w:color w:val="0000FF"/>
            <w:sz w:val="24"/>
            <w:u w:val="single" w:color="0000FF"/>
          </w:rPr>
          <w:t>www.marquette.edu/physical-</w:t>
        </w:r>
      </w:hyperlink>
      <w:r>
        <w:rPr>
          <w:rFonts w:ascii="Arial"/>
          <w:color w:val="0000FF"/>
          <w:sz w:val="24"/>
        </w:rPr>
        <w:t xml:space="preserve"> </w:t>
      </w:r>
      <w:hyperlink r:id="rId7">
        <w:r>
          <w:rPr>
            <w:rFonts w:ascii="Arial"/>
            <w:color w:val="0000FF"/>
            <w:spacing w:val="-1"/>
            <w:sz w:val="24"/>
            <w:u w:val="single" w:color="0000FF"/>
          </w:rPr>
          <w:t>therapy/documents/ProfessionalBehavi</w:t>
        </w:r>
        <w:r>
          <w:rPr>
            <w:rFonts w:ascii="Arial"/>
            <w:color w:val="0000FF"/>
            <w:spacing w:val="-1"/>
            <w:sz w:val="24"/>
            <w:u w:val="single" w:color="0000FF"/>
          </w:rPr>
          <w:t>ors.pdf</w:t>
        </w:r>
        <w:r>
          <w:rPr>
            <w:rFonts w:ascii="Calibri"/>
            <w:spacing w:val="-1"/>
          </w:rPr>
          <w:t>.</w:t>
        </w:r>
      </w:hyperlink>
      <w:r>
        <w:rPr>
          <w:rFonts w:ascii="Calibri"/>
          <w:spacing w:val="-1"/>
        </w:rPr>
        <w:tab/>
      </w:r>
      <w:r>
        <w:rPr>
          <w:rFonts w:ascii="Arial"/>
          <w:spacing w:val="-1"/>
          <w:sz w:val="24"/>
        </w:rPr>
        <w:t>Accessed</w:t>
      </w:r>
      <w:r>
        <w:rPr>
          <w:rFonts w:ascii="Arial"/>
          <w:sz w:val="24"/>
        </w:rPr>
        <w:t xml:space="preserve"> July 2,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2015.</w:t>
      </w:r>
    </w:p>
    <w:p w:rsidR="007E5578" w:rsidRDefault="007E5578">
      <w:pPr>
        <w:spacing w:before="3"/>
        <w:rPr>
          <w:rFonts w:ascii="Arial" w:eastAsia="Arial" w:hAnsi="Arial" w:cs="Arial"/>
          <w:sz w:val="17"/>
          <w:szCs w:val="17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spacing w:before="69" w:line="242" w:lineRule="auto"/>
        <w:ind w:right="205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58420</wp:posOffset>
            </wp:positionV>
            <wp:extent cx="5131435" cy="52787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i/>
          <w:sz w:val="24"/>
        </w:rPr>
        <w:t>A Normative Model of Physical Therapist Professional Education: Version</w:t>
      </w:r>
      <w:r>
        <w:rPr>
          <w:rFonts w:ascii="Arial"/>
          <w:i/>
          <w:spacing w:val="-21"/>
          <w:sz w:val="24"/>
        </w:rPr>
        <w:t xml:space="preserve"> </w:t>
      </w:r>
      <w:r>
        <w:rPr>
          <w:rFonts w:ascii="Arial"/>
          <w:i/>
          <w:sz w:val="24"/>
        </w:rPr>
        <w:t>2004</w:t>
      </w:r>
      <w:r>
        <w:rPr>
          <w:rFonts w:ascii="Arial"/>
          <w:sz w:val="24"/>
        </w:rPr>
        <w:t>. Alexandria, VA: American Physical Therapy Association;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2004.</w:t>
      </w:r>
    </w:p>
    <w:p w:rsidR="007E5578" w:rsidRDefault="007E5578">
      <w:pPr>
        <w:spacing w:before="6"/>
        <w:rPr>
          <w:rFonts w:ascii="Arial" w:eastAsia="Arial" w:hAnsi="Arial" w:cs="Arial"/>
          <w:sz w:val="23"/>
          <w:szCs w:val="23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205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 xml:space="preserve">Guide to Physical Therapist Practice 3.0. </w:t>
      </w:r>
      <w:r>
        <w:rPr>
          <w:rFonts w:ascii="Arial"/>
          <w:sz w:val="24"/>
        </w:rPr>
        <w:t>Alexandria, VA: American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Physical</w:t>
      </w:r>
      <w:r>
        <w:rPr>
          <w:rFonts w:ascii="Arial"/>
          <w:sz w:val="24"/>
        </w:rPr>
        <w:t xml:space="preserve"> Therapy Association; 2014. </w:t>
      </w:r>
      <w:hyperlink r:id="rId9">
        <w:r>
          <w:rPr>
            <w:rFonts w:ascii="Arial"/>
            <w:color w:val="0000FF"/>
            <w:sz w:val="24"/>
            <w:u w:val="single" w:color="0000FF"/>
          </w:rPr>
          <w:t>http://guidetoptpractice.apta.org/</w:t>
        </w:r>
      </w:hyperlink>
      <w:r>
        <w:rPr>
          <w:rFonts w:ascii="Arial"/>
          <w:sz w:val="24"/>
        </w:rPr>
        <w:t>. Accessed July</w:t>
      </w:r>
      <w:r>
        <w:rPr>
          <w:rFonts w:ascii="Arial"/>
          <w:spacing w:val="-24"/>
          <w:sz w:val="24"/>
        </w:rPr>
        <w:t xml:space="preserve"> </w:t>
      </w:r>
      <w:r>
        <w:rPr>
          <w:rFonts w:ascii="Arial"/>
          <w:sz w:val="24"/>
        </w:rPr>
        <w:t>2, 2015.</w:t>
      </w:r>
    </w:p>
    <w:p w:rsidR="007E5578" w:rsidRDefault="007E5578">
      <w:pPr>
        <w:spacing w:before="9"/>
        <w:rPr>
          <w:rFonts w:ascii="Arial" w:eastAsia="Arial" w:hAnsi="Arial" w:cs="Arial"/>
          <w:sz w:val="23"/>
          <w:szCs w:val="23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ind w:right="62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CAPTE Standards and Required Elements for Accreditation of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Physical Therapist Education Programs,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 xml:space="preserve">2016. </w:t>
      </w:r>
      <w:hyperlink r:id="rId10">
        <w:r>
          <w:rPr>
            <w:rFonts w:ascii="Arial"/>
            <w:color w:val="0000FF"/>
            <w:sz w:val="24"/>
            <w:u w:val="single" w:color="0000FF"/>
          </w:rPr>
          <w:t>http://www.capteonline.org/AccreditationHandbook/</w:t>
        </w:r>
      </w:hyperlink>
      <w:r>
        <w:rPr>
          <w:rFonts w:ascii="Arial"/>
          <w:sz w:val="24"/>
        </w:rPr>
        <w:t>. Accessed July 2,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2015.</w:t>
      </w:r>
    </w:p>
    <w:p w:rsidR="007E5578" w:rsidRDefault="007E5578">
      <w:pPr>
        <w:spacing w:before="11"/>
        <w:rPr>
          <w:rFonts w:ascii="Arial" w:eastAsia="Arial" w:hAnsi="Arial" w:cs="Arial"/>
          <w:sz w:val="17"/>
          <w:szCs w:val="17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spacing w:before="69"/>
        <w:ind w:right="20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Neurology Section of American Physical Therapy Association. Neurologic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entry- level curriculum guidelines.</w:t>
      </w:r>
      <w:r>
        <w:rPr>
          <w:rFonts w:ascii="Arial"/>
          <w:spacing w:val="-1"/>
          <w:sz w:val="24"/>
        </w:rPr>
        <w:t xml:space="preserve"> </w:t>
      </w:r>
      <w:hyperlink r:id="rId11">
        <w:r>
          <w:rPr>
            <w:rFonts w:ascii="Arial"/>
            <w:color w:val="0000FF"/>
            <w:sz w:val="24"/>
            <w:u w:val="single" w:color="0000FF"/>
          </w:rPr>
          <w:t>www.neuropt.org/professional-resources/2011-</w:t>
        </w:r>
      </w:hyperlink>
      <w:r>
        <w:rPr>
          <w:rFonts w:ascii="Arial"/>
          <w:color w:val="0000FF"/>
          <w:sz w:val="24"/>
        </w:rPr>
        <w:t xml:space="preserve"> </w:t>
      </w:r>
      <w:hyperlink r:id="rId12">
        <w:r>
          <w:rPr>
            <w:rFonts w:ascii="Arial"/>
            <w:color w:val="0000FF"/>
            <w:sz w:val="24"/>
            <w:u w:val="single" w:color="0000FF"/>
          </w:rPr>
          <w:t xml:space="preserve">neurologic-entry-level-curriculum-guidelines </w:t>
        </w:r>
      </w:hyperlink>
      <w:r>
        <w:rPr>
          <w:rFonts w:ascii="Calibri"/>
        </w:rPr>
        <w:t xml:space="preserve">. </w:t>
      </w:r>
      <w:r>
        <w:rPr>
          <w:rFonts w:ascii="Arial"/>
          <w:sz w:val="24"/>
        </w:rPr>
        <w:t>Accessed July 2,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2015.</w:t>
      </w:r>
    </w:p>
    <w:p w:rsidR="007E5578" w:rsidRDefault="007E5578">
      <w:pPr>
        <w:spacing w:before="4"/>
        <w:rPr>
          <w:rFonts w:ascii="Arial" w:eastAsia="Arial" w:hAnsi="Arial" w:cs="Arial"/>
          <w:sz w:val="16"/>
          <w:szCs w:val="16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spacing w:before="79" w:line="242" w:lineRule="auto"/>
        <w:ind w:right="352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 xml:space="preserve">The Blue MACS: Mastery and Assessment of Clinical Skills. </w:t>
      </w:r>
      <w:r>
        <w:rPr>
          <w:rFonts w:ascii="Arial"/>
          <w:sz w:val="24"/>
        </w:rPr>
        <w:t>6</w:t>
      </w:r>
      <w:r>
        <w:rPr>
          <w:rFonts w:ascii="Arial"/>
          <w:position w:val="8"/>
          <w:sz w:val="16"/>
        </w:rPr>
        <w:t xml:space="preserve">th </w:t>
      </w:r>
      <w:r>
        <w:rPr>
          <w:rFonts w:ascii="Arial"/>
          <w:sz w:val="24"/>
        </w:rPr>
        <w:t>ed. Austin, TX: Texas Consortium for Physical Therapy Education and Research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Foundation; 1998.</w:t>
      </w:r>
    </w:p>
    <w:p w:rsidR="007E5578" w:rsidRDefault="007E5578">
      <w:pPr>
        <w:spacing w:before="6"/>
        <w:rPr>
          <w:rFonts w:ascii="Arial" w:eastAsia="Arial" w:hAnsi="Arial" w:cs="Arial"/>
          <w:sz w:val="23"/>
          <w:szCs w:val="23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ind w:right="3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World Health Organization Website. International Classification of</w:t>
      </w:r>
      <w:r>
        <w:rPr>
          <w:rFonts w:ascii="Arial"/>
          <w:spacing w:val="-20"/>
          <w:sz w:val="24"/>
        </w:rPr>
        <w:t xml:space="preserve"> </w:t>
      </w:r>
      <w:r>
        <w:rPr>
          <w:rFonts w:ascii="Arial"/>
          <w:sz w:val="24"/>
        </w:rPr>
        <w:t xml:space="preserve">Functioning, Disability and Health (ICF). </w:t>
      </w:r>
      <w:hyperlink r:id="rId13">
        <w:r>
          <w:rPr>
            <w:rFonts w:ascii="Arial"/>
            <w:color w:val="0000FF"/>
            <w:sz w:val="24"/>
            <w:u w:val="single" w:color="0000FF"/>
          </w:rPr>
          <w:t>http://www.who.int/classifications/icf/en/</w:t>
        </w:r>
      </w:hyperlink>
      <w:r>
        <w:rPr>
          <w:rFonts w:ascii="Calibri"/>
        </w:rPr>
        <w:t xml:space="preserve">. </w:t>
      </w:r>
      <w:r>
        <w:rPr>
          <w:rFonts w:ascii="Arial"/>
          <w:sz w:val="24"/>
        </w:rPr>
        <w:t>Accessed July 12,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2015.</w:t>
      </w:r>
    </w:p>
    <w:p w:rsidR="007E5578" w:rsidRDefault="007E5578">
      <w:pPr>
        <w:rPr>
          <w:rFonts w:ascii="Arial" w:eastAsia="Arial" w:hAnsi="Arial" w:cs="Arial"/>
          <w:sz w:val="24"/>
          <w:szCs w:val="24"/>
        </w:rPr>
      </w:pPr>
    </w:p>
    <w:p w:rsidR="007E5578" w:rsidRDefault="00AE0E74">
      <w:pPr>
        <w:pStyle w:val="ListParagraph"/>
        <w:numPr>
          <w:ilvl w:val="0"/>
          <w:numId w:val="1"/>
        </w:numPr>
        <w:tabs>
          <w:tab w:val="left" w:pos="821"/>
        </w:tabs>
        <w:ind w:right="838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Agency for Healt</w:t>
      </w:r>
      <w:r>
        <w:rPr>
          <w:rFonts w:ascii="Arial"/>
          <w:sz w:val="24"/>
        </w:rPr>
        <w:t>hcare Research and Quality Website. Glossary of</w:t>
      </w:r>
      <w:r>
        <w:rPr>
          <w:rFonts w:ascii="Arial"/>
          <w:spacing w:val="-26"/>
          <w:sz w:val="24"/>
        </w:rPr>
        <w:t xml:space="preserve"> </w:t>
      </w:r>
      <w:r>
        <w:rPr>
          <w:rFonts w:ascii="Arial"/>
          <w:sz w:val="24"/>
        </w:rPr>
        <w:t xml:space="preserve">Terms. </w:t>
      </w:r>
      <w:hyperlink r:id="rId14">
        <w:r>
          <w:rPr>
            <w:rFonts w:ascii="Arial"/>
            <w:color w:val="0000FF"/>
            <w:sz w:val="24"/>
            <w:u w:val="single" w:color="0000FF"/>
          </w:rPr>
          <w:t>http://effectivehealthcare.ahrq.gov/index.cfm/glossary-of-</w:t>
        </w:r>
      </w:hyperlink>
      <w:r>
        <w:rPr>
          <w:rFonts w:ascii="Arial"/>
          <w:color w:val="0000FF"/>
          <w:sz w:val="24"/>
        </w:rPr>
        <w:t xml:space="preserve"> </w:t>
      </w:r>
      <w:hyperlink r:id="rId15">
        <w:r>
          <w:rPr>
            <w:rFonts w:ascii="Arial"/>
            <w:color w:val="0000FF"/>
            <w:sz w:val="24"/>
            <w:u w:val="single" w:color="0000FF"/>
          </w:rPr>
          <w:t>terms/?pageaction=showterm&amp;termid=24</w:t>
        </w:r>
      </w:hyperlink>
      <w:r>
        <w:rPr>
          <w:rFonts w:ascii="Arial"/>
          <w:sz w:val="24"/>
        </w:rPr>
        <w:t>. Accessed July 13,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2015.</w:t>
      </w: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rPr>
          <w:rFonts w:ascii="Arial" w:eastAsia="Arial" w:hAnsi="Arial" w:cs="Arial"/>
          <w:sz w:val="20"/>
          <w:szCs w:val="20"/>
        </w:rPr>
      </w:pPr>
    </w:p>
    <w:p w:rsidR="007E5578" w:rsidRDefault="007E5578">
      <w:pPr>
        <w:spacing w:before="4"/>
        <w:rPr>
          <w:rFonts w:ascii="Arial" w:eastAsia="Arial" w:hAnsi="Arial" w:cs="Arial"/>
          <w:sz w:val="26"/>
          <w:szCs w:val="26"/>
        </w:rPr>
      </w:pPr>
    </w:p>
    <w:p w:rsidR="007E5578" w:rsidRDefault="00AE0E74">
      <w:pPr>
        <w:tabs>
          <w:tab w:val="right" w:pos="9391"/>
        </w:tabs>
        <w:spacing w:before="77"/>
        <w:ind w:left="304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</w:rPr>
        <w:t xml:space="preserve">© </w:t>
      </w:r>
      <w:r>
        <w:rPr>
          <w:rFonts w:ascii="Arial" w:hAnsi="Arial"/>
          <w:i/>
          <w:sz w:val="18"/>
        </w:rPr>
        <w:t xml:space="preserve">PT MACS </w:t>
      </w:r>
      <w:r>
        <w:rPr>
          <w:rFonts w:ascii="Arial" w:hAnsi="Arial"/>
          <w:sz w:val="18"/>
        </w:rPr>
        <w:t>Edition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</w:t>
      </w:r>
      <w:r>
        <w:rPr>
          <w:rFonts w:ascii="Arial" w:hAnsi="Arial"/>
          <w:sz w:val="18"/>
        </w:rPr>
        <w:tab/>
        <w:t>2</w:t>
      </w:r>
    </w:p>
    <w:sectPr w:rsidR="007E5578">
      <w:type w:val="continuous"/>
      <w:pgSz w:w="12240" w:h="15840"/>
      <w:pgMar w:top="1380" w:right="10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74707"/>
    <w:multiLevelType w:val="hybridMultilevel"/>
    <w:tmpl w:val="461AD2D2"/>
    <w:lvl w:ilvl="0" w:tplc="6AE433A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w w:val="100"/>
        <w:sz w:val="24"/>
        <w:szCs w:val="24"/>
      </w:rPr>
    </w:lvl>
    <w:lvl w:ilvl="1" w:tplc="45EE15C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BDEED07C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CD5A6BB8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FA6E0D46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A394152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15C46070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35C8A862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314EC302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78"/>
    <w:rsid w:val="007E5578"/>
    <w:rsid w:val="00A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uropt.org/professional-resources/2011-neurologic-entry-level-curriculum-guidelines" TargetMode="External"/><Relationship Id="rId12" Type="http://schemas.openxmlformats.org/officeDocument/2006/relationships/hyperlink" Target="http://www.neuropt.org/professional-resources/2011-neurologic-entry-level-curriculum-guidelines" TargetMode="External"/><Relationship Id="rId13" Type="http://schemas.openxmlformats.org/officeDocument/2006/relationships/hyperlink" Target="http://www.who.int/classifications/icf/en/" TargetMode="External"/><Relationship Id="rId14" Type="http://schemas.openxmlformats.org/officeDocument/2006/relationships/hyperlink" Target="http://effectivehealthcare.ahrq.gov/index.cfm/glossary-of-terms/?pageaction=showterm&amp;amp;termid=24" TargetMode="External"/><Relationship Id="rId15" Type="http://schemas.openxmlformats.org/officeDocument/2006/relationships/hyperlink" Target="http://effectivehealthcare.ahrq.gov/index.cfm/glossary-of-terms/?pageaction=showterm&amp;amp;termid=24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rquette.edu/physical-therapy/documents/ProfessionalBehaviors.pdf" TargetMode="External"/><Relationship Id="rId7" Type="http://schemas.openxmlformats.org/officeDocument/2006/relationships/hyperlink" Target="http://www.marquette.edu/physical-therapy/documents/ProfessionalBehaviors.pd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guidetoptpractice.apta.org/" TargetMode="External"/><Relationship Id="rId10" Type="http://schemas.openxmlformats.org/officeDocument/2006/relationships/hyperlink" Target="http://www.capteonline.org/Accreditation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Macintosh Word</Application>
  <DocSecurity>0</DocSecurity>
  <Lines>17</Lines>
  <Paragraphs>4</Paragraphs>
  <ScaleCrop>false</ScaleCrop>
  <Company>ASU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Dillon, Loretta</dc:creator>
  <cp:lastModifiedBy>William J. Wolfe</cp:lastModifiedBy>
  <cp:revision>2</cp:revision>
  <dcterms:created xsi:type="dcterms:W3CDTF">2016-08-20T17:41:00Z</dcterms:created>
  <dcterms:modified xsi:type="dcterms:W3CDTF">2016-08-20T17:41:00Z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2016-07-01T00:00:00Z</vt:filetime>
  </property>
  <property fmtid="{D5CDD505-2E9C-101B-9397-08002B2CF9AE}" pid="5" name="_AdHocReviewCycleID">
    <vt:i4>-1273721559</vt:i4>
  </property>
  <property fmtid="{D5CDD505-2E9C-101B-9397-08002B2CF9AE}" pid="6" name="_NewReviewCycle">
    <vt:lpwstr/>
  </property>
  <property fmtid="{D5CDD505-2E9C-101B-9397-08002B2CF9AE}" pid="7" name="_EmailSubject">
    <vt:lpwstr>Texas Consortium</vt:lpwstr>
  </property>
  <property fmtid="{D5CDD505-2E9C-101B-9397-08002B2CF9AE}" pid="8" name="_AuthorEmail">
    <vt:lpwstr>james.villers@angelo.edu</vt:lpwstr>
  </property>
  <property fmtid="{D5CDD505-2E9C-101B-9397-08002B2CF9AE}" pid="9" name="_AuthorEmailDisplayName">
    <vt:lpwstr>James F. Villers</vt:lpwstr>
  </property>
</Properties>
</file>