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57A763" w14:textId="041B23EB" w:rsidR="007A7DBF" w:rsidRPr="007A7DBF" w:rsidRDefault="007A7DBF" w:rsidP="008770FC">
      <w:pPr>
        <w:spacing w:after="0"/>
        <w:rPr>
          <w:rFonts w:ascii="Times New Roman" w:eastAsia="Times New Roman" w:hAnsi="Times New Roman" w:cs="Times New Roman"/>
          <w:b/>
          <w:bCs/>
          <w:sz w:val="24"/>
          <w:szCs w:val="24"/>
        </w:rPr>
      </w:pPr>
      <w:r w:rsidRPr="007A7DBF">
        <w:rPr>
          <w:rFonts w:ascii="Times New Roman" w:eastAsia="Times New Roman" w:hAnsi="Times New Roman" w:cs="Times New Roman"/>
          <w:b/>
          <w:bCs/>
          <w:sz w:val="24"/>
          <w:szCs w:val="24"/>
        </w:rPr>
        <w:t>From Public Perception to Passenger Experience: A Multi-Source Framework for Mapping Trust and Safety in Automated Mobility</w:t>
      </w:r>
    </w:p>
    <w:p w14:paraId="7EBB7D6B" w14:textId="77777777" w:rsidR="008770FC" w:rsidRDefault="008770FC" w:rsidP="008770FC">
      <w:pPr>
        <w:spacing w:after="0"/>
        <w:rPr>
          <w:rFonts w:ascii="Times New Roman" w:eastAsia="Times New Roman" w:hAnsi="Times New Roman" w:cs="Times New Roman"/>
          <w:b/>
          <w:bCs/>
          <w:sz w:val="24"/>
          <w:szCs w:val="24"/>
        </w:rPr>
      </w:pPr>
    </w:p>
    <w:p w14:paraId="2EBD3A36" w14:textId="1B3C98B8" w:rsidR="007A7DBF" w:rsidRPr="007A7DBF" w:rsidRDefault="007A7DBF" w:rsidP="008770FC">
      <w:pPr>
        <w:spacing w:after="0"/>
        <w:rPr>
          <w:rFonts w:ascii="Times New Roman" w:eastAsia="Times New Roman" w:hAnsi="Times New Roman" w:cs="Times New Roman"/>
          <w:b/>
          <w:bCs/>
          <w:sz w:val="24"/>
          <w:szCs w:val="24"/>
        </w:rPr>
      </w:pPr>
      <w:r w:rsidRPr="007A7DBF">
        <w:rPr>
          <w:rFonts w:ascii="Times New Roman" w:eastAsia="Times New Roman" w:hAnsi="Times New Roman" w:cs="Times New Roman"/>
          <w:b/>
          <w:bCs/>
          <w:sz w:val="24"/>
          <w:szCs w:val="24"/>
        </w:rPr>
        <w:t>AUTHORS</w:t>
      </w:r>
    </w:p>
    <w:p w14:paraId="2C6EFAC4" w14:textId="77777777" w:rsidR="007A7DBF" w:rsidRPr="007A7DBF" w:rsidRDefault="007A7DBF" w:rsidP="008770FC">
      <w:pPr>
        <w:spacing w:after="0"/>
        <w:rPr>
          <w:rFonts w:ascii="Times New Roman" w:hAnsi="Times New Roman" w:cs="Times New Roman"/>
          <w:b/>
          <w:sz w:val="24"/>
          <w:szCs w:val="24"/>
        </w:rPr>
      </w:pPr>
      <w:r w:rsidRPr="007A7DBF">
        <w:rPr>
          <w:rFonts w:ascii="Times New Roman" w:hAnsi="Times New Roman" w:cs="Times New Roman"/>
          <w:b/>
          <w:sz w:val="24"/>
          <w:szCs w:val="24"/>
        </w:rPr>
        <w:t xml:space="preserve">William Riggs* </w:t>
      </w:r>
    </w:p>
    <w:p w14:paraId="3897002E" w14:textId="77777777" w:rsidR="007A7DBF" w:rsidRPr="007A7DBF" w:rsidRDefault="007A7DBF" w:rsidP="008770FC">
      <w:pPr>
        <w:spacing w:after="0"/>
        <w:rPr>
          <w:rFonts w:ascii="Times New Roman" w:hAnsi="Times New Roman" w:cs="Times New Roman"/>
          <w:sz w:val="24"/>
          <w:szCs w:val="24"/>
        </w:rPr>
      </w:pPr>
      <w:r w:rsidRPr="007A7DBF">
        <w:rPr>
          <w:rFonts w:ascii="Times New Roman" w:hAnsi="Times New Roman" w:cs="Times New Roman"/>
          <w:sz w:val="24"/>
          <w:szCs w:val="24"/>
        </w:rPr>
        <w:t>Department of Engineering, Entrepreneurship &amp; Innovation, and Public Administration</w:t>
      </w:r>
    </w:p>
    <w:p w14:paraId="13EEA96C" w14:textId="77777777" w:rsidR="007A7DBF" w:rsidRPr="007A7DBF" w:rsidRDefault="007A7DBF" w:rsidP="008770FC">
      <w:pPr>
        <w:spacing w:after="0"/>
        <w:rPr>
          <w:rFonts w:ascii="Times New Roman" w:hAnsi="Times New Roman" w:cs="Times New Roman"/>
          <w:sz w:val="24"/>
          <w:szCs w:val="24"/>
        </w:rPr>
      </w:pPr>
      <w:r w:rsidRPr="007A7DBF">
        <w:rPr>
          <w:rFonts w:ascii="Times New Roman" w:hAnsi="Times New Roman" w:cs="Times New Roman"/>
          <w:sz w:val="24"/>
          <w:szCs w:val="24"/>
        </w:rPr>
        <w:t>University of San Francisco, San Francisco, CA, 94117</w:t>
      </w:r>
    </w:p>
    <w:p w14:paraId="45E65D5D" w14:textId="77777777" w:rsidR="007A7DBF" w:rsidRPr="007A7DBF" w:rsidRDefault="007A7DBF" w:rsidP="008770FC">
      <w:pPr>
        <w:spacing w:after="0"/>
        <w:rPr>
          <w:rFonts w:ascii="Times New Roman" w:hAnsi="Times New Roman" w:cs="Times New Roman"/>
          <w:sz w:val="24"/>
          <w:szCs w:val="24"/>
        </w:rPr>
      </w:pPr>
      <w:r w:rsidRPr="007A7DBF">
        <w:rPr>
          <w:rFonts w:ascii="Times New Roman" w:hAnsi="Times New Roman" w:cs="Times New Roman"/>
          <w:sz w:val="24"/>
          <w:szCs w:val="24"/>
        </w:rPr>
        <w:t xml:space="preserve">ORCID: https://orcid.org/0000-0001-8562-5998 </w:t>
      </w:r>
    </w:p>
    <w:p w14:paraId="31989D6A" w14:textId="16063BDF" w:rsidR="007A7DBF" w:rsidRDefault="007A7DBF" w:rsidP="008770FC">
      <w:pPr>
        <w:spacing w:after="0"/>
        <w:rPr>
          <w:rFonts w:ascii="Times New Roman" w:hAnsi="Times New Roman" w:cs="Times New Roman"/>
          <w:sz w:val="24"/>
          <w:szCs w:val="24"/>
        </w:rPr>
      </w:pPr>
      <w:r w:rsidRPr="007A7DBF">
        <w:rPr>
          <w:rFonts w:ascii="Times New Roman" w:hAnsi="Times New Roman" w:cs="Times New Roman"/>
          <w:sz w:val="24"/>
          <w:szCs w:val="24"/>
        </w:rPr>
        <w:t xml:space="preserve">Email: </w:t>
      </w:r>
      <w:hyperlink r:id="rId8" w:history="1">
        <w:r w:rsidRPr="00E23059">
          <w:rPr>
            <w:rStyle w:val="Hyperlink"/>
            <w:rFonts w:ascii="Times New Roman" w:hAnsi="Times New Roman" w:cs="Times New Roman"/>
            <w:sz w:val="24"/>
            <w:szCs w:val="24"/>
          </w:rPr>
          <w:t>wriggs@usfca.edu</w:t>
        </w:r>
      </w:hyperlink>
    </w:p>
    <w:p w14:paraId="5F545580" w14:textId="77777777" w:rsidR="007A7DBF" w:rsidRDefault="007A7DBF" w:rsidP="008770FC">
      <w:pPr>
        <w:spacing w:after="0"/>
        <w:rPr>
          <w:rFonts w:ascii="Times New Roman" w:hAnsi="Times New Roman" w:cs="Times New Roman"/>
          <w:sz w:val="24"/>
          <w:szCs w:val="24"/>
        </w:rPr>
      </w:pPr>
    </w:p>
    <w:p w14:paraId="688D6099" w14:textId="651F1906" w:rsidR="007A7DBF" w:rsidRPr="007A7DBF" w:rsidRDefault="007A7DBF" w:rsidP="008770FC">
      <w:pPr>
        <w:spacing w:after="0"/>
        <w:rPr>
          <w:rFonts w:ascii="Times New Roman" w:hAnsi="Times New Roman" w:cs="Times New Roman"/>
          <w:b/>
          <w:bCs/>
          <w:sz w:val="24"/>
          <w:szCs w:val="24"/>
        </w:rPr>
      </w:pPr>
      <w:r w:rsidRPr="007A7DBF">
        <w:rPr>
          <w:rFonts w:ascii="Times New Roman" w:hAnsi="Times New Roman" w:cs="Times New Roman"/>
          <w:b/>
          <w:bCs/>
          <w:sz w:val="24"/>
          <w:szCs w:val="24"/>
        </w:rPr>
        <w:t>Cayden Rooney</w:t>
      </w:r>
    </w:p>
    <w:p w14:paraId="6622E0B2" w14:textId="7F1E97A0" w:rsidR="007A7DBF" w:rsidRPr="007A7DBF" w:rsidRDefault="007A7DBF" w:rsidP="008770FC">
      <w:pPr>
        <w:spacing w:after="0"/>
        <w:rPr>
          <w:rFonts w:ascii="Times New Roman" w:hAnsi="Times New Roman" w:cs="Times New Roman"/>
          <w:sz w:val="24"/>
          <w:szCs w:val="24"/>
        </w:rPr>
      </w:pPr>
      <w:r w:rsidRPr="007A7DBF">
        <w:rPr>
          <w:rFonts w:ascii="Times New Roman" w:hAnsi="Times New Roman" w:cs="Times New Roman"/>
          <w:sz w:val="24"/>
          <w:szCs w:val="24"/>
        </w:rPr>
        <w:t xml:space="preserve">Department of </w:t>
      </w:r>
      <w:r>
        <w:rPr>
          <w:rFonts w:ascii="Times New Roman" w:hAnsi="Times New Roman" w:cs="Times New Roman"/>
          <w:sz w:val="24"/>
          <w:szCs w:val="24"/>
        </w:rPr>
        <w:t xml:space="preserve">Business Analytics </w:t>
      </w:r>
    </w:p>
    <w:p w14:paraId="63130764" w14:textId="77777777" w:rsidR="007A7DBF" w:rsidRPr="007A7DBF" w:rsidRDefault="007A7DBF" w:rsidP="008770FC">
      <w:pPr>
        <w:spacing w:after="0"/>
        <w:rPr>
          <w:rFonts w:ascii="Times New Roman" w:hAnsi="Times New Roman" w:cs="Times New Roman"/>
          <w:sz w:val="24"/>
          <w:szCs w:val="24"/>
        </w:rPr>
      </w:pPr>
      <w:r w:rsidRPr="007A7DBF">
        <w:rPr>
          <w:rFonts w:ascii="Times New Roman" w:hAnsi="Times New Roman" w:cs="Times New Roman"/>
          <w:sz w:val="24"/>
          <w:szCs w:val="24"/>
        </w:rPr>
        <w:t>University of San Francisco, San Francisco, CA, 94117</w:t>
      </w:r>
    </w:p>
    <w:p w14:paraId="26F26A91" w14:textId="6530AA0A" w:rsidR="007A7DBF" w:rsidRDefault="007A7DBF" w:rsidP="008770FC">
      <w:pPr>
        <w:spacing w:after="0"/>
        <w:rPr>
          <w:rFonts w:ascii="Times New Roman" w:hAnsi="Times New Roman" w:cs="Times New Roman"/>
          <w:sz w:val="24"/>
          <w:szCs w:val="24"/>
        </w:rPr>
      </w:pPr>
      <w:r w:rsidRPr="007A7DBF">
        <w:rPr>
          <w:rFonts w:ascii="Times New Roman" w:hAnsi="Times New Roman" w:cs="Times New Roman"/>
          <w:sz w:val="24"/>
          <w:szCs w:val="24"/>
        </w:rPr>
        <w:t xml:space="preserve">Email: </w:t>
      </w:r>
      <w:hyperlink r:id="rId9" w:history="1">
        <w:r w:rsidRPr="00E23059">
          <w:rPr>
            <w:rStyle w:val="Hyperlink"/>
            <w:rFonts w:ascii="Times New Roman" w:hAnsi="Times New Roman" w:cs="Times New Roman"/>
            <w:sz w:val="24"/>
            <w:szCs w:val="24"/>
          </w:rPr>
          <w:t>cprooney@usfca.edu</w:t>
        </w:r>
      </w:hyperlink>
      <w:r>
        <w:rPr>
          <w:rFonts w:ascii="Times New Roman" w:hAnsi="Times New Roman" w:cs="Times New Roman"/>
          <w:sz w:val="24"/>
          <w:szCs w:val="24"/>
        </w:rPr>
        <w:t xml:space="preserve"> </w:t>
      </w:r>
    </w:p>
    <w:p w14:paraId="46DBC32C" w14:textId="77777777" w:rsidR="007A7DBF" w:rsidRPr="007A7DBF" w:rsidRDefault="007A7DBF" w:rsidP="008770FC">
      <w:pPr>
        <w:spacing w:after="0"/>
        <w:rPr>
          <w:rFonts w:ascii="Times New Roman" w:hAnsi="Times New Roman" w:cs="Times New Roman"/>
          <w:sz w:val="24"/>
          <w:szCs w:val="24"/>
        </w:rPr>
      </w:pPr>
    </w:p>
    <w:p w14:paraId="77DB5CC0" w14:textId="750FE606" w:rsidR="007A7DBF" w:rsidRPr="007A7DBF" w:rsidRDefault="007A7DBF"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Total Number of Pages: 20</w:t>
      </w:r>
    </w:p>
    <w:p w14:paraId="358235ED" w14:textId="77777777" w:rsidR="007A7DBF" w:rsidRDefault="007A7DBF" w:rsidP="008770FC">
      <w:pPr>
        <w:spacing w:after="0"/>
        <w:rPr>
          <w:rFonts w:ascii="Times New Roman" w:hAnsi="Times New Roman" w:cs="Times New Roman"/>
          <w:i/>
          <w:color w:val="000000" w:themeColor="text1"/>
          <w:sz w:val="24"/>
          <w:szCs w:val="24"/>
        </w:rPr>
      </w:pPr>
    </w:p>
    <w:p w14:paraId="7A783FAD" w14:textId="77777777" w:rsidR="0049380B" w:rsidRPr="007A7DBF" w:rsidRDefault="0049380B" w:rsidP="008770FC">
      <w:pPr>
        <w:spacing w:after="0"/>
        <w:rPr>
          <w:rFonts w:ascii="Times New Roman" w:hAnsi="Times New Roman" w:cs="Times New Roman"/>
          <w:i/>
          <w:color w:val="000000" w:themeColor="text1"/>
          <w:sz w:val="24"/>
          <w:szCs w:val="24"/>
        </w:rPr>
      </w:pPr>
    </w:p>
    <w:p w14:paraId="5F5B8875" w14:textId="6A82F00F" w:rsidR="007A7DBF" w:rsidRPr="007A7DBF" w:rsidRDefault="007A7DBF" w:rsidP="008770FC">
      <w:pPr>
        <w:spacing w:after="0"/>
        <w:rPr>
          <w:rFonts w:ascii="Times New Roman" w:hAnsi="Times New Roman" w:cs="Times New Roman"/>
          <w:i/>
          <w:color w:val="000000"/>
          <w:sz w:val="24"/>
          <w:szCs w:val="24"/>
        </w:rPr>
      </w:pPr>
      <w:r w:rsidRPr="007A7DBF">
        <w:rPr>
          <w:rFonts w:ascii="Times New Roman" w:hAnsi="Times New Roman" w:cs="Times New Roman"/>
          <w:i/>
          <w:color w:val="000000"/>
          <w:sz w:val="24"/>
          <w:szCs w:val="24"/>
        </w:rPr>
        <w:t>Submitted August 1, 2026</w:t>
      </w:r>
    </w:p>
    <w:p w14:paraId="558ED5A8" w14:textId="77777777" w:rsidR="007A7DBF" w:rsidRPr="007A7DBF" w:rsidRDefault="007A7DBF" w:rsidP="008770FC">
      <w:pPr>
        <w:spacing w:after="0"/>
        <w:rPr>
          <w:rFonts w:ascii="Times New Roman" w:hAnsi="Times New Roman" w:cs="Times New Roman"/>
          <w:iCs/>
          <w:color w:val="000000"/>
          <w:sz w:val="24"/>
          <w:szCs w:val="24"/>
        </w:rPr>
      </w:pPr>
      <w:r w:rsidRPr="007A7DBF">
        <w:rPr>
          <w:rFonts w:ascii="Times New Roman" w:hAnsi="Times New Roman" w:cs="Times New Roman"/>
          <w:iCs/>
          <w:color w:val="000000"/>
          <w:sz w:val="24"/>
          <w:szCs w:val="24"/>
        </w:rPr>
        <w:t>*Corresponding Author</w:t>
      </w:r>
    </w:p>
    <w:p w14:paraId="52370F6D" w14:textId="77777777" w:rsidR="007A7DBF" w:rsidRDefault="007A7DBF" w:rsidP="008770FC">
      <w:pPr>
        <w:pStyle w:val="Heading1"/>
        <w:spacing w:before="0"/>
        <w:rPr>
          <w:rFonts w:ascii="Times New Roman" w:hAnsi="Times New Roman" w:cs="Times New Roman"/>
          <w:color w:val="000000" w:themeColor="text1"/>
          <w:szCs w:val="24"/>
        </w:rPr>
      </w:pPr>
    </w:p>
    <w:p w14:paraId="3D4713F7" w14:textId="77777777" w:rsidR="007A7DBF" w:rsidRDefault="007A7DBF" w:rsidP="008770FC">
      <w:pPr>
        <w:spacing w:after="0"/>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Cs w:val="24"/>
        </w:rPr>
        <w:br w:type="page"/>
      </w:r>
    </w:p>
    <w:p w14:paraId="7E757960" w14:textId="51E79B8B" w:rsidR="00A545C7" w:rsidRPr="007A7DBF" w:rsidRDefault="00000000" w:rsidP="008770FC">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lastRenderedPageBreak/>
        <w:t>ABSTRACT</w:t>
      </w:r>
    </w:p>
    <w:p w14:paraId="38A6BB8A" w14:textId="6EEB8B4E" w:rsidR="00667596" w:rsidRDefault="00667596" w:rsidP="00667596">
      <w:pPr>
        <w:pStyle w:val="p1"/>
      </w:pPr>
      <w:r>
        <w:rPr>
          <w:b/>
          <w:bCs/>
        </w:rPr>
        <w:t xml:space="preserve">Objectives: </w:t>
      </w:r>
      <w:r>
        <w:t>This study examines how cities should govern and design curb space as autonomous vehicle pick-up and drop-off activity expands. It asks whether the future curb should be divided into increasingly specialized zones or managed as an adaptive operating system capable of accommodating overlapping, time-sensitive, and sometimes irregular urban activity.</w:t>
      </w:r>
    </w:p>
    <w:p w14:paraId="6F7574A6" w14:textId="4F276E89" w:rsidR="00667596" w:rsidRDefault="00667596" w:rsidP="00667596">
      <w:pPr>
        <w:pStyle w:val="p1"/>
        <w:rPr>
          <w:rStyle w:val="apple-converted-space"/>
        </w:rPr>
      </w:pPr>
      <w:r>
        <w:rPr>
          <w:b/>
          <w:bCs/>
        </w:rPr>
        <w:t xml:space="preserve">Methods: </w:t>
      </w:r>
      <w:r>
        <w:t>A sequential mixed-methods framework combines: (1) semi-structured interviews with 20 transportation experts, public officials, mobility providers, planners, and data specialists; (2) spatial and temporal analysis of 4,080 synthetic passenger pick-up and drop-off events calibrated to patterns derived from real-world activity in Hayes Valley, San Francisco; and (3) an evidence-based urban design synthesis. Generalized curb polygons were used as analytical units to identify concentration and behavioral sorting, not as proposed permanent operating zones.</w:t>
      </w:r>
    </w:p>
    <w:p w14:paraId="5824F8D7" w14:textId="41624FFD" w:rsidR="00667596" w:rsidRDefault="00667596" w:rsidP="00667596">
      <w:pPr>
        <w:pStyle w:val="p1"/>
        <w:rPr>
          <w:rStyle w:val="apple-converted-space"/>
        </w:rPr>
      </w:pPr>
      <w:r>
        <w:rPr>
          <w:b/>
          <w:bCs/>
        </w:rPr>
        <w:t xml:space="preserve">Findings: </w:t>
      </w:r>
      <w:r>
        <w:t>Interviewees identified static allocation, weak enforcement, fragmented governance, political resistance, and overreliance on data as principal barriers to effective curb management. The synthetic analysis showed pronounced spatial and temporal sorting: 76.7% of events occurred within two central analytical polygons, while activity intensified during evening and weekend periods. These findings support targeted, time-variable management rather than uniform corridor-wide redesign or permanently dedicated AV infrastructure.</w:t>
      </w:r>
    </w:p>
    <w:p w14:paraId="3684F470" w14:textId="5EC7EFAC" w:rsidR="00667596" w:rsidRDefault="00667596" w:rsidP="00667596">
      <w:pPr>
        <w:pStyle w:val="p1"/>
        <w:rPr>
          <w:rStyle w:val="apple-converted-space"/>
        </w:rPr>
      </w:pPr>
      <w:r>
        <w:rPr>
          <w:b/>
          <w:bCs/>
        </w:rPr>
        <w:t xml:space="preserve">Novelty: </w:t>
      </w:r>
      <w:r>
        <w:t>The study integrates governance research, privacy-preserving synthetic operational analysis, and urban design within a single framework. It reframes the autonomous curb as an operating system that coordinates competing demands, distinguishes harmful conflict from productive complexity, and combines durable public protections with flexible, nonexclusive access.</w:t>
      </w:r>
    </w:p>
    <w:p w14:paraId="59708924" w14:textId="77777777" w:rsidR="00667596" w:rsidRDefault="00667596" w:rsidP="00667596">
      <w:pPr>
        <w:pStyle w:val="p1"/>
      </w:pPr>
      <w:r>
        <w:rPr>
          <w:b/>
          <w:bCs/>
        </w:rPr>
        <w:t>Practical Applications:</w:t>
      </w:r>
      <w:r>
        <w:br/>
        <w:t>Transportation agencies can use corridor-level demand analysis, primary and overflow loading areas, dynamic operating rules, digital regulation, protected transit and accessibility functions, and flexible physical design to manage passenger loading without dedicating continuous curb space to a single operator or mode.</w:t>
      </w:r>
    </w:p>
    <w:p w14:paraId="3C2A83D4" w14:textId="77777777" w:rsidR="0049380B" w:rsidRDefault="0049380B" w:rsidP="008770FC">
      <w:pPr>
        <w:spacing w:after="0"/>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Cs w:val="24"/>
        </w:rPr>
        <w:br w:type="page"/>
      </w:r>
    </w:p>
    <w:p w14:paraId="22A0B104" w14:textId="3B801821" w:rsidR="00A545C7" w:rsidRPr="007A7DBF" w:rsidRDefault="00000000" w:rsidP="008770FC">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lastRenderedPageBreak/>
        <w:t>INTRODUCTION</w:t>
      </w:r>
    </w:p>
    <w:p w14:paraId="63ABDAD1" w14:textId="25372388" w:rsidR="0049380B" w:rsidRDefault="00000000" w:rsidP="003C556F">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Autonomous </w:t>
      </w:r>
      <w:proofErr w:type="spellStart"/>
      <w:r w:rsidRPr="007A7DBF">
        <w:rPr>
          <w:rFonts w:ascii="Times New Roman" w:hAnsi="Times New Roman" w:cs="Times New Roman"/>
          <w:color w:val="000000" w:themeColor="text1"/>
          <w:sz w:val="24"/>
          <w:szCs w:val="24"/>
        </w:rPr>
        <w:t>ridehail</w:t>
      </w:r>
      <w:proofErr w:type="spellEnd"/>
      <w:r w:rsidRPr="007A7DBF">
        <w:rPr>
          <w:rFonts w:ascii="Times New Roman" w:hAnsi="Times New Roman" w:cs="Times New Roman"/>
          <w:color w:val="000000" w:themeColor="text1"/>
          <w:sz w:val="24"/>
          <w:szCs w:val="24"/>
        </w:rPr>
        <w:t xml:space="preserve"> has moved from demonstration to visible urban service. In San Francisco and other early markets, driverless vehicles now operate in mixed traffic, pick up passengers at ordinary curbs, interact with transit and emergency services, and become part of the everyday transportation landscape. This transition has intensified a familiar question: are autonomous vehicles safe? The answer is usually sought in technical measures—crashes per mile, injury claims, police-reported incidents, disengagements, collision-avoidance testing, and comparisons with human driving benchmarks. Those measures are indispensable. They are also incomplete.</w:t>
      </w:r>
    </w:p>
    <w:p w14:paraId="4D808A77" w14:textId="0CD5084B"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Safety is experienced as well as measured. A rider may judge a trip to be safe because the vehicle is predictable, avoids aggressive behavior, provides a reliable option after transit service has declined, and eliminates uncertainty about an unfamiliar driver. The same rider may become uncomfortable when the vehicle stops abruptly, chooses a circuitous route, hesitates in an intersection, drops them farther from the destination than expected, or fails to make clear whether a support agent is listening. These are not necessarily crash events. They are nevertheless consequential because they shape trust, adoption, and the legitimacy of automated mobility as an urban service.</w:t>
      </w:r>
    </w:p>
    <w:p w14:paraId="574CCC0C" w14:textId="77777777"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This distinction also matters for public debate. Highly visible incidents can dominate attention even when they represent a small share of system activity, while routine successful rides are rarely newsworthy. At the same time, company safety reports and aggregate mileage statistics may overlook the operational frictions riders encounter during booking, pickup, routing, support, and drop-off. Public narratives, rider surveys, and spatially referenced service data can help fill that gap, but they introduce their own problems of sampling, bias, privacy, and interpretation.</w:t>
      </w:r>
    </w:p>
    <w:p w14:paraId="383CD9E0" w14:textId="77777777"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This paper develops a practical framework for bringing these forms of evidence together. It begins with the premise that no single data source is sufficient. Publicly available narratives can identify emerging issues quickly, but they are not representative. Structured surveys can compare riders and non-riders, but they are costly and often limited in size. Qualitative comments provide depth, but they require transparent coding and careful denominators. Geospatial data reveal where experiences occur, but location can be sensitive and does not itself explain causation. The value of the framework lies in triangulation rather than in collapsing unlike sources into a single score.</w:t>
      </w:r>
    </w:p>
    <w:p w14:paraId="117F4756" w14:textId="77777777"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research asks three questions. First, what dimensions of safety and trust become visible when actual rider experiences are analyzed alongside structured responses from non-riders? Second, can a modest set of public narratives identify operational concerns that also appear in rider data? Third, how can Python, rule-based classification, and geospatial visualization support a reproducible monitoring workflow without overstating what digital traces can prove?</w:t>
      </w:r>
    </w:p>
    <w:p w14:paraId="5AE0635D" w14:textId="77777777"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The paper makes three contributions. It provides a transparent multi-source workflow for ingesting, classifying, mapping, and comparing rider-safety evidence. It uses direct experience from an early </w:t>
      </w:r>
      <w:proofErr w:type="gramStart"/>
      <w:r w:rsidRPr="007A7DBF">
        <w:rPr>
          <w:rFonts w:ascii="Times New Roman" w:hAnsi="Times New Roman" w:cs="Times New Roman"/>
          <w:color w:val="000000" w:themeColor="text1"/>
          <w:sz w:val="24"/>
          <w:szCs w:val="24"/>
        </w:rPr>
        <w:t>Level-4</w:t>
      </w:r>
      <w:proofErr w:type="gramEnd"/>
      <w:r w:rsidRPr="007A7DBF">
        <w:rPr>
          <w:rFonts w:ascii="Times New Roman" w:hAnsi="Times New Roman" w:cs="Times New Roman"/>
          <w:color w:val="000000" w:themeColor="text1"/>
          <w:sz w:val="24"/>
          <w:szCs w:val="24"/>
        </w:rPr>
        <w:t xml:space="preserve"> Cruise research rider program as an empirical anchor for evaluating public-facing narratives. Finally, it reframes AV safety as a socio-technical service outcome shaped by vehicle behavior, support systems, curb access, operating geography, price, and user expectations—not only by collision performance.</w:t>
      </w:r>
    </w:p>
    <w:p w14:paraId="18EE45CE" w14:textId="77777777" w:rsidR="008770FC" w:rsidRDefault="008770FC" w:rsidP="008770FC">
      <w:pPr>
        <w:pStyle w:val="Heading1"/>
        <w:spacing w:before="0"/>
        <w:rPr>
          <w:rFonts w:ascii="Times New Roman" w:hAnsi="Times New Roman" w:cs="Times New Roman"/>
          <w:color w:val="000000" w:themeColor="text1"/>
          <w:szCs w:val="24"/>
        </w:rPr>
      </w:pPr>
    </w:p>
    <w:p w14:paraId="286872CE" w14:textId="77777777" w:rsidR="008770FC" w:rsidRDefault="00000000" w:rsidP="008770FC">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t>BACKGROUND</w:t>
      </w:r>
    </w:p>
    <w:p w14:paraId="527B37F0" w14:textId="4A0906A7" w:rsidR="00A545C7" w:rsidRPr="007A7DBF" w:rsidRDefault="00000000" w:rsidP="008770FC">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t>Technical Safety, Experienced Safety, and Trust</w:t>
      </w:r>
    </w:p>
    <w:p w14:paraId="5C1DC8BA"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Research on automated driving spans technical safety, travel behavior, public acceptance, human factors, and urban policy. Technical studies examine collision avoidance, motion planning, risk-sensitive trajectories, minimum-risk maneuvers, and safety readiness (Paden et al., 2016; Webb et al., 2020; Kusano et al., 2022; Victor et al., 2024). Travel-behavior research has modeled how autonomous vehicles may change trip making, ownership, and mode choice (Fagnant &amp; Kockelman, 2014; Harb et al., 2018; Batur et al., 2022). A related literature considers shared mobility, accessibility, and new service models (Riggs &amp; Beiker, 2020; Riggs &amp; Pande, 2021).</w:t>
      </w:r>
    </w:p>
    <w:p w14:paraId="7DAA7FE7" w14:textId="77777777"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These literatures often treat safety as either an engineering outcome or an attitudinal construct. Rider experience sits between the two. Trust is not simply a favorable opinion of automation; it is a continuing judgment about whether the system behaves competently and whether the service can recover when ordinary operations fail. A vehicle may satisfy its technical constraints and still appear hesitant, abrupt, or socially awkward. Conversely, a smooth ride may produce confidence even though a single trip offers little evidence about statistical safety.</w:t>
      </w:r>
    </w:p>
    <w:p w14:paraId="10F9B62F" w14:textId="77777777"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Studies of riders in automated shuttles and public-transport demonstrations have repeatedly shown that comfort, predictability, communication, and prior experience influence acceptance (Cornet et al., 2019; Hilgarter &amp; Granig, 2020; Raats et al., 2024). Broader longitudinal and repeated cross-sectional work also suggests that attitudes toward AVs are not fixed; they respond to exposure, service quality, public incidents, and changing expectations (Xiao &amp; Goulias, 2021; Xing et al., 2022; Zhao et al., 2022; Guo et al., 2025). This creates a strong reason to distinguish the views of people who have </w:t>
      </w:r>
      <w:proofErr w:type="gramStart"/>
      <w:r w:rsidRPr="007A7DBF">
        <w:rPr>
          <w:rFonts w:ascii="Times New Roman" w:hAnsi="Times New Roman" w:cs="Times New Roman"/>
          <w:color w:val="000000" w:themeColor="text1"/>
          <w:sz w:val="24"/>
          <w:szCs w:val="24"/>
        </w:rPr>
        <w:t>actually ridden</w:t>
      </w:r>
      <w:proofErr w:type="gramEnd"/>
      <w:r w:rsidRPr="007A7DBF">
        <w:rPr>
          <w:rFonts w:ascii="Times New Roman" w:hAnsi="Times New Roman" w:cs="Times New Roman"/>
          <w:color w:val="000000" w:themeColor="text1"/>
          <w:sz w:val="24"/>
          <w:szCs w:val="24"/>
        </w:rPr>
        <w:t xml:space="preserve"> from those who have not.</w:t>
      </w:r>
    </w:p>
    <w:p w14:paraId="56CEE6E4" w14:textId="77777777"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Behavioral trust is especially important because vehicle motion itself communicates competence. Riders interpret braking, acceleration, following distance, intersection behavior, and route choice as evidence about what the system perceives and understands. Driving that is excessively cautious can feel uncertain rather than reassuring, while assertive motion that is legible and context appropriate can improve comfort. The challenge for self-driving systems is therefore not to imitate human risk taking, but to become socially intelligible while maintaining a probabilistic bias toward safety (Shladover, 2018; Wang et al., 2022).</w:t>
      </w:r>
    </w:p>
    <w:p w14:paraId="20FCC75C" w14:textId="77777777" w:rsidR="008770FC" w:rsidRDefault="008770FC" w:rsidP="008770FC">
      <w:pPr>
        <w:pStyle w:val="Heading2"/>
        <w:spacing w:before="0"/>
        <w:rPr>
          <w:rFonts w:ascii="Times New Roman" w:hAnsi="Times New Roman" w:cs="Times New Roman"/>
          <w:color w:val="000000" w:themeColor="text1"/>
          <w:sz w:val="24"/>
          <w:szCs w:val="24"/>
        </w:rPr>
      </w:pPr>
    </w:p>
    <w:p w14:paraId="5A7C8D0C" w14:textId="6274415F" w:rsidR="00A545C7" w:rsidRPr="007A7DBF" w:rsidRDefault="00000000" w:rsidP="008770FC">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Public Narratives and Data in the Wild</w:t>
      </w:r>
    </w:p>
    <w:p w14:paraId="773BE57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Public narratives offer a second window into automated mobility. News reports, Reddit posts, app reviews, public incident descriptions, regulatory filings, and social-media commentary can reveal recurring concerns before they appear in standardized reporting. They can surface blocked vehicles, unusual routing, support failures, pickup difficulties, community noise, emergency-response interactions, and enthusiastic accounts of smooth or comfortable trips.</w:t>
      </w:r>
    </w:p>
    <w:p w14:paraId="4FDFEE56" w14:textId="77777777" w:rsidR="00A545C7" w:rsidRPr="007A7DBF"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These sources are attractive because they are timely and comparatively inexpensive to collect. They are also highly selective. People post when an experience is remarkable, frustrating, funny, or politically meaningful. Platform demographics are uneven, location data are often missing, and the same incident may be repeated across multiple outlets. Sentiment tools can mistake sarcasm, technical language, or mixed experiences. Public narratives should therefore be treated as signals and hypothesis generators rather than as prevalence estimates.</w:t>
      </w:r>
    </w:p>
    <w:p w14:paraId="5CC731BB" w14:textId="77777777" w:rsidR="00A545C7"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The methodological question is not whether scraped narratives can replace surveys. They cannot. The more useful question is whether a transparent classification workflow can organize </w:t>
      </w:r>
      <w:r w:rsidRPr="007A7DBF">
        <w:rPr>
          <w:rFonts w:ascii="Times New Roman" w:hAnsi="Times New Roman" w:cs="Times New Roman"/>
          <w:color w:val="000000" w:themeColor="text1"/>
          <w:sz w:val="24"/>
          <w:szCs w:val="24"/>
        </w:rPr>
        <w:lastRenderedPageBreak/>
        <w:t>public narratives into operational categories that are later compared with structured rider evidence. If similar categories emerge across sources, public data may provide an early-warning layer between formal survey waves. If they diverge, the differences are themselves informative because they reveal what becomes publicly visible and what remains largely private to riders.</w:t>
      </w:r>
    </w:p>
    <w:p w14:paraId="31F99CBB" w14:textId="77777777" w:rsidR="008770FC" w:rsidRPr="007A7DBF" w:rsidRDefault="008770FC" w:rsidP="008770FC">
      <w:pPr>
        <w:spacing w:after="0"/>
        <w:ind w:firstLine="630"/>
        <w:rPr>
          <w:rFonts w:ascii="Times New Roman" w:hAnsi="Times New Roman" w:cs="Times New Roman"/>
          <w:color w:val="000000" w:themeColor="text1"/>
          <w:sz w:val="24"/>
          <w:szCs w:val="24"/>
        </w:rPr>
      </w:pPr>
    </w:p>
    <w:p w14:paraId="60CBC0A0" w14:textId="660931D2" w:rsidR="00A545C7" w:rsidRPr="007A7DBF" w:rsidRDefault="00000000" w:rsidP="008770FC">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Geography, Curb Access, and the Trip Chain</w:t>
      </w:r>
    </w:p>
    <w:p w14:paraId="03A9B75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Automated ridehail is experienced through a trip chain rather than through driving software alone. Booking, vehicle arrival, curb selection, boarding, in-vehicle communication, route progression, alighting, and support all affect perceived safety. Pickup and drop-off are particularly consequential because they connect the automated system to sidewalks, lighting, parked vehicles, traffic flow, disability access, and transit.</w:t>
      </w:r>
    </w:p>
    <w:p w14:paraId="20EAFF5D" w14:textId="77777777" w:rsidR="00A545C7" w:rsidRDefault="00000000" w:rsidP="008770FC">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This spatial context is central to what may be called the last-50-feet problem. A vehicle can complete a technically successful trip while leaving a passenger across a busy street, beyond the expected destination, or at a poorly lit curb. Late at night, these small spatial discrepancies can offset some of the safety value riders assign to the driverless portion of the trip. Geospatial analysis cannot establish why an experience occurred, but it can identify where operational </w:t>
      </w:r>
      <w:proofErr w:type="gramStart"/>
      <w:r w:rsidRPr="007A7DBF">
        <w:rPr>
          <w:rFonts w:ascii="Times New Roman" w:hAnsi="Times New Roman" w:cs="Times New Roman"/>
          <w:color w:val="000000" w:themeColor="text1"/>
          <w:sz w:val="24"/>
          <w:szCs w:val="24"/>
        </w:rPr>
        <w:t>patterns</w:t>
      </w:r>
      <w:proofErr w:type="gramEnd"/>
      <w:r w:rsidRPr="007A7DBF">
        <w:rPr>
          <w:rFonts w:ascii="Times New Roman" w:hAnsi="Times New Roman" w:cs="Times New Roman"/>
          <w:color w:val="000000" w:themeColor="text1"/>
          <w:sz w:val="24"/>
          <w:szCs w:val="24"/>
        </w:rPr>
        <w:t xml:space="preserve"> and service boundaries warrant closer investigation.</w:t>
      </w:r>
    </w:p>
    <w:p w14:paraId="07A73987" w14:textId="77777777" w:rsidR="008770FC" w:rsidRPr="007A7DBF" w:rsidRDefault="008770FC" w:rsidP="008770FC">
      <w:pPr>
        <w:spacing w:after="0"/>
        <w:ind w:firstLine="630"/>
        <w:rPr>
          <w:rFonts w:ascii="Times New Roman" w:hAnsi="Times New Roman" w:cs="Times New Roman"/>
          <w:color w:val="000000" w:themeColor="text1"/>
          <w:sz w:val="24"/>
          <w:szCs w:val="24"/>
        </w:rPr>
      </w:pPr>
    </w:p>
    <w:p w14:paraId="72535133" w14:textId="1EF29B6C" w:rsidR="00A545C7" w:rsidRPr="007A7DBF" w:rsidRDefault="00000000" w:rsidP="008770FC">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t>CONCEPTUAL AND ANALYTICAL FRAMEWORK</w:t>
      </w:r>
    </w:p>
    <w:p w14:paraId="015EF722" w14:textId="77777777" w:rsidR="00A545C7" w:rsidRPr="007A7DBF" w:rsidRDefault="00000000" w:rsidP="003C556F">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framework is organized around three linked distinctions. The first is between technical safety and experienced safety. Technical safety concerns collision avoidance, rule compliance, perception, planning, and operational design domain limits. Experienced safety concerns whether riders feel secure, understand the vehicle’s behavior, can obtain help, and are delivered to a usable curb.</w:t>
      </w:r>
    </w:p>
    <w:p w14:paraId="4B584EF6" w14:textId="1CF3D8B3" w:rsidR="008770FC" w:rsidRDefault="00000000" w:rsidP="00B96198">
      <w:pPr>
        <w:spacing w:after="0"/>
        <w:ind w:firstLine="63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second distinction is between direct experience and anticipated perception. Riders evaluate actual vehicle motion and service performance. Non-riders evaluate eligibility, availability, operating hours, geography, media narratives, and their expectations of the technology. Neither perspective is inherently more legitimate, but they answer different questions.</w:t>
      </w:r>
      <w:r w:rsidR="008770FC">
        <w:rPr>
          <w:rFonts w:ascii="Times New Roman" w:hAnsi="Times New Roman" w:cs="Times New Roman"/>
          <w:color w:val="000000" w:themeColor="text1"/>
          <w:sz w:val="24"/>
          <w:szCs w:val="24"/>
        </w:rPr>
        <w:t xml:space="preserve"> </w:t>
      </w:r>
      <w:r w:rsidRPr="007A7DBF">
        <w:rPr>
          <w:rFonts w:ascii="Times New Roman" w:hAnsi="Times New Roman" w:cs="Times New Roman"/>
          <w:color w:val="000000" w:themeColor="text1"/>
          <w:sz w:val="24"/>
          <w:szCs w:val="24"/>
        </w:rPr>
        <w:t>The third distinction is between evidence and signal. Structured rider records are the strongest empirical evidence in this study. The test public-narrative dataset is a signal-validation exercise. Synthetic scenarios are limited to workflow testing and are excluded from empirical findings.</w:t>
      </w:r>
    </w:p>
    <w:p w14:paraId="571BC7F2" w14:textId="77777777" w:rsidR="00B96198" w:rsidRDefault="00B96198" w:rsidP="00B96198">
      <w:pPr>
        <w:spacing w:after="0"/>
        <w:ind w:firstLine="630"/>
        <w:rPr>
          <w:rFonts w:ascii="Times New Roman" w:hAnsi="Times New Roman" w:cs="Times New Roman"/>
          <w:color w:val="000000" w:themeColor="text1"/>
          <w:sz w:val="24"/>
          <w:szCs w:val="24"/>
        </w:rPr>
      </w:pPr>
    </w:p>
    <w:p w14:paraId="1E713968" w14:textId="77777777" w:rsidR="00B96198" w:rsidRDefault="00B96198" w:rsidP="00B96198">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 xml:space="preserve">TABLE 1. </w:t>
      </w:r>
      <w:r>
        <w:rPr>
          <w:rFonts w:ascii="Times New Roman" w:hAnsi="Times New Roman" w:cs="Times New Roman"/>
          <w:b/>
          <w:color w:val="000000" w:themeColor="text1"/>
          <w:sz w:val="24"/>
          <w:szCs w:val="24"/>
        </w:rPr>
        <w:t>Analytical workflow</w:t>
      </w:r>
    </w:p>
    <w:tbl>
      <w:tblPr>
        <w:tblStyle w:val="TableGrid"/>
        <w:tblW w:w="0" w:type="auto"/>
        <w:tblLook w:val="04A0" w:firstRow="1" w:lastRow="0" w:firstColumn="1" w:lastColumn="0" w:noHBand="0" w:noVBand="1"/>
      </w:tblPr>
      <w:tblGrid>
        <w:gridCol w:w="2301"/>
        <w:gridCol w:w="2224"/>
        <w:gridCol w:w="2343"/>
        <w:gridCol w:w="2482"/>
      </w:tblGrid>
      <w:tr w:rsidR="00B96198" w14:paraId="5AAE0C9B" w14:textId="77777777" w:rsidTr="005C5423">
        <w:tc>
          <w:tcPr>
            <w:tcW w:w="2502" w:type="dxa"/>
            <w:vAlign w:val="center"/>
          </w:tcPr>
          <w:p w14:paraId="78B41D20"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b/>
                <w:bCs/>
                <w:sz w:val="22"/>
                <w:szCs w:val="28"/>
              </w:rPr>
              <w:t>Stage</w:t>
            </w:r>
          </w:p>
        </w:tc>
        <w:tc>
          <w:tcPr>
            <w:tcW w:w="2502" w:type="dxa"/>
            <w:vAlign w:val="center"/>
          </w:tcPr>
          <w:p w14:paraId="30CE465E"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b/>
                <w:bCs/>
                <w:sz w:val="22"/>
                <w:szCs w:val="28"/>
              </w:rPr>
              <w:t>Input</w:t>
            </w:r>
          </w:p>
        </w:tc>
        <w:tc>
          <w:tcPr>
            <w:tcW w:w="2502" w:type="dxa"/>
            <w:vAlign w:val="center"/>
          </w:tcPr>
          <w:p w14:paraId="746E53A5"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b/>
                <w:bCs/>
                <w:sz w:val="22"/>
                <w:szCs w:val="28"/>
              </w:rPr>
              <w:t>Transformation</w:t>
            </w:r>
          </w:p>
        </w:tc>
        <w:tc>
          <w:tcPr>
            <w:tcW w:w="2502" w:type="dxa"/>
            <w:vAlign w:val="center"/>
          </w:tcPr>
          <w:p w14:paraId="478BD66E"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b/>
                <w:bCs/>
                <w:sz w:val="22"/>
                <w:szCs w:val="28"/>
              </w:rPr>
              <w:t>Output</w:t>
            </w:r>
          </w:p>
        </w:tc>
      </w:tr>
      <w:tr w:rsidR="00B96198" w14:paraId="030BBEC7" w14:textId="77777777" w:rsidTr="005C5423">
        <w:tc>
          <w:tcPr>
            <w:tcW w:w="2502" w:type="dxa"/>
            <w:vAlign w:val="center"/>
          </w:tcPr>
          <w:p w14:paraId="62267D8F" w14:textId="77777777" w:rsidR="00B96198" w:rsidRPr="008770FC" w:rsidRDefault="00B96198" w:rsidP="005C5423">
            <w:pPr>
              <w:spacing w:after="0"/>
              <w:rPr>
                <w:rFonts w:ascii="Times New Roman" w:hAnsi="Times New Roman" w:cs="Times New Roman"/>
                <w:b/>
                <w:bCs/>
                <w:color w:val="000000" w:themeColor="text1"/>
                <w:sz w:val="22"/>
                <w:szCs w:val="28"/>
              </w:rPr>
            </w:pPr>
            <w:r w:rsidRPr="008770FC">
              <w:rPr>
                <w:rFonts w:ascii="Times New Roman" w:hAnsi="Times New Roman" w:cs="Times New Roman"/>
                <w:b/>
                <w:bCs/>
                <w:sz w:val="22"/>
                <w:szCs w:val="28"/>
              </w:rPr>
              <w:t>Ingestion</w:t>
            </w:r>
          </w:p>
        </w:tc>
        <w:tc>
          <w:tcPr>
            <w:tcW w:w="2502" w:type="dxa"/>
            <w:vAlign w:val="center"/>
          </w:tcPr>
          <w:p w14:paraId="79ABBC53"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Survey, public narrative, synthetic records</w:t>
            </w:r>
          </w:p>
        </w:tc>
        <w:tc>
          <w:tcPr>
            <w:tcW w:w="2502" w:type="dxa"/>
            <w:vAlign w:val="center"/>
          </w:tcPr>
          <w:p w14:paraId="4C64B323"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Source-specific parsing</w:t>
            </w:r>
          </w:p>
        </w:tc>
        <w:tc>
          <w:tcPr>
            <w:tcW w:w="2502" w:type="dxa"/>
            <w:vAlign w:val="center"/>
          </w:tcPr>
          <w:p w14:paraId="4E3930A3"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Standardized records</w:t>
            </w:r>
          </w:p>
        </w:tc>
      </w:tr>
      <w:tr w:rsidR="00B96198" w14:paraId="347632DF" w14:textId="77777777" w:rsidTr="005C5423">
        <w:tc>
          <w:tcPr>
            <w:tcW w:w="2502" w:type="dxa"/>
            <w:vAlign w:val="center"/>
          </w:tcPr>
          <w:p w14:paraId="74A2786F" w14:textId="77777777" w:rsidR="00B96198" w:rsidRPr="008770FC" w:rsidRDefault="00B96198" w:rsidP="005C5423">
            <w:pPr>
              <w:spacing w:after="0"/>
              <w:rPr>
                <w:rFonts w:ascii="Times New Roman" w:hAnsi="Times New Roman" w:cs="Times New Roman"/>
                <w:b/>
                <w:bCs/>
                <w:color w:val="000000" w:themeColor="text1"/>
                <w:sz w:val="22"/>
                <w:szCs w:val="28"/>
              </w:rPr>
            </w:pPr>
            <w:r w:rsidRPr="008770FC">
              <w:rPr>
                <w:rFonts w:ascii="Times New Roman" w:hAnsi="Times New Roman" w:cs="Times New Roman"/>
                <w:b/>
                <w:bCs/>
                <w:sz w:val="22"/>
                <w:szCs w:val="28"/>
              </w:rPr>
              <w:t>Classification</w:t>
            </w:r>
          </w:p>
        </w:tc>
        <w:tc>
          <w:tcPr>
            <w:tcW w:w="2502" w:type="dxa"/>
            <w:vAlign w:val="center"/>
          </w:tcPr>
          <w:p w14:paraId="17F3379C"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Structured and textual fields</w:t>
            </w:r>
          </w:p>
        </w:tc>
        <w:tc>
          <w:tcPr>
            <w:tcW w:w="2502" w:type="dxa"/>
            <w:vAlign w:val="center"/>
          </w:tcPr>
          <w:p w14:paraId="68A91AAF"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Rule-based scenario coding</w:t>
            </w:r>
          </w:p>
        </w:tc>
        <w:tc>
          <w:tcPr>
            <w:tcW w:w="2502" w:type="dxa"/>
            <w:vAlign w:val="center"/>
          </w:tcPr>
          <w:p w14:paraId="3A71A290"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Scenario label</w:t>
            </w:r>
          </w:p>
        </w:tc>
      </w:tr>
      <w:tr w:rsidR="00B96198" w14:paraId="6BE92BAE" w14:textId="77777777" w:rsidTr="005C5423">
        <w:tc>
          <w:tcPr>
            <w:tcW w:w="2502" w:type="dxa"/>
            <w:vAlign w:val="center"/>
          </w:tcPr>
          <w:p w14:paraId="358A7692" w14:textId="77777777" w:rsidR="00B96198" w:rsidRPr="008770FC" w:rsidRDefault="00B96198" w:rsidP="005C5423">
            <w:pPr>
              <w:spacing w:after="0"/>
              <w:rPr>
                <w:rFonts w:ascii="Times New Roman" w:hAnsi="Times New Roman" w:cs="Times New Roman"/>
                <w:b/>
                <w:bCs/>
                <w:color w:val="000000" w:themeColor="text1"/>
                <w:sz w:val="22"/>
                <w:szCs w:val="28"/>
              </w:rPr>
            </w:pPr>
            <w:r w:rsidRPr="008770FC">
              <w:rPr>
                <w:rFonts w:ascii="Times New Roman" w:hAnsi="Times New Roman" w:cs="Times New Roman"/>
                <w:b/>
                <w:bCs/>
                <w:sz w:val="22"/>
                <w:szCs w:val="28"/>
              </w:rPr>
              <w:t>Sentiment</w:t>
            </w:r>
          </w:p>
        </w:tc>
        <w:tc>
          <w:tcPr>
            <w:tcW w:w="2502" w:type="dxa"/>
            <w:vAlign w:val="center"/>
          </w:tcPr>
          <w:p w14:paraId="1BF3858D"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Narrative or structured response</w:t>
            </w:r>
          </w:p>
        </w:tc>
        <w:tc>
          <w:tcPr>
            <w:tcW w:w="2502" w:type="dxa"/>
            <w:vAlign w:val="center"/>
          </w:tcPr>
          <w:p w14:paraId="685722C6"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Directional coding</w:t>
            </w:r>
          </w:p>
        </w:tc>
        <w:tc>
          <w:tcPr>
            <w:tcW w:w="2502" w:type="dxa"/>
            <w:vAlign w:val="center"/>
          </w:tcPr>
          <w:p w14:paraId="71DDFABD"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Positive/neutral/negative</w:t>
            </w:r>
          </w:p>
        </w:tc>
      </w:tr>
      <w:tr w:rsidR="00B96198" w14:paraId="5467E42F" w14:textId="77777777" w:rsidTr="005C5423">
        <w:tc>
          <w:tcPr>
            <w:tcW w:w="2502" w:type="dxa"/>
            <w:vAlign w:val="center"/>
          </w:tcPr>
          <w:p w14:paraId="6B3D9830" w14:textId="77777777" w:rsidR="00B96198" w:rsidRPr="008770FC" w:rsidRDefault="00B96198" w:rsidP="005C5423">
            <w:pPr>
              <w:spacing w:after="0"/>
              <w:rPr>
                <w:rFonts w:ascii="Times New Roman" w:hAnsi="Times New Roman" w:cs="Times New Roman"/>
                <w:b/>
                <w:bCs/>
                <w:color w:val="000000" w:themeColor="text1"/>
                <w:sz w:val="22"/>
                <w:szCs w:val="28"/>
              </w:rPr>
            </w:pPr>
            <w:r w:rsidRPr="008770FC">
              <w:rPr>
                <w:rFonts w:ascii="Times New Roman" w:hAnsi="Times New Roman" w:cs="Times New Roman"/>
                <w:b/>
                <w:bCs/>
                <w:sz w:val="22"/>
                <w:szCs w:val="28"/>
              </w:rPr>
              <w:t>Spatialization</w:t>
            </w:r>
          </w:p>
        </w:tc>
        <w:tc>
          <w:tcPr>
            <w:tcW w:w="2502" w:type="dxa"/>
            <w:vAlign w:val="center"/>
          </w:tcPr>
          <w:p w14:paraId="35044B85"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Drop-off, survey, or named place</w:t>
            </w:r>
          </w:p>
        </w:tc>
        <w:tc>
          <w:tcPr>
            <w:tcW w:w="2502" w:type="dxa"/>
            <w:vAlign w:val="center"/>
          </w:tcPr>
          <w:p w14:paraId="00D1FE51"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Coordinate assignment</w:t>
            </w:r>
          </w:p>
        </w:tc>
        <w:tc>
          <w:tcPr>
            <w:tcW w:w="2502" w:type="dxa"/>
            <w:vAlign w:val="center"/>
          </w:tcPr>
          <w:p w14:paraId="13162A77"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Latitude/longitude</w:t>
            </w:r>
          </w:p>
        </w:tc>
      </w:tr>
      <w:tr w:rsidR="00B96198" w14:paraId="593DB200" w14:textId="77777777" w:rsidTr="005C5423">
        <w:tc>
          <w:tcPr>
            <w:tcW w:w="2502" w:type="dxa"/>
            <w:vAlign w:val="center"/>
          </w:tcPr>
          <w:p w14:paraId="30A9B2F5" w14:textId="77777777" w:rsidR="00B96198" w:rsidRPr="008770FC" w:rsidRDefault="00B96198" w:rsidP="005C5423">
            <w:pPr>
              <w:spacing w:after="0"/>
              <w:rPr>
                <w:rFonts w:ascii="Times New Roman" w:hAnsi="Times New Roman" w:cs="Times New Roman"/>
                <w:b/>
                <w:bCs/>
                <w:color w:val="000000" w:themeColor="text1"/>
                <w:sz w:val="22"/>
                <w:szCs w:val="28"/>
              </w:rPr>
            </w:pPr>
            <w:r w:rsidRPr="008770FC">
              <w:rPr>
                <w:rFonts w:ascii="Times New Roman" w:hAnsi="Times New Roman" w:cs="Times New Roman"/>
                <w:b/>
                <w:bCs/>
                <w:sz w:val="22"/>
                <w:szCs w:val="28"/>
              </w:rPr>
              <w:t>Validation</w:t>
            </w:r>
          </w:p>
        </w:tc>
        <w:tc>
          <w:tcPr>
            <w:tcW w:w="2502" w:type="dxa"/>
            <w:vAlign w:val="center"/>
          </w:tcPr>
          <w:p w14:paraId="794334FF"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Cross-source categories</w:t>
            </w:r>
          </w:p>
        </w:tc>
        <w:tc>
          <w:tcPr>
            <w:tcW w:w="2502" w:type="dxa"/>
            <w:vAlign w:val="center"/>
          </w:tcPr>
          <w:p w14:paraId="22550C3B"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Theme overlap comparison</w:t>
            </w:r>
          </w:p>
        </w:tc>
        <w:tc>
          <w:tcPr>
            <w:tcW w:w="2502" w:type="dxa"/>
            <w:vAlign w:val="center"/>
          </w:tcPr>
          <w:p w14:paraId="33C2F4FF" w14:textId="77777777" w:rsidR="00B96198" w:rsidRPr="008770FC" w:rsidRDefault="00B96198" w:rsidP="005C5423">
            <w:pPr>
              <w:spacing w:after="0"/>
              <w:rPr>
                <w:rFonts w:ascii="Times New Roman" w:hAnsi="Times New Roman" w:cs="Times New Roman"/>
                <w:color w:val="000000" w:themeColor="text1"/>
                <w:sz w:val="22"/>
                <w:szCs w:val="28"/>
              </w:rPr>
            </w:pPr>
            <w:r w:rsidRPr="008770FC">
              <w:rPr>
                <w:rFonts w:ascii="Times New Roman" w:hAnsi="Times New Roman" w:cs="Times New Roman"/>
                <w:sz w:val="22"/>
                <w:szCs w:val="28"/>
              </w:rPr>
              <w:t>Agreement matrix</w:t>
            </w:r>
          </w:p>
        </w:tc>
      </w:tr>
    </w:tbl>
    <w:p w14:paraId="2EE2A243" w14:textId="77777777" w:rsidR="00B96198" w:rsidRPr="007A7DBF" w:rsidRDefault="00B96198" w:rsidP="00B96198">
      <w:pPr>
        <w:spacing w:after="0"/>
        <w:rPr>
          <w:rFonts w:ascii="Times New Roman" w:hAnsi="Times New Roman" w:cs="Times New Roman"/>
          <w:color w:val="000000" w:themeColor="text1"/>
          <w:sz w:val="24"/>
          <w:szCs w:val="24"/>
        </w:rPr>
      </w:pPr>
    </w:p>
    <w:p w14:paraId="71307FC5" w14:textId="05D48846" w:rsidR="00A545C7" w:rsidRPr="007A7DBF" w:rsidRDefault="00B96198" w:rsidP="008770FC">
      <w:pPr>
        <w:spacing w:after="0"/>
        <w:ind w:firstLine="6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w:t>
      </w:r>
      <w:r w:rsidR="008770FC">
        <w:rPr>
          <w:rFonts w:ascii="Times New Roman" w:hAnsi="Times New Roman" w:cs="Times New Roman"/>
          <w:color w:val="000000" w:themeColor="text1"/>
          <w:sz w:val="24"/>
          <w:szCs w:val="24"/>
        </w:rPr>
        <w:t xml:space="preserve">he </w:t>
      </w:r>
      <w:r w:rsidRPr="007A7DBF">
        <w:rPr>
          <w:rFonts w:ascii="Times New Roman" w:hAnsi="Times New Roman" w:cs="Times New Roman"/>
          <w:color w:val="000000" w:themeColor="text1"/>
          <w:sz w:val="24"/>
          <w:szCs w:val="24"/>
        </w:rPr>
        <w:t xml:space="preserve">analytical workflow has five stages: (1) ingest records and preserve source labels; (2) classify each record by service and scenario; (3) apply directional sentiment or qualitative thematic coding; (4) assign generalized spatial references where ethically appropriate; and (5) compare patterns across evidence streams. </w:t>
      </w:r>
      <w:r>
        <w:rPr>
          <w:rFonts w:ascii="Times New Roman" w:hAnsi="Times New Roman" w:cs="Times New Roman"/>
          <w:color w:val="000000" w:themeColor="text1"/>
          <w:sz w:val="24"/>
          <w:szCs w:val="24"/>
        </w:rPr>
        <w:t>Table 1 illustrates</w:t>
      </w:r>
      <w:r w:rsidRPr="007A7DBF">
        <w:rPr>
          <w:rFonts w:ascii="Times New Roman" w:hAnsi="Times New Roman" w:cs="Times New Roman"/>
          <w:color w:val="000000" w:themeColor="text1"/>
          <w:sz w:val="24"/>
          <w:szCs w:val="24"/>
        </w:rPr>
        <w:t xml:space="preserve"> present this process, emphasizing that source types retain their methodological identity</w:t>
      </w:r>
      <w:r>
        <w:rPr>
          <w:rFonts w:ascii="Times New Roman" w:hAnsi="Times New Roman" w:cs="Times New Roman"/>
          <w:color w:val="000000" w:themeColor="text1"/>
          <w:sz w:val="24"/>
          <w:szCs w:val="24"/>
        </w:rPr>
        <w:t xml:space="preserve"> despite transformation</w:t>
      </w:r>
      <w:r w:rsidRPr="007A7DBF">
        <w:rPr>
          <w:rFonts w:ascii="Times New Roman" w:hAnsi="Times New Roman" w:cs="Times New Roman"/>
          <w:color w:val="000000" w:themeColor="text1"/>
          <w:sz w:val="24"/>
          <w:szCs w:val="24"/>
        </w:rPr>
        <w:t>.</w:t>
      </w:r>
    </w:p>
    <w:p w14:paraId="21DACF90" w14:textId="77777777" w:rsidR="00B96198" w:rsidRDefault="00B96198" w:rsidP="008770FC">
      <w:pPr>
        <w:pStyle w:val="Heading1"/>
        <w:spacing w:before="0"/>
        <w:rPr>
          <w:rFonts w:ascii="Times New Roman" w:hAnsi="Times New Roman" w:cs="Times New Roman"/>
          <w:color w:val="000000" w:themeColor="text1"/>
          <w:szCs w:val="24"/>
        </w:rPr>
      </w:pPr>
    </w:p>
    <w:p w14:paraId="34E86998" w14:textId="0C548764" w:rsidR="00A545C7" w:rsidRPr="007A7DBF" w:rsidRDefault="00000000" w:rsidP="008770FC">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t>DATA AND METHODS</w:t>
      </w:r>
    </w:p>
    <w:p w14:paraId="5327C3CF" w14:textId="45D65767" w:rsidR="00A545C7" w:rsidRPr="007A7DBF" w:rsidRDefault="00000000" w:rsidP="008770FC">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Evidence Streams</w:t>
      </w:r>
    </w:p>
    <w:p w14:paraId="61B73C53" w14:textId="77777777" w:rsidR="00F2285D" w:rsidRPr="00F2285D" w:rsidRDefault="00F2285D" w:rsidP="00F2285D">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shown in Table 2 four (4) primary evidence streams are used: public narratives; Cruise riders; Cruise non-riders; </w:t>
      </w:r>
      <w:proofErr w:type="gramStart"/>
      <w:r>
        <w:rPr>
          <w:rFonts w:ascii="Times New Roman" w:hAnsi="Times New Roman" w:cs="Times New Roman"/>
          <w:color w:val="000000" w:themeColor="text1"/>
          <w:sz w:val="24"/>
          <w:szCs w:val="24"/>
        </w:rPr>
        <w:t>and,</w:t>
      </w:r>
      <w:proofErr w:type="gramEnd"/>
      <w:r>
        <w:rPr>
          <w:rFonts w:ascii="Times New Roman" w:hAnsi="Times New Roman" w:cs="Times New Roman"/>
          <w:color w:val="000000" w:themeColor="text1"/>
          <w:sz w:val="24"/>
          <w:szCs w:val="24"/>
        </w:rPr>
        <w:t xml:space="preserve"> synthetic scenarios based on </w:t>
      </w:r>
      <w:proofErr w:type="gramStart"/>
      <w:r>
        <w:rPr>
          <w:rFonts w:ascii="Times New Roman" w:hAnsi="Times New Roman" w:cs="Times New Roman"/>
          <w:color w:val="000000" w:themeColor="text1"/>
          <w:sz w:val="24"/>
          <w:szCs w:val="24"/>
        </w:rPr>
        <w:t>both of these</w:t>
      </w:r>
      <w:proofErr w:type="gramEnd"/>
      <w:r>
        <w:rPr>
          <w:rFonts w:ascii="Times New Roman" w:hAnsi="Times New Roman" w:cs="Times New Roman"/>
          <w:color w:val="000000" w:themeColor="text1"/>
          <w:sz w:val="24"/>
          <w:szCs w:val="24"/>
        </w:rPr>
        <w:t xml:space="preserve">. </w:t>
      </w:r>
      <w:r w:rsidRPr="007A7DBF">
        <w:rPr>
          <w:rFonts w:ascii="Times New Roman" w:hAnsi="Times New Roman" w:cs="Times New Roman"/>
          <w:color w:val="000000" w:themeColor="text1"/>
          <w:sz w:val="24"/>
          <w:szCs w:val="24"/>
        </w:rPr>
        <w:t>The public-narrative test set was assembled from publicly available rider accounts, incident summaries, media coverage, public safety research, and service commentary related to Waymo and Cruise. Each record was stored as a short paraphrase rather than copied text and included a source type, service label, scenario category, directional sentiment, approximate geography, and source link. The small test set is deliberately described as exploratory. Its purpose is to determine whether a reproducible pipeline can preserve provenance and identify categories that are later visible in rider data.</w:t>
      </w:r>
    </w:p>
    <w:p w14:paraId="7147172C" w14:textId="4D9223C7" w:rsidR="00F2285D" w:rsidRDefault="00F2285D" w:rsidP="00C064DC">
      <w:pPr>
        <w:spacing w:after="0"/>
        <w:rPr>
          <w:rFonts w:ascii="Times New Roman" w:hAnsi="Times New Roman" w:cs="Times New Roman"/>
          <w:color w:val="000000" w:themeColor="text1"/>
          <w:sz w:val="24"/>
          <w:szCs w:val="24"/>
        </w:rPr>
      </w:pPr>
    </w:p>
    <w:p w14:paraId="7627CD6B" w14:textId="77777777" w:rsidR="00F2285D" w:rsidRDefault="00F2285D" w:rsidP="00C064DC">
      <w:pPr>
        <w:spacing w:after="0"/>
        <w:rPr>
          <w:rFonts w:ascii="Times New Roman" w:hAnsi="Times New Roman" w:cs="Times New Roman"/>
          <w:color w:val="000000" w:themeColor="text1"/>
          <w:sz w:val="24"/>
          <w:szCs w:val="24"/>
        </w:rPr>
      </w:pPr>
    </w:p>
    <w:p w14:paraId="316578AC" w14:textId="1823B3EE" w:rsidR="00F2285D" w:rsidRPr="007A7DBF" w:rsidRDefault="00F2285D" w:rsidP="00F2285D">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 xml:space="preserve">TABLE </w:t>
      </w:r>
      <w:r>
        <w:rPr>
          <w:rFonts w:ascii="Times New Roman" w:hAnsi="Times New Roman" w:cs="Times New Roman"/>
          <w:b/>
          <w:color w:val="000000" w:themeColor="text1"/>
          <w:sz w:val="24"/>
          <w:szCs w:val="24"/>
        </w:rPr>
        <w:t>2</w:t>
      </w:r>
      <w:r w:rsidRPr="007A7DBF">
        <w:rPr>
          <w:rFonts w:ascii="Times New Roman" w:hAnsi="Times New Roman" w:cs="Times New Roman"/>
          <w:b/>
          <w:color w:val="000000" w:themeColor="text1"/>
          <w:sz w:val="24"/>
          <w:szCs w:val="24"/>
        </w:rPr>
        <w:t>. Evidence streams and analytical roles</w:t>
      </w:r>
    </w:p>
    <w:tbl>
      <w:tblPr>
        <w:tblStyle w:val="TableGrid"/>
        <w:tblW w:w="0" w:type="auto"/>
        <w:tblLook w:val="04A0" w:firstRow="1" w:lastRow="0" w:firstColumn="1" w:lastColumn="0" w:noHBand="0" w:noVBand="1"/>
      </w:tblPr>
      <w:tblGrid>
        <w:gridCol w:w="1794"/>
        <w:gridCol w:w="3301"/>
        <w:gridCol w:w="1661"/>
        <w:gridCol w:w="2594"/>
      </w:tblGrid>
      <w:tr w:rsidR="00F2285D" w:rsidRPr="007A7DBF" w14:paraId="3AAE17EB" w14:textId="77777777" w:rsidTr="005C5423">
        <w:tc>
          <w:tcPr>
            <w:tcW w:w="2160" w:type="dxa"/>
          </w:tcPr>
          <w:p w14:paraId="1CD32179"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Evidence stream</w:t>
            </w:r>
          </w:p>
        </w:tc>
        <w:tc>
          <w:tcPr>
            <w:tcW w:w="4320" w:type="dxa"/>
          </w:tcPr>
          <w:p w14:paraId="6AB7E144"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Purpose</w:t>
            </w:r>
          </w:p>
        </w:tc>
        <w:tc>
          <w:tcPr>
            <w:tcW w:w="2016" w:type="dxa"/>
          </w:tcPr>
          <w:p w14:paraId="2B49E464"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Current sample</w:t>
            </w:r>
          </w:p>
        </w:tc>
        <w:tc>
          <w:tcPr>
            <w:tcW w:w="3312" w:type="dxa"/>
          </w:tcPr>
          <w:p w14:paraId="4CCB9F61"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Empirical role</w:t>
            </w:r>
          </w:p>
        </w:tc>
      </w:tr>
      <w:tr w:rsidR="00F2285D" w:rsidRPr="007A7DBF" w14:paraId="16A48035" w14:textId="77777777" w:rsidTr="005C5423">
        <w:tc>
          <w:tcPr>
            <w:tcW w:w="2160" w:type="dxa"/>
          </w:tcPr>
          <w:p w14:paraId="43D85761" w14:textId="77777777" w:rsidR="00F2285D" w:rsidRPr="00C064DC" w:rsidRDefault="00F2285D" w:rsidP="005C5423">
            <w:pPr>
              <w:spacing w:after="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 </w:t>
            </w:r>
            <w:r w:rsidRPr="00C064DC">
              <w:rPr>
                <w:rFonts w:ascii="Times New Roman" w:hAnsi="Times New Roman" w:cs="Times New Roman"/>
                <w:b/>
                <w:bCs/>
                <w:color w:val="000000" w:themeColor="text1"/>
                <w:sz w:val="24"/>
                <w:szCs w:val="24"/>
              </w:rPr>
              <w:t>Test public narratives</w:t>
            </w:r>
          </w:p>
        </w:tc>
        <w:tc>
          <w:tcPr>
            <w:tcW w:w="4320" w:type="dxa"/>
          </w:tcPr>
          <w:p w14:paraId="5D9D093D"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Validate collection, paraphrasing, scenario coding, sentiment labeling, and approximate geocoding</w:t>
            </w:r>
          </w:p>
        </w:tc>
        <w:tc>
          <w:tcPr>
            <w:tcW w:w="2016" w:type="dxa"/>
          </w:tcPr>
          <w:p w14:paraId="6C7863AA"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20 curated Waymo and Cruise records</w:t>
            </w:r>
          </w:p>
        </w:tc>
        <w:tc>
          <w:tcPr>
            <w:tcW w:w="3312" w:type="dxa"/>
          </w:tcPr>
          <w:p w14:paraId="61947049"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Exploratory real-world validation; not representative</w:t>
            </w:r>
          </w:p>
        </w:tc>
      </w:tr>
      <w:tr w:rsidR="00F2285D" w:rsidRPr="007A7DBF" w14:paraId="332D2EF4" w14:textId="77777777" w:rsidTr="005C5423">
        <w:tc>
          <w:tcPr>
            <w:tcW w:w="2160" w:type="dxa"/>
          </w:tcPr>
          <w:p w14:paraId="3FD72302" w14:textId="77777777" w:rsidR="00F2285D" w:rsidRPr="00C064DC" w:rsidRDefault="00F2285D" w:rsidP="005C5423">
            <w:pPr>
              <w:spacing w:after="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 </w:t>
            </w:r>
            <w:r w:rsidRPr="00C064DC">
              <w:rPr>
                <w:rFonts w:ascii="Times New Roman" w:hAnsi="Times New Roman" w:cs="Times New Roman"/>
                <w:b/>
                <w:bCs/>
                <w:color w:val="000000" w:themeColor="text1"/>
                <w:sz w:val="24"/>
                <w:szCs w:val="24"/>
              </w:rPr>
              <w:t>Cruise riders</w:t>
            </w:r>
          </w:p>
        </w:tc>
        <w:tc>
          <w:tcPr>
            <w:tcW w:w="4320" w:type="dxa"/>
          </w:tcPr>
          <w:p w14:paraId="3B66CE95"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Measure direct experience, trip characteristics, service value, and qualitative safety perceptions</w:t>
            </w:r>
          </w:p>
        </w:tc>
        <w:tc>
          <w:tcPr>
            <w:tcW w:w="2016" w:type="dxa"/>
          </w:tcPr>
          <w:p w14:paraId="720FEF36"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23 riders; 41 rides</w:t>
            </w:r>
          </w:p>
        </w:tc>
        <w:tc>
          <w:tcPr>
            <w:tcW w:w="3312" w:type="dxa"/>
          </w:tcPr>
          <w:p w14:paraId="6858D696"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Primary empirical evidence</w:t>
            </w:r>
          </w:p>
        </w:tc>
      </w:tr>
      <w:tr w:rsidR="00F2285D" w:rsidRPr="007A7DBF" w14:paraId="6AEA2FF4" w14:textId="77777777" w:rsidTr="005C5423">
        <w:tc>
          <w:tcPr>
            <w:tcW w:w="2160" w:type="dxa"/>
          </w:tcPr>
          <w:p w14:paraId="676F2725" w14:textId="77777777" w:rsidR="00F2285D" w:rsidRPr="00C064DC" w:rsidRDefault="00F2285D" w:rsidP="005C5423">
            <w:pPr>
              <w:spacing w:after="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sidRPr="00C064DC">
              <w:rPr>
                <w:rFonts w:ascii="Times New Roman" w:hAnsi="Times New Roman" w:cs="Times New Roman"/>
                <w:b/>
                <w:bCs/>
                <w:color w:val="000000" w:themeColor="text1"/>
                <w:sz w:val="24"/>
                <w:szCs w:val="24"/>
              </w:rPr>
              <w:t>Cruise non-riders</w:t>
            </w:r>
          </w:p>
        </w:tc>
        <w:tc>
          <w:tcPr>
            <w:tcW w:w="4320" w:type="dxa"/>
          </w:tcPr>
          <w:p w14:paraId="2E3DB4D9"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Identify barriers, encouragements, and anticipated service concerns</w:t>
            </w:r>
          </w:p>
        </w:tc>
        <w:tc>
          <w:tcPr>
            <w:tcW w:w="2016" w:type="dxa"/>
          </w:tcPr>
          <w:p w14:paraId="104FACB8"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140 eligible non-riders</w:t>
            </w:r>
          </w:p>
        </w:tc>
        <w:tc>
          <w:tcPr>
            <w:tcW w:w="3312" w:type="dxa"/>
          </w:tcPr>
          <w:p w14:paraId="5BA1D80C"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Comparative contextual evidence</w:t>
            </w:r>
          </w:p>
        </w:tc>
      </w:tr>
      <w:tr w:rsidR="00F2285D" w:rsidRPr="007A7DBF" w14:paraId="49E99F40" w14:textId="77777777" w:rsidTr="005C5423">
        <w:tc>
          <w:tcPr>
            <w:tcW w:w="2160" w:type="dxa"/>
          </w:tcPr>
          <w:p w14:paraId="353E9D8D" w14:textId="77777777" w:rsidR="00F2285D" w:rsidRPr="00C064DC" w:rsidRDefault="00F2285D" w:rsidP="005C5423">
            <w:pPr>
              <w:spacing w:after="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Pr="00C064DC">
              <w:rPr>
                <w:rFonts w:ascii="Times New Roman" w:hAnsi="Times New Roman" w:cs="Times New Roman"/>
                <w:b/>
                <w:bCs/>
                <w:color w:val="000000" w:themeColor="text1"/>
                <w:sz w:val="24"/>
                <w:szCs w:val="24"/>
              </w:rPr>
              <w:t>Synthetic scenarios</w:t>
            </w:r>
          </w:p>
        </w:tc>
        <w:tc>
          <w:tcPr>
            <w:tcW w:w="4320" w:type="dxa"/>
          </w:tcPr>
          <w:p w14:paraId="3E2EF214"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Test software ingestion and visualization</w:t>
            </w:r>
          </w:p>
        </w:tc>
        <w:tc>
          <w:tcPr>
            <w:tcW w:w="2016" w:type="dxa"/>
          </w:tcPr>
          <w:p w14:paraId="2A09CA86"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Prototype records</w:t>
            </w:r>
          </w:p>
        </w:tc>
        <w:tc>
          <w:tcPr>
            <w:tcW w:w="3312" w:type="dxa"/>
          </w:tcPr>
          <w:p w14:paraId="54AB47AD" w14:textId="77777777" w:rsidR="00F2285D" w:rsidRPr="007A7DBF" w:rsidRDefault="00F2285D"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Workflow validation only; excluded from substantive results</w:t>
            </w:r>
          </w:p>
        </w:tc>
      </w:tr>
    </w:tbl>
    <w:p w14:paraId="228F2734" w14:textId="77777777" w:rsidR="00F2285D" w:rsidRPr="00F2285D" w:rsidRDefault="00F2285D" w:rsidP="00F2285D">
      <w:pPr>
        <w:spacing w:after="0"/>
        <w:rPr>
          <w:rFonts w:ascii="Times New Roman" w:hAnsi="Times New Roman" w:cs="Times New Roman"/>
          <w:iCs/>
          <w:color w:val="000000" w:themeColor="text1"/>
          <w:szCs w:val="20"/>
        </w:rPr>
      </w:pPr>
      <w:r w:rsidRPr="00F2285D">
        <w:rPr>
          <w:rFonts w:ascii="Times New Roman" w:hAnsi="Times New Roman" w:cs="Times New Roman"/>
          <w:iCs/>
          <w:color w:val="000000" w:themeColor="text1"/>
          <w:szCs w:val="20"/>
        </w:rPr>
        <w:t>Note: The evidence streams are compared through triangulation but are not pooled into a single prevalence estimate.</w:t>
      </w:r>
    </w:p>
    <w:p w14:paraId="68DFBE45" w14:textId="77777777" w:rsidR="00F2285D" w:rsidRDefault="00F2285D" w:rsidP="00F2285D">
      <w:pPr>
        <w:spacing w:after="0"/>
        <w:ind w:firstLine="720"/>
        <w:rPr>
          <w:rFonts w:ascii="Times New Roman" w:hAnsi="Times New Roman" w:cs="Times New Roman"/>
          <w:color w:val="000000" w:themeColor="text1"/>
          <w:sz w:val="24"/>
          <w:szCs w:val="24"/>
        </w:rPr>
      </w:pPr>
    </w:p>
    <w:p w14:paraId="02BB821D" w14:textId="1F61A2E3" w:rsidR="008770FC" w:rsidRPr="007A7DBF" w:rsidRDefault="00F2285D" w:rsidP="008770FC">
      <w:pPr>
        <w:spacing w:after="0"/>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should be noted that c</w:t>
      </w:r>
      <w:r w:rsidR="008770FC">
        <w:rPr>
          <w:rFonts w:ascii="Times New Roman" w:hAnsi="Times New Roman" w:cs="Times New Roman"/>
          <w:color w:val="000000" w:themeColor="text1"/>
          <w:sz w:val="24"/>
          <w:szCs w:val="24"/>
        </w:rPr>
        <w:t xml:space="preserve">ross-source validation was used to </w:t>
      </w:r>
      <w:r w:rsidR="008770FC" w:rsidRPr="008770FC">
        <w:rPr>
          <w:rFonts w:ascii="Times New Roman" w:hAnsi="Times New Roman" w:cs="Times New Roman"/>
          <w:color w:val="000000" w:themeColor="text1"/>
          <w:sz w:val="24"/>
          <w:szCs w:val="24"/>
        </w:rPr>
        <w:t>assess</w:t>
      </w:r>
      <w:r w:rsidR="008770FC">
        <w:rPr>
          <w:rFonts w:ascii="Times New Roman" w:hAnsi="Times New Roman" w:cs="Times New Roman"/>
          <w:color w:val="000000" w:themeColor="text1"/>
          <w:sz w:val="24"/>
          <w:szCs w:val="24"/>
        </w:rPr>
        <w:t xml:space="preserve"> the</w:t>
      </w:r>
      <w:r>
        <w:rPr>
          <w:rFonts w:ascii="Times New Roman" w:hAnsi="Times New Roman" w:cs="Times New Roman"/>
          <w:color w:val="000000" w:themeColor="text1"/>
          <w:sz w:val="24"/>
          <w:szCs w:val="24"/>
        </w:rPr>
        <w:t xml:space="preserve"> public narrative</w:t>
      </w:r>
      <w:r w:rsidR="008770FC">
        <w:rPr>
          <w:rFonts w:ascii="Times New Roman" w:hAnsi="Times New Roman" w:cs="Times New Roman"/>
          <w:color w:val="000000" w:themeColor="text1"/>
          <w:sz w:val="24"/>
          <w:szCs w:val="24"/>
        </w:rPr>
        <w:t xml:space="preserve"> data using the actual AV rider sentiment data</w:t>
      </w:r>
      <w:r w:rsidR="008770FC" w:rsidRPr="008770FC">
        <w:rPr>
          <w:rFonts w:ascii="Times New Roman" w:hAnsi="Times New Roman" w:cs="Times New Roman"/>
          <w:color w:val="000000" w:themeColor="text1"/>
          <w:sz w:val="24"/>
          <w:szCs w:val="24"/>
        </w:rPr>
        <w:t xml:space="preserve"> at the category level rather than through record-level prediction accuracy. The objective was to determine whether the public-narrative workflow recovered the same classes of concerns observed in the rider dataset, including vehicle behavior, incident response, emotional comfort, nighttime mobility, pickup/drop-off performance, and routing reliability. Because the sources differ in sampling frame and unit of observation, the analysis does not treat agreement as statistical equivalence. Instead, convergence is interpreted as evidence that public narratives can identify operational issue categories that also appear in direct rider experience.</w:t>
      </w:r>
    </w:p>
    <w:p w14:paraId="4BDE916A" w14:textId="3561B808" w:rsidR="008770FC"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lastRenderedPageBreak/>
        <w:t>The primary</w:t>
      </w:r>
      <w:r w:rsidR="008770FC">
        <w:rPr>
          <w:rFonts w:ascii="Times New Roman" w:hAnsi="Times New Roman" w:cs="Times New Roman"/>
          <w:color w:val="000000" w:themeColor="text1"/>
          <w:sz w:val="24"/>
          <w:szCs w:val="24"/>
        </w:rPr>
        <w:t xml:space="preserve"> user</w:t>
      </w:r>
      <w:r w:rsidRPr="007A7DBF">
        <w:rPr>
          <w:rFonts w:ascii="Times New Roman" w:hAnsi="Times New Roman" w:cs="Times New Roman"/>
          <w:color w:val="000000" w:themeColor="text1"/>
          <w:sz w:val="24"/>
          <w:szCs w:val="24"/>
        </w:rPr>
        <w:t xml:space="preserve"> dataset </w:t>
      </w:r>
      <w:r w:rsidR="008770FC">
        <w:rPr>
          <w:rFonts w:ascii="Times New Roman" w:hAnsi="Times New Roman" w:cs="Times New Roman"/>
          <w:color w:val="000000" w:themeColor="text1"/>
          <w:sz w:val="24"/>
          <w:szCs w:val="24"/>
        </w:rPr>
        <w:t xml:space="preserve">for this </w:t>
      </w:r>
      <w:r w:rsidRPr="007A7DBF">
        <w:rPr>
          <w:rFonts w:ascii="Times New Roman" w:hAnsi="Times New Roman" w:cs="Times New Roman"/>
          <w:color w:val="000000" w:themeColor="text1"/>
          <w:sz w:val="24"/>
          <w:szCs w:val="24"/>
        </w:rPr>
        <w:t>originated in the Cruise Research Rider Program conducted with the University of San Francisco during 2021–2022</w:t>
      </w:r>
      <w:r w:rsidR="003E64BD">
        <w:rPr>
          <w:rFonts w:ascii="Times New Roman" w:hAnsi="Times New Roman" w:cs="Times New Roman"/>
          <w:color w:val="000000" w:themeColor="text1"/>
          <w:sz w:val="24"/>
          <w:szCs w:val="24"/>
        </w:rPr>
        <w:t>.</w:t>
      </w:r>
      <w:r w:rsidR="008770FC">
        <w:rPr>
          <w:rFonts w:ascii="Times New Roman" w:hAnsi="Times New Roman" w:cs="Times New Roman"/>
          <w:color w:val="000000" w:themeColor="text1"/>
          <w:sz w:val="24"/>
          <w:szCs w:val="24"/>
        </w:rPr>
        <w:t xml:space="preserve"> </w:t>
      </w:r>
      <w:r w:rsidRPr="007A7DBF">
        <w:rPr>
          <w:rFonts w:ascii="Times New Roman" w:hAnsi="Times New Roman" w:cs="Times New Roman"/>
          <w:color w:val="000000" w:themeColor="text1"/>
          <w:sz w:val="24"/>
          <w:szCs w:val="24"/>
        </w:rPr>
        <w:t>Cruise operated fully driverless rides within a restricted western San Francisco operational design domain, initially during late-night and off-peak periods when transit service was limited. The audited analytical sample contains 23 riders who completed 41 rides and 140 eligible participants who did not complete a ride. Test records and an author response were excluded before analysis.</w:t>
      </w:r>
    </w:p>
    <w:p w14:paraId="2171EF60" w14:textId="77777777" w:rsidR="004E1040" w:rsidRDefault="004E1040" w:rsidP="008770FC">
      <w:pPr>
        <w:spacing w:after="0"/>
        <w:ind w:firstLine="720"/>
        <w:rPr>
          <w:rFonts w:ascii="Times New Roman" w:hAnsi="Times New Roman" w:cs="Times New Roman"/>
          <w:color w:val="000000" w:themeColor="text1"/>
          <w:sz w:val="24"/>
          <w:szCs w:val="24"/>
        </w:rPr>
      </w:pPr>
    </w:p>
    <w:p w14:paraId="5C15FFA0" w14:textId="575A8F54" w:rsidR="003E64BD" w:rsidRDefault="003E64BD" w:rsidP="003E64BD">
      <w:pPr>
        <w:spacing w:after="0"/>
        <w:rPr>
          <w:rFonts w:ascii="Times New Roman" w:hAnsi="Times New Roman" w:cs="Times New Roman"/>
          <w:color w:val="000000" w:themeColor="text1"/>
          <w:sz w:val="24"/>
          <w:szCs w:val="24"/>
        </w:rPr>
      </w:pPr>
      <w:r w:rsidRPr="003E64BD">
        <w:rPr>
          <w:rFonts w:ascii="Times New Roman" w:hAnsi="Times New Roman" w:cs="Times New Roman"/>
          <w:noProof/>
          <w:color w:val="000000" w:themeColor="text1"/>
          <w:sz w:val="24"/>
          <w:szCs w:val="24"/>
        </w:rPr>
        <w:drawing>
          <wp:inline distT="0" distB="0" distL="0" distR="0" wp14:anchorId="2BE84E5A" wp14:editId="7EE2886E">
            <wp:extent cx="5943600" cy="3987384"/>
            <wp:effectExtent l="0" t="0" r="0" b="635"/>
            <wp:docPr id="23750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8212" name=""/>
                    <pic:cNvPicPr/>
                  </pic:nvPicPr>
                  <pic:blipFill rotWithShape="1">
                    <a:blip r:embed="rId10"/>
                    <a:srcRect b="16175"/>
                    <a:stretch>
                      <a:fillRect/>
                    </a:stretch>
                  </pic:blipFill>
                  <pic:spPr bwMode="auto">
                    <a:xfrm>
                      <a:off x="0" y="0"/>
                      <a:ext cx="5943600" cy="3987384"/>
                    </a:xfrm>
                    <a:prstGeom prst="rect">
                      <a:avLst/>
                    </a:prstGeom>
                    <a:ln>
                      <a:noFill/>
                    </a:ln>
                    <a:extLst>
                      <a:ext uri="{53640926-AAD7-44D8-BBD7-CCE9431645EC}">
                        <a14:shadowObscured xmlns:a14="http://schemas.microsoft.com/office/drawing/2010/main"/>
                      </a:ext>
                    </a:extLst>
                  </pic:spPr>
                </pic:pic>
              </a:graphicData>
            </a:graphic>
          </wp:inline>
        </w:drawing>
      </w:r>
    </w:p>
    <w:p w14:paraId="6A006655" w14:textId="28EEA424" w:rsidR="004E1040" w:rsidRPr="004E1040" w:rsidRDefault="004E1040" w:rsidP="004E1040">
      <w:pPr>
        <w:spacing w:after="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br/>
      </w:r>
      <w:r w:rsidRPr="004E1040">
        <w:rPr>
          <w:rFonts w:ascii="Times New Roman" w:hAnsi="Times New Roman" w:cs="Times New Roman"/>
          <w:b/>
          <w:bCs/>
          <w:color w:val="000000" w:themeColor="text1"/>
          <w:sz w:val="24"/>
          <w:szCs w:val="24"/>
        </w:rPr>
        <w:t xml:space="preserve">FIGURE </w:t>
      </w:r>
      <w:r w:rsidR="008A5600">
        <w:rPr>
          <w:rFonts w:ascii="Times New Roman" w:hAnsi="Times New Roman" w:cs="Times New Roman"/>
          <w:b/>
          <w:bCs/>
          <w:color w:val="000000" w:themeColor="text1"/>
          <w:sz w:val="24"/>
          <w:szCs w:val="24"/>
        </w:rPr>
        <w:t>1</w:t>
      </w:r>
      <w:r w:rsidRPr="004E1040">
        <w:rPr>
          <w:rFonts w:ascii="Times New Roman" w:hAnsi="Times New Roman" w:cs="Times New Roman"/>
          <w:b/>
          <w:bCs/>
          <w:color w:val="000000" w:themeColor="text1"/>
          <w:sz w:val="24"/>
          <w:szCs w:val="24"/>
        </w:rPr>
        <w:t xml:space="preserve"> Spatial distribution of synthetic passenger pick-up and drop-off events in the Hayes Valley study area.</w:t>
      </w:r>
    </w:p>
    <w:p w14:paraId="2C62CD09" w14:textId="77777777" w:rsidR="004E1040" w:rsidRPr="004E1040" w:rsidRDefault="004E1040" w:rsidP="004E1040">
      <w:pPr>
        <w:spacing w:after="0"/>
        <w:rPr>
          <w:rFonts w:ascii="Times New Roman" w:hAnsi="Times New Roman" w:cs="Times New Roman"/>
          <w:color w:val="000000" w:themeColor="text1"/>
          <w:szCs w:val="20"/>
        </w:rPr>
      </w:pPr>
      <w:r w:rsidRPr="004E1040">
        <w:rPr>
          <w:rFonts w:ascii="Times New Roman" w:hAnsi="Times New Roman" w:cs="Times New Roman"/>
          <w:color w:val="000000" w:themeColor="text1"/>
          <w:szCs w:val="20"/>
        </w:rPr>
        <w:t>Note: Points represent individual synthetic events (pick-ups in blue, drop-offs in orange). The blue surface shows kernel density (events per area to illustrate spatial concentration. Generalized curb polygons (P1-P5) provide the analytical framework for assessing spatial sorting of curb activity.</w:t>
      </w:r>
    </w:p>
    <w:p w14:paraId="031C2692" w14:textId="77777777" w:rsidR="004E1040" w:rsidRDefault="004E1040" w:rsidP="00C064DC">
      <w:pPr>
        <w:spacing w:after="0"/>
        <w:ind w:firstLine="720"/>
        <w:rPr>
          <w:rFonts w:ascii="Times New Roman" w:hAnsi="Times New Roman" w:cs="Times New Roman"/>
          <w:color w:val="000000" w:themeColor="text1"/>
          <w:sz w:val="24"/>
          <w:szCs w:val="24"/>
        </w:rPr>
      </w:pPr>
    </w:p>
    <w:p w14:paraId="5C5C1880" w14:textId="03919560" w:rsidR="00C064DC" w:rsidRPr="00C064DC" w:rsidRDefault="00000000" w:rsidP="00C064D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rider survey includes trip duration, time of day, trip purpose, the mode that otherwise would have been used, reasons for selecting the service, late-night travel effects, willingness to pay, changes in views, service-value priorities, shared-ride comfort, and open-ended feedback. The non-rider records include barriers to riding, factors that might have encouraged participation, and attraction to the research program.</w:t>
      </w:r>
      <w:r w:rsidR="008770FC">
        <w:rPr>
          <w:rFonts w:ascii="Times New Roman" w:hAnsi="Times New Roman" w:cs="Times New Roman"/>
          <w:color w:val="000000" w:themeColor="text1"/>
          <w:sz w:val="24"/>
          <w:szCs w:val="24"/>
        </w:rPr>
        <w:t xml:space="preserve"> </w:t>
      </w:r>
      <w:r w:rsidR="00C064DC">
        <w:rPr>
          <w:rFonts w:ascii="Times New Roman" w:hAnsi="Times New Roman" w:cs="Times New Roman"/>
          <w:color w:val="000000" w:themeColor="text1"/>
          <w:sz w:val="24"/>
          <w:szCs w:val="24"/>
        </w:rPr>
        <w:t>It should be noted that t</w:t>
      </w:r>
      <w:r w:rsidR="00C064DC" w:rsidRPr="00C064DC">
        <w:rPr>
          <w:rFonts w:ascii="Times New Roman" w:hAnsi="Times New Roman" w:cs="Times New Roman"/>
          <w:color w:val="000000" w:themeColor="text1"/>
          <w:sz w:val="24"/>
          <w:szCs w:val="24"/>
        </w:rPr>
        <w:t xml:space="preserve">he rider sample is not intended to represent the general population. It functions as an embedded case study of early </w:t>
      </w:r>
      <w:proofErr w:type="gramStart"/>
      <w:r w:rsidR="00C064DC" w:rsidRPr="00C064DC">
        <w:rPr>
          <w:rFonts w:ascii="Times New Roman" w:hAnsi="Times New Roman" w:cs="Times New Roman"/>
          <w:color w:val="000000" w:themeColor="text1"/>
          <w:sz w:val="24"/>
          <w:szCs w:val="24"/>
        </w:rPr>
        <w:t>Level-4</w:t>
      </w:r>
      <w:proofErr w:type="gramEnd"/>
      <w:r w:rsidR="00C064DC" w:rsidRPr="00C064DC">
        <w:rPr>
          <w:rFonts w:ascii="Times New Roman" w:hAnsi="Times New Roman" w:cs="Times New Roman"/>
          <w:color w:val="000000" w:themeColor="text1"/>
          <w:sz w:val="24"/>
          <w:szCs w:val="24"/>
        </w:rPr>
        <w:t xml:space="preserve"> rider experience within a bounded operational context.</w:t>
      </w:r>
    </w:p>
    <w:p w14:paraId="3B3F27A0" w14:textId="00E1ACEA"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The public-safe dataset is maintained in an open GitHub repository and served to a Streamlit dashboard. </w:t>
      </w:r>
      <w:proofErr w:type="gramStart"/>
      <w:r w:rsidRPr="007A7DBF">
        <w:rPr>
          <w:rFonts w:ascii="Times New Roman" w:hAnsi="Times New Roman" w:cs="Times New Roman"/>
          <w:color w:val="000000" w:themeColor="text1"/>
          <w:sz w:val="24"/>
          <w:szCs w:val="24"/>
        </w:rPr>
        <w:t>Personally</w:t>
      </w:r>
      <w:proofErr w:type="gramEnd"/>
      <w:r w:rsidRPr="007A7DBF">
        <w:rPr>
          <w:rFonts w:ascii="Times New Roman" w:hAnsi="Times New Roman" w:cs="Times New Roman"/>
          <w:color w:val="000000" w:themeColor="text1"/>
          <w:sz w:val="24"/>
          <w:szCs w:val="24"/>
        </w:rPr>
        <w:t xml:space="preserve"> identifying information and raw open-ended responses are excluded from the public file. Rider locations use generalized final drop-off coordinates, whereas </w:t>
      </w:r>
      <w:r w:rsidRPr="007A7DBF">
        <w:rPr>
          <w:rFonts w:ascii="Times New Roman" w:hAnsi="Times New Roman" w:cs="Times New Roman"/>
          <w:color w:val="000000" w:themeColor="text1"/>
          <w:sz w:val="24"/>
          <w:szCs w:val="24"/>
        </w:rPr>
        <w:lastRenderedPageBreak/>
        <w:t>non-rider locations use survey-response coordinates. These locations have different meanings and are not interpreted as directly comparable trip origins or destinations.</w:t>
      </w:r>
    </w:p>
    <w:p w14:paraId="665CE6E4" w14:textId="77777777" w:rsidR="00C064DC" w:rsidRDefault="00C064DC" w:rsidP="00C064DC">
      <w:pPr>
        <w:pStyle w:val="Heading2"/>
        <w:spacing w:before="0"/>
        <w:rPr>
          <w:rFonts w:ascii="Times New Roman" w:hAnsi="Times New Roman" w:cs="Times New Roman"/>
          <w:color w:val="000000" w:themeColor="text1"/>
          <w:sz w:val="24"/>
          <w:szCs w:val="24"/>
        </w:rPr>
      </w:pPr>
    </w:p>
    <w:p w14:paraId="00DFE771" w14:textId="6954696A" w:rsidR="00A545C7" w:rsidRPr="007A7DBF" w:rsidRDefault="00000000" w:rsidP="00C064DC">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Qualitative Coding of Rider Feedback</w:t>
      </w:r>
    </w:p>
    <w:p w14:paraId="28BE8403" w14:textId="77777777" w:rsidR="00A545C7" w:rsidRPr="007A7DBF" w:rsidRDefault="00000000" w:rsidP="00C064D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Open-ended rider feedback was analyzed using structured qualitative content analysis. The unit of analysis was the discrete thematic reference rather than the participant. Responses could receive more than one code when they addressed multiple issues. Initial open coding identified descriptive and affective concepts such as slow travel, hard braking, uncertain support, nighttime security, surveillance, shared-ride discomfort, and pickup or drop-off problems. Axial coding grouped these concepts into four themes: vehicle behavior, incident response, emotional comfort, and nighttime safety. Selective coding refined the theme definitions and identified representative quotations.</w:t>
      </w:r>
    </w:p>
    <w:p w14:paraId="07B8DA43" w14:textId="05E1CCAA"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23 riders generated 37 coded references. Percentages reported for the four qualitative themes therefore use 37 references as the denominator and should not be interpreted as the percentage of riders. Direct references stated a concern or benefit explicitly. Indirect references required inference from context or affective language.</w:t>
      </w:r>
      <w:r w:rsidR="00C064DC">
        <w:rPr>
          <w:rFonts w:ascii="Times New Roman" w:hAnsi="Times New Roman" w:cs="Times New Roman"/>
          <w:color w:val="000000" w:themeColor="text1"/>
          <w:sz w:val="24"/>
          <w:szCs w:val="24"/>
        </w:rPr>
        <w:t xml:space="preserve"> </w:t>
      </w:r>
      <w:r w:rsidRPr="007A7DBF">
        <w:rPr>
          <w:rFonts w:ascii="Times New Roman" w:hAnsi="Times New Roman" w:cs="Times New Roman"/>
          <w:color w:val="000000" w:themeColor="text1"/>
          <w:sz w:val="24"/>
          <w:szCs w:val="24"/>
        </w:rPr>
        <w:t>A Weighted Concern Score was used as a descriptive sensitivity measure: WCS = 2D + I, where D is the number of direct references and I is the number of indirect references. The two-to-one weighting reflects the greater expressive salience of explicit statements, but it is not a validated psychometric scale. The score is used only to compare the ordering of themes and does not measure objective severity or population prevalence.</w:t>
      </w:r>
    </w:p>
    <w:p w14:paraId="2AF158AA" w14:textId="77777777" w:rsidR="00C064DC" w:rsidRPr="007A7DBF" w:rsidRDefault="00C064DC" w:rsidP="008770FC">
      <w:pPr>
        <w:spacing w:after="0"/>
        <w:ind w:firstLine="720"/>
        <w:rPr>
          <w:rFonts w:ascii="Times New Roman" w:hAnsi="Times New Roman" w:cs="Times New Roman"/>
          <w:color w:val="000000" w:themeColor="text1"/>
          <w:sz w:val="24"/>
          <w:szCs w:val="24"/>
        </w:rPr>
      </w:pPr>
    </w:p>
    <w:p w14:paraId="5999E9A2" w14:textId="6760992B" w:rsidR="00A545C7" w:rsidRPr="007A7DBF" w:rsidRDefault="00000000" w:rsidP="00B96198">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Structured Survey Analysis</w:t>
      </w:r>
    </w:p>
    <w:p w14:paraId="4DFD0507" w14:textId="73A502CB" w:rsidR="00A545C7" w:rsidRDefault="00000000" w:rsidP="00B96198">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Structured rider variables were summarized using counts and percentages. Because the rider sample is small, no causal or population-level inference is attempted. The analysis focuses on travel purpose, alternative mode, late-night travel change, changed views, willingness to pay, and service-value priorities.</w:t>
      </w:r>
      <w:r w:rsidR="00B96198">
        <w:rPr>
          <w:rFonts w:ascii="Times New Roman" w:hAnsi="Times New Roman" w:cs="Times New Roman"/>
          <w:color w:val="000000" w:themeColor="text1"/>
          <w:sz w:val="24"/>
          <w:szCs w:val="24"/>
        </w:rPr>
        <w:t xml:space="preserve"> </w:t>
      </w:r>
      <w:r w:rsidRPr="007A7DBF">
        <w:rPr>
          <w:rFonts w:ascii="Times New Roman" w:hAnsi="Times New Roman" w:cs="Times New Roman"/>
          <w:color w:val="000000" w:themeColor="text1"/>
          <w:sz w:val="24"/>
          <w:szCs w:val="24"/>
        </w:rPr>
        <w:t>Non-rider barriers and encouragements were summarized separately. This separation is methodologically important: blank rider fields are not treated as missing non-rider answers, and the two groups are not forced into identical variables when the survey instrument asked different follow-up questions.</w:t>
      </w:r>
    </w:p>
    <w:p w14:paraId="00D7B941" w14:textId="77777777" w:rsidR="00F2285D" w:rsidRPr="007A7DBF" w:rsidRDefault="00F2285D" w:rsidP="00B96198">
      <w:pPr>
        <w:spacing w:after="0"/>
        <w:rPr>
          <w:rFonts w:ascii="Times New Roman" w:hAnsi="Times New Roman" w:cs="Times New Roman"/>
          <w:color w:val="000000" w:themeColor="text1"/>
          <w:sz w:val="24"/>
          <w:szCs w:val="24"/>
        </w:rPr>
      </w:pPr>
    </w:p>
    <w:p w14:paraId="7EB6C9E3" w14:textId="04BFDC9F" w:rsidR="00A545C7" w:rsidRPr="007A7DBF" w:rsidRDefault="00000000" w:rsidP="00B96198">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Scenario and Sentiment Classification for the Dashboard</w:t>
      </w:r>
    </w:p>
    <w:p w14:paraId="456C07CB" w14:textId="77777777" w:rsidR="00A545C7" w:rsidRPr="007A7DBF" w:rsidRDefault="00000000" w:rsidP="00B96198">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Python workflow standardizes each public-safe record using a record identifier, source, service, respondent group, scenario, sentiment, sentiment score, generalized location, and selected structured survey fields. The dashboard scenario field is mutually exclusive at the record level and is intended for visualization. It is analytically distinct from the multi-label qualitative coding described above.</w:t>
      </w:r>
    </w:p>
    <w:p w14:paraId="5C73DA06" w14:textId="77777777"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Rule-based scenario labels include safety/trust, reliability or late-night mobility, comfort, rider experience, transit connection, barrier to riding, routing, vehicle behavior, incident response, community impact, and pickup/drop-off. Directional sentiment is coded as positive, neutral, or negative when the record provides sufficient evidence. These labels are transparent and reproducible, but they remain heuristic. They should be manually audited before use in stronger inferential applications.</w:t>
      </w:r>
    </w:p>
    <w:p w14:paraId="1C67C780" w14:textId="77777777" w:rsidR="00B96198" w:rsidRPr="007A7DBF" w:rsidRDefault="00B96198" w:rsidP="008770FC">
      <w:pPr>
        <w:spacing w:after="0"/>
        <w:ind w:firstLine="720"/>
        <w:rPr>
          <w:rFonts w:ascii="Times New Roman" w:hAnsi="Times New Roman" w:cs="Times New Roman"/>
          <w:color w:val="000000" w:themeColor="text1"/>
          <w:sz w:val="24"/>
          <w:szCs w:val="24"/>
        </w:rPr>
      </w:pPr>
    </w:p>
    <w:p w14:paraId="63800BDE" w14:textId="68310192" w:rsidR="00A545C7" w:rsidRPr="007A7DBF" w:rsidRDefault="00000000" w:rsidP="00B96198">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lastRenderedPageBreak/>
        <w:t>Geospatial and Reproducibility Workflow</w:t>
      </w:r>
    </w:p>
    <w:p w14:paraId="42542EDF" w14:textId="77777777" w:rsidR="00A545C7" w:rsidRPr="007A7DBF" w:rsidRDefault="00000000" w:rsidP="00B96198">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workflow was implemented in Python using pandas for data preparation and Streamlit and Plotly for interactive visualization. The public-facing dashboard filters by respondent group, scenario, sentiment, and San Francisco service area. It displays record counts, spatial distributions, structured rider measures, and rider/non-rider comparisons.</w:t>
      </w:r>
    </w:p>
    <w:p w14:paraId="3296F814" w14:textId="77777777"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repository at https://github.com/williamwriggs/rideshare-safety-rider-analysis serves as the reproducibility archive for the processed data and analytical workflow. A separate dashboard repository reads the public-safe CSV directly from GitHub. This architecture keeps the data transformation and presentation layers distinct while allowing updated, audited records to flow to the live application.</w:t>
      </w:r>
    </w:p>
    <w:p w14:paraId="5A1D5EB8" w14:textId="77777777" w:rsidR="00B96198" w:rsidRPr="007A7DBF" w:rsidRDefault="00B96198" w:rsidP="008770FC">
      <w:pPr>
        <w:spacing w:after="0"/>
        <w:ind w:firstLine="720"/>
        <w:rPr>
          <w:rFonts w:ascii="Times New Roman" w:hAnsi="Times New Roman" w:cs="Times New Roman"/>
          <w:color w:val="000000" w:themeColor="text1"/>
          <w:sz w:val="24"/>
          <w:szCs w:val="24"/>
        </w:rPr>
      </w:pPr>
    </w:p>
    <w:p w14:paraId="64B7F3A6" w14:textId="17DACC31" w:rsidR="00A545C7" w:rsidRPr="007A7DBF" w:rsidRDefault="00000000" w:rsidP="00B96198">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Ethics and Privacy</w:t>
      </w:r>
    </w:p>
    <w:p w14:paraId="000B2616" w14:textId="77777777" w:rsidR="00A545C7" w:rsidRDefault="00000000" w:rsidP="00B96198">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All rider data were collected under institutional research procedures and anonymized before analysis. The public-safe dataset excludes names, email addresses, and raw open-ended responses. Public narratives were paraphrased, usernames were not retained, and links were preserved for source verification. Exact home locations should not be displayed publicly, and any demographic analysis should use age bands and aggregated geography rather than birth year or precise ZIP code.</w:t>
      </w:r>
    </w:p>
    <w:p w14:paraId="64504A7A" w14:textId="77777777" w:rsidR="00B96198" w:rsidRPr="007A7DBF" w:rsidRDefault="00B96198" w:rsidP="00B96198">
      <w:pPr>
        <w:spacing w:after="0"/>
        <w:rPr>
          <w:rFonts w:ascii="Times New Roman" w:hAnsi="Times New Roman" w:cs="Times New Roman"/>
          <w:color w:val="000000" w:themeColor="text1"/>
          <w:sz w:val="24"/>
          <w:szCs w:val="24"/>
        </w:rPr>
      </w:pPr>
    </w:p>
    <w:p w14:paraId="46C0DA5B" w14:textId="52C8F564" w:rsidR="00A545C7" w:rsidRPr="007A7DBF" w:rsidRDefault="00000000" w:rsidP="00B96198">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t>RESULTS</w:t>
      </w:r>
    </w:p>
    <w:p w14:paraId="6F85B005" w14:textId="027AE3D6" w:rsidR="00A545C7" w:rsidRPr="007A7DBF" w:rsidRDefault="00000000" w:rsidP="00B96198">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Rider Travel Context</w:t>
      </w:r>
    </w:p>
    <w:p w14:paraId="76BEAAEC" w14:textId="77777777" w:rsidR="00A545C7" w:rsidRPr="007A7DBF" w:rsidRDefault="00000000" w:rsidP="00B96198">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23 riders primarily used the service for social and recreational travel. Sixteen rides were associated with social or recreational purposes, three with shopping or errands, two with other purposes, one with work, and one with school. This concentration is consistent with the late-night operating window and the role of the pilot as an optional mobility service rather than a general-purpose daytime network.</w:t>
      </w:r>
    </w:p>
    <w:p w14:paraId="0BB00A5C"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Ten riders reported that they otherwise would have used conventional rideshare, four would have used public transit, three would have walked, one would have traveled by carpool or vanpool, and five would not have made the trip. These responses indicate that the service substituted most often for app-based ridehail, but it also replaced transit and walking and generated some travel that would not otherwise have occurred.</w:t>
      </w:r>
    </w:p>
    <w:p w14:paraId="7B8A312D" w14:textId="25C0555D" w:rsidR="00A545C7" w:rsidRDefault="008D34BF" w:rsidP="008770FC">
      <w:pPr>
        <w:spacing w:after="0"/>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shown in Table </w:t>
      </w:r>
      <w:r w:rsidR="00F2285D">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f</w:t>
      </w:r>
      <w:r w:rsidRPr="007A7DBF">
        <w:rPr>
          <w:rFonts w:ascii="Times New Roman" w:hAnsi="Times New Roman" w:cs="Times New Roman"/>
          <w:color w:val="000000" w:themeColor="text1"/>
          <w:sz w:val="24"/>
          <w:szCs w:val="24"/>
        </w:rPr>
        <w:t>ourteen of 23 riders stated that the service changed their ability to travel during overnight or late-night hours. Fourteen of the 22 riders answering the attitude question reported that their views of AVs changed after participating. These findings do not establish durable acceptance, but they show that direct exposure affected both mobility options and perceptions for a substantial share of the small sample.</w:t>
      </w:r>
    </w:p>
    <w:p w14:paraId="2C067900" w14:textId="77777777" w:rsidR="008D34BF" w:rsidRPr="007A7DBF" w:rsidRDefault="008D34BF" w:rsidP="008770FC">
      <w:pPr>
        <w:spacing w:after="0"/>
        <w:ind w:firstLine="720"/>
        <w:rPr>
          <w:rFonts w:ascii="Times New Roman" w:hAnsi="Times New Roman" w:cs="Times New Roman"/>
          <w:color w:val="000000" w:themeColor="text1"/>
          <w:sz w:val="24"/>
          <w:szCs w:val="24"/>
        </w:rPr>
      </w:pPr>
    </w:p>
    <w:p w14:paraId="043A0B59" w14:textId="77777777" w:rsidR="003C2D1A" w:rsidRDefault="003C2D1A">
      <w:pPr>
        <w:spacing w:after="200" w:line="276"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F8D8FAB" w14:textId="02D0181F"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lastRenderedPageBreak/>
        <w:t xml:space="preserve">TABLE </w:t>
      </w:r>
      <w:r w:rsidR="00F2285D">
        <w:rPr>
          <w:rFonts w:ascii="Times New Roman" w:hAnsi="Times New Roman" w:cs="Times New Roman"/>
          <w:b/>
          <w:color w:val="000000" w:themeColor="text1"/>
          <w:sz w:val="24"/>
          <w:szCs w:val="24"/>
        </w:rPr>
        <w:t>3</w:t>
      </w:r>
      <w:r w:rsidRPr="007A7DBF">
        <w:rPr>
          <w:rFonts w:ascii="Times New Roman" w:hAnsi="Times New Roman" w:cs="Times New Roman"/>
          <w:b/>
          <w:color w:val="000000" w:themeColor="text1"/>
          <w:sz w:val="24"/>
          <w:szCs w:val="24"/>
        </w:rPr>
        <w:t>. Selected structured characteristics of the 23 Cruise riders</w:t>
      </w:r>
    </w:p>
    <w:tbl>
      <w:tblPr>
        <w:tblStyle w:val="TableGrid"/>
        <w:tblW w:w="0" w:type="auto"/>
        <w:tblLook w:val="04A0" w:firstRow="1" w:lastRow="0" w:firstColumn="1" w:lastColumn="0" w:noHBand="0" w:noVBand="1"/>
      </w:tblPr>
      <w:tblGrid>
        <w:gridCol w:w="2304"/>
        <w:gridCol w:w="4032"/>
        <w:gridCol w:w="1008"/>
        <w:gridCol w:w="1296"/>
      </w:tblGrid>
      <w:tr w:rsidR="00A545C7" w:rsidRPr="007A7DBF" w14:paraId="0C42CC7E" w14:textId="77777777" w:rsidTr="00B96198">
        <w:tc>
          <w:tcPr>
            <w:tcW w:w="2304" w:type="dxa"/>
          </w:tcPr>
          <w:p w14:paraId="74CD8AC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Measure</w:t>
            </w:r>
          </w:p>
        </w:tc>
        <w:tc>
          <w:tcPr>
            <w:tcW w:w="4032" w:type="dxa"/>
          </w:tcPr>
          <w:p w14:paraId="0C51F7A5"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Category</w:t>
            </w:r>
          </w:p>
        </w:tc>
        <w:tc>
          <w:tcPr>
            <w:tcW w:w="1008" w:type="dxa"/>
          </w:tcPr>
          <w:p w14:paraId="3F963874"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n</w:t>
            </w:r>
          </w:p>
        </w:tc>
        <w:tc>
          <w:tcPr>
            <w:tcW w:w="1296" w:type="dxa"/>
          </w:tcPr>
          <w:p w14:paraId="010086DF"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Percent</w:t>
            </w:r>
          </w:p>
        </w:tc>
      </w:tr>
      <w:tr w:rsidR="00A545C7" w:rsidRPr="007A7DBF" w14:paraId="0273F2E9" w14:textId="77777777" w:rsidTr="00B96198">
        <w:tc>
          <w:tcPr>
            <w:tcW w:w="2304" w:type="dxa"/>
          </w:tcPr>
          <w:p w14:paraId="79ABA914" w14:textId="77777777" w:rsidR="00A545C7" w:rsidRPr="00B96198" w:rsidRDefault="00000000" w:rsidP="008770FC">
            <w:pPr>
              <w:spacing w:after="0"/>
              <w:rPr>
                <w:rFonts w:ascii="Times New Roman" w:hAnsi="Times New Roman" w:cs="Times New Roman"/>
                <w:b/>
                <w:bCs/>
                <w:color w:val="000000" w:themeColor="text1"/>
                <w:sz w:val="24"/>
                <w:szCs w:val="24"/>
              </w:rPr>
            </w:pPr>
            <w:r w:rsidRPr="00B96198">
              <w:rPr>
                <w:rFonts w:ascii="Times New Roman" w:hAnsi="Times New Roman" w:cs="Times New Roman"/>
                <w:b/>
                <w:bCs/>
                <w:color w:val="000000" w:themeColor="text1"/>
                <w:sz w:val="24"/>
                <w:szCs w:val="24"/>
              </w:rPr>
              <w:t>Trip purpose</w:t>
            </w:r>
          </w:p>
        </w:tc>
        <w:tc>
          <w:tcPr>
            <w:tcW w:w="4032" w:type="dxa"/>
          </w:tcPr>
          <w:p w14:paraId="49826F85"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Social/recreation</w:t>
            </w:r>
          </w:p>
        </w:tc>
        <w:tc>
          <w:tcPr>
            <w:tcW w:w="1008" w:type="dxa"/>
          </w:tcPr>
          <w:p w14:paraId="2BFD1E2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16</w:t>
            </w:r>
          </w:p>
        </w:tc>
        <w:tc>
          <w:tcPr>
            <w:tcW w:w="1296" w:type="dxa"/>
          </w:tcPr>
          <w:p w14:paraId="287A9A08"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69.6</w:t>
            </w:r>
          </w:p>
        </w:tc>
      </w:tr>
      <w:tr w:rsidR="00A545C7" w:rsidRPr="007A7DBF" w14:paraId="05F8C10C" w14:textId="77777777" w:rsidTr="00B96198">
        <w:tc>
          <w:tcPr>
            <w:tcW w:w="2304" w:type="dxa"/>
          </w:tcPr>
          <w:p w14:paraId="353A8B7E"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2206391E"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Shop/errands</w:t>
            </w:r>
          </w:p>
        </w:tc>
        <w:tc>
          <w:tcPr>
            <w:tcW w:w="1008" w:type="dxa"/>
          </w:tcPr>
          <w:p w14:paraId="63CA044B"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w:t>
            </w:r>
          </w:p>
        </w:tc>
        <w:tc>
          <w:tcPr>
            <w:tcW w:w="1296" w:type="dxa"/>
          </w:tcPr>
          <w:p w14:paraId="5813ADA0"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13.0</w:t>
            </w:r>
          </w:p>
        </w:tc>
      </w:tr>
      <w:tr w:rsidR="00A545C7" w:rsidRPr="007A7DBF" w14:paraId="1589849A" w14:textId="77777777" w:rsidTr="00B96198">
        <w:tc>
          <w:tcPr>
            <w:tcW w:w="2304" w:type="dxa"/>
          </w:tcPr>
          <w:p w14:paraId="3312AEBE"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6EC69081"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Other</w:t>
            </w:r>
          </w:p>
        </w:tc>
        <w:tc>
          <w:tcPr>
            <w:tcW w:w="1008" w:type="dxa"/>
          </w:tcPr>
          <w:p w14:paraId="52A28AC4"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w:t>
            </w:r>
          </w:p>
        </w:tc>
        <w:tc>
          <w:tcPr>
            <w:tcW w:w="1296" w:type="dxa"/>
          </w:tcPr>
          <w:p w14:paraId="40B25C3E"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8.7</w:t>
            </w:r>
          </w:p>
        </w:tc>
      </w:tr>
      <w:tr w:rsidR="00A545C7" w:rsidRPr="007A7DBF" w14:paraId="2939DECB" w14:textId="77777777" w:rsidTr="00B96198">
        <w:tc>
          <w:tcPr>
            <w:tcW w:w="2304" w:type="dxa"/>
          </w:tcPr>
          <w:p w14:paraId="57B0C5C3"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339F9E0F"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Work</w:t>
            </w:r>
          </w:p>
        </w:tc>
        <w:tc>
          <w:tcPr>
            <w:tcW w:w="1008" w:type="dxa"/>
          </w:tcPr>
          <w:p w14:paraId="0D7F859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w:t>
            </w:r>
          </w:p>
        </w:tc>
        <w:tc>
          <w:tcPr>
            <w:tcW w:w="1296" w:type="dxa"/>
          </w:tcPr>
          <w:p w14:paraId="703480B0"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4.3</w:t>
            </w:r>
          </w:p>
        </w:tc>
      </w:tr>
      <w:tr w:rsidR="00A545C7" w:rsidRPr="007A7DBF" w14:paraId="74730962" w14:textId="77777777" w:rsidTr="00B96198">
        <w:tc>
          <w:tcPr>
            <w:tcW w:w="2304" w:type="dxa"/>
          </w:tcPr>
          <w:p w14:paraId="2C24D927"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1CAB8AFB"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School</w:t>
            </w:r>
          </w:p>
        </w:tc>
        <w:tc>
          <w:tcPr>
            <w:tcW w:w="1008" w:type="dxa"/>
          </w:tcPr>
          <w:p w14:paraId="7BFF828A"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w:t>
            </w:r>
          </w:p>
        </w:tc>
        <w:tc>
          <w:tcPr>
            <w:tcW w:w="1296" w:type="dxa"/>
          </w:tcPr>
          <w:p w14:paraId="143FF3A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4.3</w:t>
            </w:r>
          </w:p>
        </w:tc>
      </w:tr>
      <w:tr w:rsidR="00A545C7" w:rsidRPr="007A7DBF" w14:paraId="570859DB" w14:textId="77777777" w:rsidTr="00B96198">
        <w:tc>
          <w:tcPr>
            <w:tcW w:w="2304" w:type="dxa"/>
          </w:tcPr>
          <w:p w14:paraId="7C3BEBE2" w14:textId="77777777" w:rsidR="00A545C7" w:rsidRPr="00B96198" w:rsidRDefault="00000000" w:rsidP="008770FC">
            <w:pPr>
              <w:spacing w:after="0"/>
              <w:rPr>
                <w:rFonts w:ascii="Times New Roman" w:hAnsi="Times New Roman" w:cs="Times New Roman"/>
                <w:b/>
                <w:bCs/>
                <w:color w:val="000000" w:themeColor="text1"/>
                <w:sz w:val="24"/>
                <w:szCs w:val="24"/>
              </w:rPr>
            </w:pPr>
            <w:r w:rsidRPr="00B96198">
              <w:rPr>
                <w:rFonts w:ascii="Times New Roman" w:hAnsi="Times New Roman" w:cs="Times New Roman"/>
                <w:b/>
                <w:bCs/>
                <w:color w:val="000000" w:themeColor="text1"/>
                <w:sz w:val="24"/>
                <w:szCs w:val="24"/>
              </w:rPr>
              <w:t>Alternative mode</w:t>
            </w:r>
          </w:p>
        </w:tc>
        <w:tc>
          <w:tcPr>
            <w:tcW w:w="4032" w:type="dxa"/>
          </w:tcPr>
          <w:p w14:paraId="21D543E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Rideshare</w:t>
            </w:r>
          </w:p>
        </w:tc>
        <w:tc>
          <w:tcPr>
            <w:tcW w:w="1008" w:type="dxa"/>
          </w:tcPr>
          <w:p w14:paraId="0D9A9FB5"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10</w:t>
            </w:r>
          </w:p>
        </w:tc>
        <w:tc>
          <w:tcPr>
            <w:tcW w:w="1296" w:type="dxa"/>
          </w:tcPr>
          <w:p w14:paraId="7FED8B5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43.5</w:t>
            </w:r>
          </w:p>
        </w:tc>
      </w:tr>
      <w:tr w:rsidR="00A545C7" w:rsidRPr="007A7DBF" w14:paraId="149DA4FC" w14:textId="77777777" w:rsidTr="00B96198">
        <w:tc>
          <w:tcPr>
            <w:tcW w:w="2304" w:type="dxa"/>
          </w:tcPr>
          <w:p w14:paraId="766C1620"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2B99B539"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Would not have made trip</w:t>
            </w:r>
          </w:p>
        </w:tc>
        <w:tc>
          <w:tcPr>
            <w:tcW w:w="1008" w:type="dxa"/>
          </w:tcPr>
          <w:p w14:paraId="42CA1F41"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5</w:t>
            </w:r>
          </w:p>
        </w:tc>
        <w:tc>
          <w:tcPr>
            <w:tcW w:w="1296" w:type="dxa"/>
          </w:tcPr>
          <w:p w14:paraId="5F1DC865"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21.7</w:t>
            </w:r>
          </w:p>
        </w:tc>
      </w:tr>
      <w:tr w:rsidR="00A545C7" w:rsidRPr="007A7DBF" w14:paraId="353D223E" w14:textId="77777777" w:rsidTr="00B96198">
        <w:tc>
          <w:tcPr>
            <w:tcW w:w="2304" w:type="dxa"/>
          </w:tcPr>
          <w:p w14:paraId="7ECF064C"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67319EFF"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Public transit</w:t>
            </w:r>
          </w:p>
        </w:tc>
        <w:tc>
          <w:tcPr>
            <w:tcW w:w="1008" w:type="dxa"/>
          </w:tcPr>
          <w:p w14:paraId="75AD938C"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4</w:t>
            </w:r>
          </w:p>
        </w:tc>
        <w:tc>
          <w:tcPr>
            <w:tcW w:w="1296" w:type="dxa"/>
          </w:tcPr>
          <w:p w14:paraId="1F0245D1"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17.4</w:t>
            </w:r>
          </w:p>
        </w:tc>
      </w:tr>
      <w:tr w:rsidR="00A545C7" w:rsidRPr="007A7DBF" w14:paraId="137CA1A8" w14:textId="77777777" w:rsidTr="00B96198">
        <w:tc>
          <w:tcPr>
            <w:tcW w:w="2304" w:type="dxa"/>
          </w:tcPr>
          <w:p w14:paraId="05576AA9"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05A38979"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Walk</w:t>
            </w:r>
          </w:p>
        </w:tc>
        <w:tc>
          <w:tcPr>
            <w:tcW w:w="1008" w:type="dxa"/>
          </w:tcPr>
          <w:p w14:paraId="6DDDA3A5"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w:t>
            </w:r>
          </w:p>
        </w:tc>
        <w:tc>
          <w:tcPr>
            <w:tcW w:w="1296" w:type="dxa"/>
          </w:tcPr>
          <w:p w14:paraId="6ADBF61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13.0</w:t>
            </w:r>
          </w:p>
        </w:tc>
      </w:tr>
      <w:tr w:rsidR="00A545C7" w:rsidRPr="007A7DBF" w14:paraId="1DD54955" w14:textId="77777777" w:rsidTr="00B96198">
        <w:tc>
          <w:tcPr>
            <w:tcW w:w="2304" w:type="dxa"/>
          </w:tcPr>
          <w:p w14:paraId="2F5260A8"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0652D078"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Carpool/vanpool</w:t>
            </w:r>
          </w:p>
        </w:tc>
        <w:tc>
          <w:tcPr>
            <w:tcW w:w="1008" w:type="dxa"/>
          </w:tcPr>
          <w:p w14:paraId="3214515A"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w:t>
            </w:r>
          </w:p>
        </w:tc>
        <w:tc>
          <w:tcPr>
            <w:tcW w:w="1296" w:type="dxa"/>
          </w:tcPr>
          <w:p w14:paraId="5081C7A8"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4.3</w:t>
            </w:r>
          </w:p>
        </w:tc>
      </w:tr>
      <w:tr w:rsidR="00A545C7" w:rsidRPr="007A7DBF" w14:paraId="2B00B91F" w14:textId="77777777" w:rsidTr="00B96198">
        <w:tc>
          <w:tcPr>
            <w:tcW w:w="2304" w:type="dxa"/>
          </w:tcPr>
          <w:p w14:paraId="1A6AF86E" w14:textId="77777777" w:rsidR="00A545C7" w:rsidRPr="00B96198" w:rsidRDefault="00000000" w:rsidP="008770FC">
            <w:pPr>
              <w:spacing w:after="0"/>
              <w:rPr>
                <w:rFonts w:ascii="Times New Roman" w:hAnsi="Times New Roman" w:cs="Times New Roman"/>
                <w:b/>
                <w:bCs/>
                <w:color w:val="000000" w:themeColor="text1"/>
                <w:sz w:val="24"/>
                <w:szCs w:val="24"/>
              </w:rPr>
            </w:pPr>
            <w:r w:rsidRPr="00B96198">
              <w:rPr>
                <w:rFonts w:ascii="Times New Roman" w:hAnsi="Times New Roman" w:cs="Times New Roman"/>
                <w:b/>
                <w:bCs/>
                <w:color w:val="000000" w:themeColor="text1"/>
                <w:sz w:val="24"/>
                <w:szCs w:val="24"/>
              </w:rPr>
              <w:t>Late-night ability</w:t>
            </w:r>
          </w:p>
        </w:tc>
        <w:tc>
          <w:tcPr>
            <w:tcW w:w="4032" w:type="dxa"/>
          </w:tcPr>
          <w:p w14:paraId="14C9506E"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Changed</w:t>
            </w:r>
          </w:p>
        </w:tc>
        <w:tc>
          <w:tcPr>
            <w:tcW w:w="1008" w:type="dxa"/>
          </w:tcPr>
          <w:p w14:paraId="0A1F55D8"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14</w:t>
            </w:r>
          </w:p>
        </w:tc>
        <w:tc>
          <w:tcPr>
            <w:tcW w:w="1296" w:type="dxa"/>
          </w:tcPr>
          <w:p w14:paraId="6F2CF6B0"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60.9</w:t>
            </w:r>
          </w:p>
        </w:tc>
      </w:tr>
      <w:tr w:rsidR="00A545C7" w:rsidRPr="007A7DBF" w14:paraId="2662E99A" w14:textId="77777777" w:rsidTr="00B96198">
        <w:tc>
          <w:tcPr>
            <w:tcW w:w="2304" w:type="dxa"/>
          </w:tcPr>
          <w:p w14:paraId="55CAA56A"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5A38B47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Did not change</w:t>
            </w:r>
          </w:p>
        </w:tc>
        <w:tc>
          <w:tcPr>
            <w:tcW w:w="1008" w:type="dxa"/>
          </w:tcPr>
          <w:p w14:paraId="4C7014B8"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9</w:t>
            </w:r>
          </w:p>
        </w:tc>
        <w:tc>
          <w:tcPr>
            <w:tcW w:w="1296" w:type="dxa"/>
          </w:tcPr>
          <w:p w14:paraId="02D7A85F"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39.1</w:t>
            </w:r>
          </w:p>
        </w:tc>
      </w:tr>
      <w:tr w:rsidR="00A545C7" w:rsidRPr="007A7DBF" w14:paraId="07E15672" w14:textId="77777777" w:rsidTr="00B96198">
        <w:tc>
          <w:tcPr>
            <w:tcW w:w="2304" w:type="dxa"/>
          </w:tcPr>
          <w:p w14:paraId="3BA88F6A" w14:textId="77777777" w:rsidR="00A545C7" w:rsidRPr="00B96198" w:rsidRDefault="00000000" w:rsidP="008770FC">
            <w:pPr>
              <w:spacing w:after="0"/>
              <w:rPr>
                <w:rFonts w:ascii="Times New Roman" w:hAnsi="Times New Roman" w:cs="Times New Roman"/>
                <w:b/>
                <w:bCs/>
                <w:color w:val="000000" w:themeColor="text1"/>
                <w:sz w:val="24"/>
                <w:szCs w:val="24"/>
              </w:rPr>
            </w:pPr>
            <w:r w:rsidRPr="00B96198">
              <w:rPr>
                <w:rFonts w:ascii="Times New Roman" w:hAnsi="Times New Roman" w:cs="Times New Roman"/>
                <w:b/>
                <w:bCs/>
                <w:color w:val="000000" w:themeColor="text1"/>
                <w:sz w:val="24"/>
                <w:szCs w:val="24"/>
              </w:rPr>
              <w:t>Views after participation</w:t>
            </w:r>
          </w:p>
        </w:tc>
        <w:tc>
          <w:tcPr>
            <w:tcW w:w="4032" w:type="dxa"/>
          </w:tcPr>
          <w:p w14:paraId="4C92B783"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Changed</w:t>
            </w:r>
          </w:p>
        </w:tc>
        <w:tc>
          <w:tcPr>
            <w:tcW w:w="1008" w:type="dxa"/>
          </w:tcPr>
          <w:p w14:paraId="33970CE9"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14</w:t>
            </w:r>
          </w:p>
        </w:tc>
        <w:tc>
          <w:tcPr>
            <w:tcW w:w="1296" w:type="dxa"/>
          </w:tcPr>
          <w:p w14:paraId="44D704D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63.6</w:t>
            </w:r>
          </w:p>
        </w:tc>
      </w:tr>
      <w:tr w:rsidR="00A545C7" w:rsidRPr="007A7DBF" w14:paraId="76BCFB5B" w14:textId="77777777" w:rsidTr="00B96198">
        <w:tc>
          <w:tcPr>
            <w:tcW w:w="2304" w:type="dxa"/>
          </w:tcPr>
          <w:p w14:paraId="6ABDF894" w14:textId="77777777" w:rsidR="00A545C7" w:rsidRPr="007A7DBF" w:rsidRDefault="00A545C7" w:rsidP="008770FC">
            <w:pPr>
              <w:spacing w:after="0"/>
              <w:rPr>
                <w:rFonts w:ascii="Times New Roman" w:hAnsi="Times New Roman" w:cs="Times New Roman"/>
                <w:color w:val="000000" w:themeColor="text1"/>
                <w:sz w:val="24"/>
                <w:szCs w:val="24"/>
              </w:rPr>
            </w:pPr>
          </w:p>
        </w:tc>
        <w:tc>
          <w:tcPr>
            <w:tcW w:w="4032" w:type="dxa"/>
          </w:tcPr>
          <w:p w14:paraId="14F62334"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Did not change</w:t>
            </w:r>
          </w:p>
        </w:tc>
        <w:tc>
          <w:tcPr>
            <w:tcW w:w="1008" w:type="dxa"/>
          </w:tcPr>
          <w:p w14:paraId="41B148C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8</w:t>
            </w:r>
          </w:p>
        </w:tc>
        <w:tc>
          <w:tcPr>
            <w:tcW w:w="1296" w:type="dxa"/>
          </w:tcPr>
          <w:p w14:paraId="4941A753"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36.4</w:t>
            </w:r>
          </w:p>
        </w:tc>
      </w:tr>
    </w:tbl>
    <w:p w14:paraId="4B03DAF4" w14:textId="31CF91FD" w:rsidR="00A545C7" w:rsidRPr="00F2285D" w:rsidRDefault="00B96198" w:rsidP="008770FC">
      <w:pPr>
        <w:spacing w:after="0"/>
        <w:rPr>
          <w:rFonts w:ascii="Times New Roman" w:hAnsi="Times New Roman" w:cs="Times New Roman"/>
          <w:iCs/>
          <w:color w:val="000000" w:themeColor="text1"/>
          <w:szCs w:val="20"/>
        </w:rPr>
      </w:pPr>
      <w:r w:rsidRPr="00F2285D">
        <w:rPr>
          <w:rFonts w:ascii="Times New Roman" w:hAnsi="Times New Roman" w:cs="Times New Roman"/>
          <w:iCs/>
          <w:color w:val="000000" w:themeColor="text1"/>
          <w:szCs w:val="20"/>
        </w:rPr>
        <w:t>Note: Percentages for changed views use 22 valid responses; all other percentages use 23 riders.</w:t>
      </w:r>
    </w:p>
    <w:p w14:paraId="3BB43B52" w14:textId="77777777" w:rsidR="00B96198" w:rsidRDefault="00B96198" w:rsidP="00B96198">
      <w:pPr>
        <w:pStyle w:val="Heading2"/>
        <w:spacing w:before="0"/>
        <w:rPr>
          <w:rFonts w:ascii="Times New Roman" w:hAnsi="Times New Roman" w:cs="Times New Roman"/>
          <w:color w:val="000000" w:themeColor="text1"/>
          <w:sz w:val="24"/>
          <w:szCs w:val="24"/>
        </w:rPr>
      </w:pPr>
    </w:p>
    <w:p w14:paraId="6DF39715" w14:textId="2BBAE371" w:rsidR="00A545C7" w:rsidRPr="007A7DBF" w:rsidRDefault="00000000" w:rsidP="00B96198">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What Riders Valued</w:t>
      </w:r>
    </w:p>
    <w:p w14:paraId="34F7F5AB" w14:textId="77777777" w:rsidR="00A545C7" w:rsidRPr="007A7DBF" w:rsidRDefault="00000000" w:rsidP="00B96198">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Riders evaluated the service through a bundle of attributes rather than through safety alone. Free rides, novelty, fun, comfort, reliability, not needing to park, and perceived safety all appeared in the choice-factor responses. This matters because technical safety may be a necessary condition for adoption, but riders still compare the service with alternatives on time, price, convenience, and emotional effort.</w:t>
      </w:r>
    </w:p>
    <w:p w14:paraId="27987052"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Willingness to pay was dispersed. Five riders selected $10 or more, five selected $8–9, four selected $3–4, and the remaining responses were distributed across intermediate categories. The comments make clear that willingness to pay was conditional on route efficiency. One respondent objected to paying an Uber-comparable fare for a longer and more convoluted trip. This is a useful reminder that perceived safety does not insulate a service from ordinary consumer expectations.</w:t>
      </w:r>
    </w:p>
    <w:p w14:paraId="1E19D368" w14:textId="77777777"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Service distribution was the most consistently valued policy attribute: all 21 riders who answered that item considered good distribution across the city very important. Transit connectivity was also important to most respondents, while accessibility responses were more varied. These findings support viewing robotaxis as networked urban services rather than as isolated vehicles.</w:t>
      </w:r>
    </w:p>
    <w:p w14:paraId="71AC76FF" w14:textId="77777777" w:rsidR="008D34BF" w:rsidRPr="007A7DBF" w:rsidRDefault="008D34BF" w:rsidP="008770FC">
      <w:pPr>
        <w:spacing w:after="0"/>
        <w:ind w:firstLine="720"/>
        <w:rPr>
          <w:rFonts w:ascii="Times New Roman" w:hAnsi="Times New Roman" w:cs="Times New Roman"/>
          <w:color w:val="000000" w:themeColor="text1"/>
          <w:sz w:val="24"/>
          <w:szCs w:val="24"/>
        </w:rPr>
      </w:pPr>
    </w:p>
    <w:p w14:paraId="1C8B7AE3" w14:textId="77777777" w:rsidR="008D34BF" w:rsidRDefault="008D34BF" w:rsidP="008770FC">
      <w:pPr>
        <w:pStyle w:val="Heading2"/>
        <w:spacing w:before="0"/>
        <w:rPr>
          <w:rFonts w:ascii="Times New Roman" w:hAnsi="Times New Roman" w:cs="Times New Roman"/>
          <w:color w:val="000000" w:themeColor="text1"/>
          <w:sz w:val="24"/>
          <w:szCs w:val="24"/>
        </w:rPr>
      </w:pPr>
    </w:p>
    <w:p w14:paraId="6AA4B7EE" w14:textId="77777777" w:rsidR="008D34BF" w:rsidRDefault="008D34BF" w:rsidP="008770FC">
      <w:pPr>
        <w:pStyle w:val="Heading2"/>
        <w:spacing w:before="0"/>
        <w:rPr>
          <w:rFonts w:ascii="Times New Roman" w:hAnsi="Times New Roman" w:cs="Times New Roman"/>
          <w:color w:val="000000" w:themeColor="text1"/>
          <w:sz w:val="24"/>
          <w:szCs w:val="24"/>
        </w:rPr>
        <w:sectPr w:rsidR="008D34BF" w:rsidSect="00B96198">
          <w:headerReference w:type="default" r:id="rId11"/>
          <w:footerReference w:type="even" r:id="rId12"/>
          <w:footerReference w:type="default" r:id="rId13"/>
          <w:pgSz w:w="12240" w:h="15840"/>
          <w:pgMar w:top="1440" w:right="1440" w:bottom="1440" w:left="1440" w:header="720" w:footer="720" w:gutter="0"/>
          <w:cols w:space="720"/>
          <w:titlePg/>
          <w:docGrid w:linePitch="360"/>
        </w:sectPr>
      </w:pPr>
    </w:p>
    <w:p w14:paraId="5FCFF98C" w14:textId="4C312297" w:rsidR="00A545C7" w:rsidRPr="007A7DBF" w:rsidRDefault="00000000" w:rsidP="008770FC">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lastRenderedPageBreak/>
        <w:t>Qualitative Rider Themes</w:t>
      </w:r>
    </w:p>
    <w:p w14:paraId="1BB2A740" w14:textId="77777777" w:rsidR="00A545C7" w:rsidRDefault="00000000" w:rsidP="008D34BF">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Vehicle behavior was the most salient theme. Riders described low speeds, large following distances, hard stops, and uncertainty at a flashing yellow signal. These behaviors were generally understood as cautious, yet they weakened confidence because they appeared unnatural or disruptive in ordinary traffic. One respondent described embarrassment at being in a vehicle that seemed to aggravate drivers behind it. This is not simply a comfort issue: motion planning communicates what the system perceives and whether it can participate fluently in urban traffic.</w:t>
      </w:r>
    </w:p>
    <w:p w14:paraId="2A1387FC" w14:textId="77777777" w:rsidR="008D34BF" w:rsidRDefault="008D34BF" w:rsidP="008D34BF">
      <w:pPr>
        <w:spacing w:after="0"/>
        <w:rPr>
          <w:rFonts w:ascii="Times New Roman" w:hAnsi="Times New Roman" w:cs="Times New Roman"/>
          <w:color w:val="000000" w:themeColor="text1"/>
          <w:sz w:val="24"/>
          <w:szCs w:val="24"/>
        </w:rPr>
      </w:pPr>
    </w:p>
    <w:p w14:paraId="3F412080" w14:textId="75CB0F3C" w:rsidR="008D34BF" w:rsidRPr="007A7DBF" w:rsidRDefault="008D34BF" w:rsidP="008D34BF">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 xml:space="preserve">TABLE </w:t>
      </w:r>
      <w:r w:rsidR="00F2285D">
        <w:rPr>
          <w:rFonts w:ascii="Times New Roman" w:hAnsi="Times New Roman" w:cs="Times New Roman"/>
          <w:b/>
          <w:color w:val="000000" w:themeColor="text1"/>
          <w:sz w:val="24"/>
          <w:szCs w:val="24"/>
        </w:rPr>
        <w:t>4</w:t>
      </w:r>
      <w:r w:rsidRPr="007A7DBF">
        <w:rPr>
          <w:rFonts w:ascii="Times New Roman" w:hAnsi="Times New Roman" w:cs="Times New Roman"/>
          <w:b/>
          <w:color w:val="000000" w:themeColor="text1"/>
          <w:sz w:val="24"/>
          <w:szCs w:val="24"/>
        </w:rPr>
        <w:t>. Distribution and weighted salience of coded rider references</w:t>
      </w:r>
    </w:p>
    <w:tbl>
      <w:tblPr>
        <w:tblStyle w:val="TableGrid"/>
        <w:tblW w:w="0" w:type="auto"/>
        <w:tblLook w:val="04A0" w:firstRow="1" w:lastRow="0" w:firstColumn="1" w:lastColumn="0" w:noHBand="0" w:noVBand="1"/>
      </w:tblPr>
      <w:tblGrid>
        <w:gridCol w:w="1566"/>
        <w:gridCol w:w="3626"/>
        <w:gridCol w:w="1480"/>
        <w:gridCol w:w="856"/>
        <w:gridCol w:w="1043"/>
        <w:gridCol w:w="779"/>
      </w:tblGrid>
      <w:tr w:rsidR="008D34BF" w:rsidRPr="007A7DBF" w14:paraId="6DE673B5" w14:textId="77777777" w:rsidTr="00F2285D">
        <w:tc>
          <w:tcPr>
            <w:tcW w:w="1800" w:type="dxa"/>
          </w:tcPr>
          <w:p w14:paraId="4088ADA9"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Theme</w:t>
            </w:r>
          </w:p>
        </w:tc>
        <w:tc>
          <w:tcPr>
            <w:tcW w:w="5184" w:type="dxa"/>
          </w:tcPr>
          <w:p w14:paraId="567AFA18"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Representative observation</w:t>
            </w:r>
          </w:p>
        </w:tc>
        <w:tc>
          <w:tcPr>
            <w:tcW w:w="1656" w:type="dxa"/>
          </w:tcPr>
          <w:p w14:paraId="46D9526B"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Coded references n (%)</w:t>
            </w:r>
          </w:p>
        </w:tc>
        <w:tc>
          <w:tcPr>
            <w:tcW w:w="792" w:type="dxa"/>
          </w:tcPr>
          <w:p w14:paraId="1A3BBBB3"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Direct</w:t>
            </w:r>
          </w:p>
        </w:tc>
        <w:tc>
          <w:tcPr>
            <w:tcW w:w="792" w:type="dxa"/>
          </w:tcPr>
          <w:p w14:paraId="009C79EE"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Indirect</w:t>
            </w:r>
          </w:p>
        </w:tc>
        <w:tc>
          <w:tcPr>
            <w:tcW w:w="792" w:type="dxa"/>
          </w:tcPr>
          <w:p w14:paraId="0DFE3FE9"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WCS</w:t>
            </w:r>
          </w:p>
        </w:tc>
      </w:tr>
      <w:tr w:rsidR="008D34BF" w:rsidRPr="007A7DBF" w14:paraId="32F982F8" w14:textId="77777777" w:rsidTr="00F2285D">
        <w:tc>
          <w:tcPr>
            <w:tcW w:w="1800" w:type="dxa"/>
          </w:tcPr>
          <w:p w14:paraId="3CF1D696" w14:textId="77777777" w:rsidR="008D34BF" w:rsidRPr="00F2285D" w:rsidRDefault="008D34BF" w:rsidP="005C5423">
            <w:pPr>
              <w:spacing w:after="0"/>
              <w:rPr>
                <w:rFonts w:ascii="Times New Roman" w:hAnsi="Times New Roman" w:cs="Times New Roman"/>
                <w:b/>
                <w:bCs/>
                <w:color w:val="000000" w:themeColor="text1"/>
                <w:sz w:val="24"/>
                <w:szCs w:val="24"/>
              </w:rPr>
            </w:pPr>
            <w:r w:rsidRPr="00F2285D">
              <w:rPr>
                <w:rFonts w:ascii="Times New Roman" w:hAnsi="Times New Roman" w:cs="Times New Roman"/>
                <w:b/>
                <w:bCs/>
                <w:color w:val="000000" w:themeColor="text1"/>
                <w:sz w:val="24"/>
                <w:szCs w:val="24"/>
              </w:rPr>
              <w:t>Vehicle behavior</w:t>
            </w:r>
          </w:p>
        </w:tc>
        <w:tc>
          <w:tcPr>
            <w:tcW w:w="5184" w:type="dxa"/>
          </w:tcPr>
          <w:p w14:paraId="24C202E6"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Slow speeds, abrupt braking, hesitation, and socially awkward operation</w:t>
            </w:r>
          </w:p>
        </w:tc>
        <w:tc>
          <w:tcPr>
            <w:tcW w:w="1656" w:type="dxa"/>
          </w:tcPr>
          <w:p w14:paraId="41F5F331"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14 (37.8%)</w:t>
            </w:r>
          </w:p>
        </w:tc>
        <w:tc>
          <w:tcPr>
            <w:tcW w:w="792" w:type="dxa"/>
          </w:tcPr>
          <w:p w14:paraId="137F7D23"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9</w:t>
            </w:r>
          </w:p>
        </w:tc>
        <w:tc>
          <w:tcPr>
            <w:tcW w:w="792" w:type="dxa"/>
          </w:tcPr>
          <w:p w14:paraId="1CF0757E"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5</w:t>
            </w:r>
          </w:p>
        </w:tc>
        <w:tc>
          <w:tcPr>
            <w:tcW w:w="792" w:type="dxa"/>
          </w:tcPr>
          <w:p w14:paraId="4FD82B14"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23</w:t>
            </w:r>
          </w:p>
        </w:tc>
      </w:tr>
      <w:tr w:rsidR="008D34BF" w:rsidRPr="007A7DBF" w14:paraId="68DB2E57" w14:textId="77777777" w:rsidTr="00F2285D">
        <w:tc>
          <w:tcPr>
            <w:tcW w:w="1800" w:type="dxa"/>
          </w:tcPr>
          <w:p w14:paraId="292242BB" w14:textId="77777777" w:rsidR="008D34BF" w:rsidRPr="00F2285D" w:rsidRDefault="008D34BF" w:rsidP="005C5423">
            <w:pPr>
              <w:spacing w:after="0"/>
              <w:rPr>
                <w:rFonts w:ascii="Times New Roman" w:hAnsi="Times New Roman" w:cs="Times New Roman"/>
                <w:b/>
                <w:bCs/>
                <w:color w:val="000000" w:themeColor="text1"/>
                <w:sz w:val="24"/>
                <w:szCs w:val="24"/>
              </w:rPr>
            </w:pPr>
            <w:r w:rsidRPr="00F2285D">
              <w:rPr>
                <w:rFonts w:ascii="Times New Roman" w:hAnsi="Times New Roman" w:cs="Times New Roman"/>
                <w:b/>
                <w:bCs/>
                <w:color w:val="000000" w:themeColor="text1"/>
                <w:sz w:val="24"/>
                <w:szCs w:val="24"/>
              </w:rPr>
              <w:t>Incident response</w:t>
            </w:r>
          </w:p>
        </w:tc>
        <w:tc>
          <w:tcPr>
            <w:tcW w:w="5184" w:type="dxa"/>
          </w:tcPr>
          <w:p w14:paraId="2266C339"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Uncertainty about recorded prompts, live support, and escalation</w:t>
            </w:r>
          </w:p>
        </w:tc>
        <w:tc>
          <w:tcPr>
            <w:tcW w:w="1656" w:type="dxa"/>
          </w:tcPr>
          <w:p w14:paraId="5B5C1987"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10 (27.0%)</w:t>
            </w:r>
          </w:p>
        </w:tc>
        <w:tc>
          <w:tcPr>
            <w:tcW w:w="792" w:type="dxa"/>
          </w:tcPr>
          <w:p w14:paraId="774C363E"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7</w:t>
            </w:r>
          </w:p>
        </w:tc>
        <w:tc>
          <w:tcPr>
            <w:tcW w:w="792" w:type="dxa"/>
          </w:tcPr>
          <w:p w14:paraId="41C9DF6F"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w:t>
            </w:r>
          </w:p>
        </w:tc>
        <w:tc>
          <w:tcPr>
            <w:tcW w:w="792" w:type="dxa"/>
          </w:tcPr>
          <w:p w14:paraId="788D895A"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17</w:t>
            </w:r>
          </w:p>
        </w:tc>
      </w:tr>
      <w:tr w:rsidR="008D34BF" w:rsidRPr="007A7DBF" w14:paraId="5F4A2236" w14:textId="77777777" w:rsidTr="00F2285D">
        <w:tc>
          <w:tcPr>
            <w:tcW w:w="1800" w:type="dxa"/>
          </w:tcPr>
          <w:p w14:paraId="3B8DA7FB" w14:textId="77777777" w:rsidR="008D34BF" w:rsidRPr="00F2285D" w:rsidRDefault="008D34BF" w:rsidP="005C5423">
            <w:pPr>
              <w:spacing w:after="0"/>
              <w:rPr>
                <w:rFonts w:ascii="Times New Roman" w:hAnsi="Times New Roman" w:cs="Times New Roman"/>
                <w:b/>
                <w:bCs/>
                <w:color w:val="000000" w:themeColor="text1"/>
                <w:sz w:val="24"/>
                <w:szCs w:val="24"/>
              </w:rPr>
            </w:pPr>
            <w:r w:rsidRPr="00F2285D">
              <w:rPr>
                <w:rFonts w:ascii="Times New Roman" w:hAnsi="Times New Roman" w:cs="Times New Roman"/>
                <w:b/>
                <w:bCs/>
                <w:color w:val="000000" w:themeColor="text1"/>
                <w:sz w:val="24"/>
                <w:szCs w:val="24"/>
              </w:rPr>
              <w:t>Emotional comfort</w:t>
            </w:r>
          </w:p>
        </w:tc>
        <w:tc>
          <w:tcPr>
            <w:tcW w:w="5184" w:type="dxa"/>
          </w:tcPr>
          <w:p w14:paraId="447222FF"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Privacy, cameras, shared rides, personal space, and lack of human reassurance</w:t>
            </w:r>
          </w:p>
        </w:tc>
        <w:tc>
          <w:tcPr>
            <w:tcW w:w="1656" w:type="dxa"/>
          </w:tcPr>
          <w:p w14:paraId="69B5702B"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8 (21.6%)</w:t>
            </w:r>
          </w:p>
        </w:tc>
        <w:tc>
          <w:tcPr>
            <w:tcW w:w="792" w:type="dxa"/>
          </w:tcPr>
          <w:p w14:paraId="709D1229"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4</w:t>
            </w:r>
          </w:p>
        </w:tc>
        <w:tc>
          <w:tcPr>
            <w:tcW w:w="792" w:type="dxa"/>
          </w:tcPr>
          <w:p w14:paraId="54CEA85A"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4</w:t>
            </w:r>
          </w:p>
        </w:tc>
        <w:tc>
          <w:tcPr>
            <w:tcW w:w="792" w:type="dxa"/>
          </w:tcPr>
          <w:p w14:paraId="171D6F79"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12</w:t>
            </w:r>
          </w:p>
        </w:tc>
      </w:tr>
      <w:tr w:rsidR="008D34BF" w:rsidRPr="007A7DBF" w14:paraId="3936FF19" w14:textId="77777777" w:rsidTr="00F2285D">
        <w:tc>
          <w:tcPr>
            <w:tcW w:w="1800" w:type="dxa"/>
          </w:tcPr>
          <w:p w14:paraId="3A0F66BB" w14:textId="77777777" w:rsidR="008D34BF" w:rsidRPr="00F2285D" w:rsidRDefault="008D34BF" w:rsidP="005C5423">
            <w:pPr>
              <w:spacing w:after="0"/>
              <w:rPr>
                <w:rFonts w:ascii="Times New Roman" w:hAnsi="Times New Roman" w:cs="Times New Roman"/>
                <w:b/>
                <w:bCs/>
                <w:color w:val="000000" w:themeColor="text1"/>
                <w:sz w:val="24"/>
                <w:szCs w:val="24"/>
              </w:rPr>
            </w:pPr>
            <w:r w:rsidRPr="00F2285D">
              <w:rPr>
                <w:rFonts w:ascii="Times New Roman" w:hAnsi="Times New Roman" w:cs="Times New Roman"/>
                <w:b/>
                <w:bCs/>
                <w:color w:val="000000" w:themeColor="text1"/>
                <w:sz w:val="24"/>
                <w:szCs w:val="24"/>
              </w:rPr>
              <w:t>Nighttime safety</w:t>
            </w:r>
          </w:p>
        </w:tc>
        <w:tc>
          <w:tcPr>
            <w:tcW w:w="5184" w:type="dxa"/>
          </w:tcPr>
          <w:p w14:paraId="7BE4EA19"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Safety and mobility value after hours, tempered by curb and final-access concerns</w:t>
            </w:r>
          </w:p>
        </w:tc>
        <w:tc>
          <w:tcPr>
            <w:tcW w:w="1656" w:type="dxa"/>
          </w:tcPr>
          <w:p w14:paraId="17F5BCF1"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5 (13.5%)</w:t>
            </w:r>
          </w:p>
        </w:tc>
        <w:tc>
          <w:tcPr>
            <w:tcW w:w="792" w:type="dxa"/>
          </w:tcPr>
          <w:p w14:paraId="495E26C4"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w:t>
            </w:r>
          </w:p>
        </w:tc>
        <w:tc>
          <w:tcPr>
            <w:tcW w:w="792" w:type="dxa"/>
          </w:tcPr>
          <w:p w14:paraId="3C021667"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w:t>
            </w:r>
          </w:p>
        </w:tc>
        <w:tc>
          <w:tcPr>
            <w:tcW w:w="792" w:type="dxa"/>
          </w:tcPr>
          <w:p w14:paraId="37224828" w14:textId="77777777" w:rsidR="008D34BF" w:rsidRPr="007A7DBF" w:rsidRDefault="008D34BF" w:rsidP="005C5423">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8</w:t>
            </w:r>
          </w:p>
        </w:tc>
      </w:tr>
    </w:tbl>
    <w:p w14:paraId="075AB245" w14:textId="77777777" w:rsidR="00F2285D" w:rsidRPr="00F2285D" w:rsidRDefault="00F2285D" w:rsidP="00F2285D">
      <w:pPr>
        <w:spacing w:after="0"/>
        <w:rPr>
          <w:rFonts w:ascii="Times New Roman" w:hAnsi="Times New Roman" w:cs="Times New Roman"/>
          <w:color w:val="000000" w:themeColor="text1"/>
          <w:szCs w:val="20"/>
        </w:rPr>
      </w:pPr>
      <w:r w:rsidRPr="00F2285D">
        <w:rPr>
          <w:rFonts w:ascii="Times New Roman" w:hAnsi="Times New Roman" w:cs="Times New Roman"/>
          <w:color w:val="000000" w:themeColor="text1"/>
          <w:szCs w:val="20"/>
        </w:rPr>
        <w:t>Note: The unit of analysis is the coded thematic reference. The 23 riders generated 37 references because comments could receive multiple codes. WCS = 2D + I.</w:t>
      </w:r>
    </w:p>
    <w:p w14:paraId="660DECC5" w14:textId="3D75A7CE" w:rsidR="008D34BF" w:rsidRPr="007A7DBF" w:rsidRDefault="008D34BF" w:rsidP="008D34BF">
      <w:pPr>
        <w:spacing w:after="0"/>
        <w:rPr>
          <w:rFonts w:ascii="Times New Roman" w:hAnsi="Times New Roman" w:cs="Times New Roman"/>
          <w:color w:val="000000" w:themeColor="text1"/>
          <w:sz w:val="24"/>
          <w:szCs w:val="24"/>
        </w:rPr>
      </w:pPr>
    </w:p>
    <w:p w14:paraId="2FC6F461"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Incident response was the second-largest theme. Experiences were mixed. One rider who was carried beyond the desired destination reported that a live support person successfully guided the passengers through ending the ride and exiting. Another rider encountered a vehicle stopped in an intersection and believed the in-vehicle button had initiated a live call, only to hear a recording. The operational lesson is not that human support failed uniformly, but that riders could not always tell whether support was live, what level of help was available, or how escalation would occur.</w:t>
      </w:r>
    </w:p>
    <w:p w14:paraId="7E9A0011"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Emotional comfort combined privacy, surveillance, shared-ride concerns, and the absence of a human driver. Riders asked whether interior cameras recorded audio or video and expressed reluctance to share vehicles with strangers. These comments show that removing the driver does not remove social and emotional questions; it redistributes them into the interface, cabin, data policy, and remote-support system.</w:t>
      </w:r>
    </w:p>
    <w:p w14:paraId="75019807"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Nighttime safety was comparatively less frequent as a coded concern because it was often framed positively. Riders described the service as a safer after-hours alternative to walking, waiting for transit, or using conventional ridehail. Yet this benefit depended on the full trip chain. Inaccurate pickup and drop-off locations, circuitous routing, and poorly situated curbs could weaken the sense of security the driverless ride otherwise provided.</w:t>
      </w:r>
    </w:p>
    <w:p w14:paraId="20113652" w14:textId="77777777" w:rsidR="00F2285D" w:rsidRDefault="00F2285D" w:rsidP="00F2285D">
      <w:pPr>
        <w:pStyle w:val="Heading2"/>
        <w:spacing w:before="0"/>
        <w:rPr>
          <w:rFonts w:ascii="Times New Roman" w:hAnsi="Times New Roman" w:cs="Times New Roman"/>
          <w:color w:val="000000" w:themeColor="text1"/>
          <w:sz w:val="24"/>
          <w:szCs w:val="24"/>
        </w:rPr>
      </w:pPr>
    </w:p>
    <w:p w14:paraId="593232C3" w14:textId="756ADF9B" w:rsidR="00A545C7" w:rsidRPr="007A7DBF" w:rsidRDefault="00000000" w:rsidP="00F2285D">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Non-Rider Barriers</w:t>
      </w:r>
    </w:p>
    <w:p w14:paraId="75D2442B" w14:textId="77777777" w:rsidR="00A545C7" w:rsidRDefault="00000000" w:rsidP="00F2285D">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140 non-rider responses provide a useful counterweight to the rider comments. Failure to complete a ride was not dominated by categorical fear of driverless technology. The most common coded response was an open 'other' category, followed by schedule conflicts, service geography, concerns about late-night participation, uncertainty about vehicle availability, choosing another mode, and doubts that the service could function as regular transportation. Only two respondents selected apprehension about having no driver in the vehicle.</w:t>
      </w:r>
    </w:p>
    <w:p w14:paraId="571FBA18" w14:textId="77777777" w:rsidR="00F2285D" w:rsidRPr="007A7DBF" w:rsidRDefault="00F2285D" w:rsidP="00F2285D">
      <w:pPr>
        <w:spacing w:after="0"/>
        <w:rPr>
          <w:rFonts w:ascii="Times New Roman" w:hAnsi="Times New Roman" w:cs="Times New Roman"/>
          <w:color w:val="000000" w:themeColor="text1"/>
          <w:sz w:val="24"/>
          <w:szCs w:val="24"/>
        </w:rPr>
      </w:pPr>
    </w:p>
    <w:p w14:paraId="1E8E23F4" w14:textId="57A0B6D2" w:rsidR="00A545C7" w:rsidRDefault="00000000" w:rsidP="00F2285D">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When asked what would have encouraged participation, 71 respondents selected expanded operating times and 27 selected access to more locations. Weekly reminders, incentives, demonstrations, and other nudges were less common. This pattern suggests that uptake in the pilot was constrained primarily by service design and eligibility conditions rather than by a simple pro- or anti-automation attitude</w:t>
      </w:r>
      <w:r w:rsidR="00F2285D">
        <w:rPr>
          <w:rFonts w:ascii="Times New Roman" w:hAnsi="Times New Roman" w:cs="Times New Roman"/>
          <w:color w:val="000000" w:themeColor="text1"/>
          <w:sz w:val="24"/>
          <w:szCs w:val="24"/>
        </w:rPr>
        <w:t xml:space="preserve">. This is an important lesson for achieving scale of service operations in AV deployments. </w:t>
      </w:r>
    </w:p>
    <w:p w14:paraId="7F02C86C" w14:textId="77777777" w:rsidR="00F2285D" w:rsidRPr="007A7DBF" w:rsidRDefault="00F2285D" w:rsidP="00F2285D">
      <w:pPr>
        <w:spacing w:after="0"/>
        <w:rPr>
          <w:rFonts w:ascii="Times New Roman" w:hAnsi="Times New Roman" w:cs="Times New Roman"/>
          <w:color w:val="000000" w:themeColor="text1"/>
          <w:sz w:val="24"/>
          <w:szCs w:val="24"/>
        </w:rPr>
      </w:pPr>
    </w:p>
    <w:p w14:paraId="4E06048F" w14:textId="497A0A33"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 xml:space="preserve">TABLE </w:t>
      </w:r>
      <w:r w:rsidR="00F2285D">
        <w:rPr>
          <w:rFonts w:ascii="Times New Roman" w:hAnsi="Times New Roman" w:cs="Times New Roman"/>
          <w:b/>
          <w:color w:val="000000" w:themeColor="text1"/>
          <w:sz w:val="24"/>
          <w:szCs w:val="24"/>
        </w:rPr>
        <w:t>5</w:t>
      </w:r>
      <w:r w:rsidRPr="007A7DBF">
        <w:rPr>
          <w:rFonts w:ascii="Times New Roman" w:hAnsi="Times New Roman" w:cs="Times New Roman"/>
          <w:b/>
          <w:color w:val="000000" w:themeColor="text1"/>
          <w:sz w:val="24"/>
          <w:szCs w:val="24"/>
        </w:rPr>
        <w:t>. Selected barriers and encouragements among non-riders</w:t>
      </w:r>
    </w:p>
    <w:tbl>
      <w:tblPr>
        <w:tblStyle w:val="TableGrid"/>
        <w:tblW w:w="0" w:type="auto"/>
        <w:tblLook w:val="04A0" w:firstRow="1" w:lastRow="0" w:firstColumn="1" w:lastColumn="0" w:noHBand="0" w:noVBand="1"/>
      </w:tblPr>
      <w:tblGrid>
        <w:gridCol w:w="2006"/>
        <w:gridCol w:w="4932"/>
        <w:gridCol w:w="988"/>
        <w:gridCol w:w="1424"/>
      </w:tblGrid>
      <w:tr w:rsidR="00A545C7" w:rsidRPr="007A7DBF" w14:paraId="6C0865FD" w14:textId="77777777" w:rsidTr="00F2285D">
        <w:tc>
          <w:tcPr>
            <w:tcW w:w="2006" w:type="dxa"/>
          </w:tcPr>
          <w:p w14:paraId="57E9AF4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Non-rider item</w:t>
            </w:r>
          </w:p>
        </w:tc>
        <w:tc>
          <w:tcPr>
            <w:tcW w:w="4932" w:type="dxa"/>
          </w:tcPr>
          <w:p w14:paraId="3AF5FBA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Response</w:t>
            </w:r>
          </w:p>
        </w:tc>
        <w:tc>
          <w:tcPr>
            <w:tcW w:w="988" w:type="dxa"/>
          </w:tcPr>
          <w:p w14:paraId="09C40CB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n</w:t>
            </w:r>
          </w:p>
        </w:tc>
        <w:tc>
          <w:tcPr>
            <w:tcW w:w="1424" w:type="dxa"/>
          </w:tcPr>
          <w:p w14:paraId="412964AF"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b/>
                <w:color w:val="000000" w:themeColor="text1"/>
                <w:sz w:val="24"/>
                <w:szCs w:val="24"/>
              </w:rPr>
              <w:t>Percent of 140</w:t>
            </w:r>
          </w:p>
        </w:tc>
      </w:tr>
      <w:tr w:rsidR="00A545C7" w:rsidRPr="007A7DBF" w14:paraId="64D6E331" w14:textId="77777777" w:rsidTr="00F2285D">
        <w:tc>
          <w:tcPr>
            <w:tcW w:w="2006" w:type="dxa"/>
          </w:tcPr>
          <w:p w14:paraId="193D81A4"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Barrier</w:t>
            </w:r>
          </w:p>
        </w:tc>
        <w:tc>
          <w:tcPr>
            <w:tcW w:w="4932" w:type="dxa"/>
          </w:tcPr>
          <w:p w14:paraId="67A32540"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Busy with school/work or schedule did not allow</w:t>
            </w:r>
          </w:p>
        </w:tc>
        <w:tc>
          <w:tcPr>
            <w:tcW w:w="988" w:type="dxa"/>
          </w:tcPr>
          <w:p w14:paraId="78D8FCAF"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37</w:t>
            </w:r>
          </w:p>
        </w:tc>
        <w:tc>
          <w:tcPr>
            <w:tcW w:w="1424" w:type="dxa"/>
          </w:tcPr>
          <w:p w14:paraId="3762D01E"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26.4</w:t>
            </w:r>
          </w:p>
        </w:tc>
      </w:tr>
      <w:tr w:rsidR="00A545C7" w:rsidRPr="007A7DBF" w14:paraId="4B22E0FA" w14:textId="77777777" w:rsidTr="00F2285D">
        <w:tc>
          <w:tcPr>
            <w:tcW w:w="2006" w:type="dxa"/>
          </w:tcPr>
          <w:p w14:paraId="22D6B5E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Barrier</w:t>
            </w:r>
          </w:p>
        </w:tc>
        <w:tc>
          <w:tcPr>
            <w:tcW w:w="4932" w:type="dxa"/>
          </w:tcPr>
          <w:p w14:paraId="220D365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Cars did not go to desired locations</w:t>
            </w:r>
          </w:p>
        </w:tc>
        <w:tc>
          <w:tcPr>
            <w:tcW w:w="988" w:type="dxa"/>
          </w:tcPr>
          <w:p w14:paraId="6FEB4049"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26</w:t>
            </w:r>
          </w:p>
        </w:tc>
        <w:tc>
          <w:tcPr>
            <w:tcW w:w="1424" w:type="dxa"/>
          </w:tcPr>
          <w:p w14:paraId="2F0E1AB2"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18.6</w:t>
            </w:r>
          </w:p>
        </w:tc>
      </w:tr>
      <w:tr w:rsidR="00A545C7" w:rsidRPr="007A7DBF" w14:paraId="767AAFE1" w14:textId="77777777" w:rsidTr="00F2285D">
        <w:tc>
          <w:tcPr>
            <w:tcW w:w="2006" w:type="dxa"/>
          </w:tcPr>
          <w:p w14:paraId="141DA725"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Barrier</w:t>
            </w:r>
          </w:p>
        </w:tc>
        <w:tc>
          <w:tcPr>
            <w:tcW w:w="4932" w:type="dxa"/>
          </w:tcPr>
          <w:p w14:paraId="50A2057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Nervous about going out late</w:t>
            </w:r>
          </w:p>
        </w:tc>
        <w:tc>
          <w:tcPr>
            <w:tcW w:w="988" w:type="dxa"/>
          </w:tcPr>
          <w:p w14:paraId="72B97E73"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7</w:t>
            </w:r>
          </w:p>
        </w:tc>
        <w:tc>
          <w:tcPr>
            <w:tcW w:w="1424" w:type="dxa"/>
          </w:tcPr>
          <w:p w14:paraId="5134ED2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5.0</w:t>
            </w:r>
          </w:p>
        </w:tc>
      </w:tr>
      <w:tr w:rsidR="00A545C7" w:rsidRPr="007A7DBF" w14:paraId="56E0C1B9" w14:textId="77777777" w:rsidTr="00F2285D">
        <w:tc>
          <w:tcPr>
            <w:tcW w:w="2006" w:type="dxa"/>
          </w:tcPr>
          <w:p w14:paraId="5BBA4C3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Barrier</w:t>
            </w:r>
          </w:p>
        </w:tc>
        <w:tc>
          <w:tcPr>
            <w:tcW w:w="4932" w:type="dxa"/>
          </w:tcPr>
          <w:p w14:paraId="150AAF0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Uncertain about availability/getting stuck</w:t>
            </w:r>
          </w:p>
        </w:tc>
        <w:tc>
          <w:tcPr>
            <w:tcW w:w="988" w:type="dxa"/>
          </w:tcPr>
          <w:p w14:paraId="55E9593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7</w:t>
            </w:r>
          </w:p>
        </w:tc>
        <w:tc>
          <w:tcPr>
            <w:tcW w:w="1424" w:type="dxa"/>
          </w:tcPr>
          <w:p w14:paraId="74114DC0"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5.0</w:t>
            </w:r>
          </w:p>
        </w:tc>
      </w:tr>
      <w:tr w:rsidR="00A545C7" w:rsidRPr="007A7DBF" w14:paraId="0C479870" w14:textId="77777777" w:rsidTr="00F2285D">
        <w:tc>
          <w:tcPr>
            <w:tcW w:w="2006" w:type="dxa"/>
          </w:tcPr>
          <w:p w14:paraId="0774C388"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Barrier</w:t>
            </w:r>
          </w:p>
        </w:tc>
        <w:tc>
          <w:tcPr>
            <w:tcW w:w="4932" w:type="dxa"/>
          </w:tcPr>
          <w:p w14:paraId="257DEC69"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Chose another mode</w:t>
            </w:r>
          </w:p>
        </w:tc>
        <w:tc>
          <w:tcPr>
            <w:tcW w:w="988" w:type="dxa"/>
          </w:tcPr>
          <w:p w14:paraId="6AE32DDE"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5</w:t>
            </w:r>
          </w:p>
        </w:tc>
        <w:tc>
          <w:tcPr>
            <w:tcW w:w="1424" w:type="dxa"/>
          </w:tcPr>
          <w:p w14:paraId="2863808E"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3.6</w:t>
            </w:r>
          </w:p>
        </w:tc>
      </w:tr>
      <w:tr w:rsidR="00A545C7" w:rsidRPr="007A7DBF" w14:paraId="4B5F1624" w14:textId="77777777" w:rsidTr="00F2285D">
        <w:tc>
          <w:tcPr>
            <w:tcW w:w="2006" w:type="dxa"/>
          </w:tcPr>
          <w:p w14:paraId="31AFB3CA"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Barrier</w:t>
            </w:r>
          </w:p>
        </w:tc>
        <w:tc>
          <w:tcPr>
            <w:tcW w:w="4932" w:type="dxa"/>
          </w:tcPr>
          <w:p w14:paraId="3C912194"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Did not seem like regular transportation</w:t>
            </w:r>
          </w:p>
        </w:tc>
        <w:tc>
          <w:tcPr>
            <w:tcW w:w="988" w:type="dxa"/>
          </w:tcPr>
          <w:p w14:paraId="26C1F266"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5</w:t>
            </w:r>
          </w:p>
        </w:tc>
        <w:tc>
          <w:tcPr>
            <w:tcW w:w="1424" w:type="dxa"/>
          </w:tcPr>
          <w:p w14:paraId="797CFF6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3.6</w:t>
            </w:r>
          </w:p>
        </w:tc>
      </w:tr>
      <w:tr w:rsidR="00A545C7" w:rsidRPr="007A7DBF" w14:paraId="47E81EC1" w14:textId="77777777" w:rsidTr="00F2285D">
        <w:tc>
          <w:tcPr>
            <w:tcW w:w="2006" w:type="dxa"/>
          </w:tcPr>
          <w:p w14:paraId="19E1495C"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Barrier</w:t>
            </w:r>
          </w:p>
        </w:tc>
        <w:tc>
          <w:tcPr>
            <w:tcW w:w="4932" w:type="dxa"/>
          </w:tcPr>
          <w:p w14:paraId="72C7FF92"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Apprehensive about no driver</w:t>
            </w:r>
          </w:p>
        </w:tc>
        <w:tc>
          <w:tcPr>
            <w:tcW w:w="988" w:type="dxa"/>
          </w:tcPr>
          <w:p w14:paraId="7DA48A3B"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w:t>
            </w:r>
          </w:p>
        </w:tc>
        <w:tc>
          <w:tcPr>
            <w:tcW w:w="1424" w:type="dxa"/>
          </w:tcPr>
          <w:p w14:paraId="2C5805E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1.4</w:t>
            </w:r>
          </w:p>
        </w:tc>
      </w:tr>
      <w:tr w:rsidR="00A545C7" w:rsidRPr="007A7DBF" w14:paraId="329F3567" w14:textId="77777777" w:rsidTr="00F2285D">
        <w:tc>
          <w:tcPr>
            <w:tcW w:w="2006" w:type="dxa"/>
          </w:tcPr>
          <w:p w14:paraId="2EF09ACC"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Encouragement</w:t>
            </w:r>
          </w:p>
        </w:tc>
        <w:tc>
          <w:tcPr>
            <w:tcW w:w="4932" w:type="dxa"/>
          </w:tcPr>
          <w:p w14:paraId="5F6F3EE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Expanded operating times</w:t>
            </w:r>
          </w:p>
        </w:tc>
        <w:tc>
          <w:tcPr>
            <w:tcW w:w="988" w:type="dxa"/>
          </w:tcPr>
          <w:p w14:paraId="49CDFA7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71</w:t>
            </w:r>
          </w:p>
        </w:tc>
        <w:tc>
          <w:tcPr>
            <w:tcW w:w="1424" w:type="dxa"/>
          </w:tcPr>
          <w:p w14:paraId="7E0F78EE"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50.7</w:t>
            </w:r>
          </w:p>
        </w:tc>
      </w:tr>
      <w:tr w:rsidR="00A545C7" w:rsidRPr="007A7DBF" w14:paraId="1A9C21D2" w14:textId="77777777" w:rsidTr="00F2285D">
        <w:tc>
          <w:tcPr>
            <w:tcW w:w="2006" w:type="dxa"/>
          </w:tcPr>
          <w:p w14:paraId="20D07C53"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Encouragement</w:t>
            </w:r>
          </w:p>
        </w:tc>
        <w:tc>
          <w:tcPr>
            <w:tcW w:w="4932" w:type="dxa"/>
          </w:tcPr>
          <w:p w14:paraId="793E2FB3"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Access to more locations</w:t>
            </w:r>
          </w:p>
        </w:tc>
        <w:tc>
          <w:tcPr>
            <w:tcW w:w="988" w:type="dxa"/>
          </w:tcPr>
          <w:p w14:paraId="61B8E507"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27</w:t>
            </w:r>
          </w:p>
        </w:tc>
        <w:tc>
          <w:tcPr>
            <w:tcW w:w="1424" w:type="dxa"/>
          </w:tcPr>
          <w:p w14:paraId="0D373941"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19.3</w:t>
            </w:r>
          </w:p>
        </w:tc>
      </w:tr>
      <w:tr w:rsidR="00A545C7" w:rsidRPr="007A7DBF" w14:paraId="47C136A1" w14:textId="77777777" w:rsidTr="00F2285D">
        <w:tc>
          <w:tcPr>
            <w:tcW w:w="2006" w:type="dxa"/>
          </w:tcPr>
          <w:p w14:paraId="72CA3965"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Encouragement</w:t>
            </w:r>
          </w:p>
        </w:tc>
        <w:tc>
          <w:tcPr>
            <w:tcW w:w="4932" w:type="dxa"/>
          </w:tcPr>
          <w:p w14:paraId="5308DC2A"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Weekly reminders</w:t>
            </w:r>
          </w:p>
        </w:tc>
        <w:tc>
          <w:tcPr>
            <w:tcW w:w="988" w:type="dxa"/>
          </w:tcPr>
          <w:p w14:paraId="15F3167F"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15</w:t>
            </w:r>
          </w:p>
        </w:tc>
        <w:tc>
          <w:tcPr>
            <w:tcW w:w="1424" w:type="dxa"/>
          </w:tcPr>
          <w:p w14:paraId="29B2B472"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10.7</w:t>
            </w:r>
          </w:p>
        </w:tc>
      </w:tr>
      <w:tr w:rsidR="00A545C7" w:rsidRPr="007A7DBF" w14:paraId="530FEDEB" w14:textId="77777777" w:rsidTr="00F2285D">
        <w:tc>
          <w:tcPr>
            <w:tcW w:w="2006" w:type="dxa"/>
          </w:tcPr>
          <w:p w14:paraId="5A59A7B0"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Encouragement</w:t>
            </w:r>
          </w:p>
        </w:tc>
        <w:tc>
          <w:tcPr>
            <w:tcW w:w="4932" w:type="dxa"/>
          </w:tcPr>
          <w:p w14:paraId="3C82E5AD"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More incentives</w:t>
            </w:r>
          </w:p>
        </w:tc>
        <w:tc>
          <w:tcPr>
            <w:tcW w:w="988" w:type="dxa"/>
          </w:tcPr>
          <w:p w14:paraId="04B1F66B"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6</w:t>
            </w:r>
          </w:p>
        </w:tc>
        <w:tc>
          <w:tcPr>
            <w:tcW w:w="1424" w:type="dxa"/>
          </w:tcPr>
          <w:p w14:paraId="3A470ECF"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4.3</w:t>
            </w:r>
          </w:p>
        </w:tc>
      </w:tr>
      <w:tr w:rsidR="00A545C7" w:rsidRPr="007A7DBF" w14:paraId="33F13306" w14:textId="77777777" w:rsidTr="00F2285D">
        <w:tc>
          <w:tcPr>
            <w:tcW w:w="2006" w:type="dxa"/>
          </w:tcPr>
          <w:p w14:paraId="25273E98"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Encouragement</w:t>
            </w:r>
          </w:p>
        </w:tc>
        <w:tc>
          <w:tcPr>
            <w:tcW w:w="4932" w:type="dxa"/>
          </w:tcPr>
          <w:p w14:paraId="6D99081C"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Demo or instruction</w:t>
            </w:r>
          </w:p>
        </w:tc>
        <w:tc>
          <w:tcPr>
            <w:tcW w:w="988" w:type="dxa"/>
          </w:tcPr>
          <w:p w14:paraId="22D91189"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2</w:t>
            </w:r>
          </w:p>
        </w:tc>
        <w:tc>
          <w:tcPr>
            <w:tcW w:w="1424" w:type="dxa"/>
          </w:tcPr>
          <w:p w14:paraId="7C8275E1"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1.4</w:t>
            </w:r>
          </w:p>
        </w:tc>
      </w:tr>
    </w:tbl>
    <w:p w14:paraId="3490802D" w14:textId="4B928C4D" w:rsidR="00F2285D" w:rsidRPr="00F2285D" w:rsidRDefault="00F2285D" w:rsidP="00F2285D">
      <w:pPr>
        <w:spacing w:after="0"/>
        <w:rPr>
          <w:rFonts w:ascii="Times New Roman" w:hAnsi="Times New Roman" w:cs="Times New Roman"/>
          <w:iCs/>
          <w:color w:val="000000" w:themeColor="text1"/>
          <w:szCs w:val="20"/>
        </w:rPr>
      </w:pPr>
      <w:r w:rsidRPr="00F2285D">
        <w:rPr>
          <w:rFonts w:ascii="Times New Roman" w:hAnsi="Times New Roman" w:cs="Times New Roman"/>
          <w:iCs/>
          <w:color w:val="000000" w:themeColor="text1"/>
          <w:szCs w:val="20"/>
        </w:rPr>
        <w:t>Note: Open-ended 'other' responses are omitted from this summary because they require separate coding and were heterogeneous.</w:t>
      </w:r>
    </w:p>
    <w:p w14:paraId="4BA0132A" w14:textId="77777777" w:rsidR="00F2285D" w:rsidRDefault="00F2285D" w:rsidP="00F2285D">
      <w:pPr>
        <w:pStyle w:val="Heading2"/>
        <w:spacing w:before="0"/>
        <w:rPr>
          <w:rFonts w:ascii="Times New Roman" w:hAnsi="Times New Roman" w:cs="Times New Roman"/>
          <w:color w:val="000000" w:themeColor="text1"/>
          <w:sz w:val="24"/>
          <w:szCs w:val="24"/>
        </w:rPr>
      </w:pPr>
    </w:p>
    <w:p w14:paraId="5E5881BC" w14:textId="26DB7362" w:rsidR="00A545C7" w:rsidRPr="007A7DBF" w:rsidRDefault="00000000" w:rsidP="00F2285D">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Exploratory Validation with Public Narratives</w:t>
      </w:r>
    </w:p>
    <w:p w14:paraId="0475E04B" w14:textId="77777777" w:rsidR="00A545C7" w:rsidRPr="007A7DBF" w:rsidRDefault="00000000" w:rsidP="00F2285D">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test public-narrative dataset was not large enough to estimate theme prevalence or compare operators statistically. Its value was instead diagnostic. The workflow successfully organized public records into many of the same operational domains visible in the rider data: vehicle behavior, routing, incident response, pickup/drop-off, community impact, and safety/trust.</w:t>
      </w:r>
    </w:p>
    <w:p w14:paraId="392A4C4D"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overlap was strongest where the rider experience became publicly observable. A vehicle stopped in traffic, an unusual route, a support interaction, or a poorly executed pickup can produce both a passenger account and a public narrative. By contrast, concerns about interior cameras, emotional comfort, and willingness to share a ride were more visible in the structured rider data than in the public test set. This difference illustrates why scraping alone is insufficient: public narratives privilege externally visible and narratively interesting events, while surveys reveal quieter forms of discomfort and value.</w:t>
      </w:r>
    </w:p>
    <w:p w14:paraId="2A1603F0" w14:textId="77777777" w:rsidR="003C2D1A" w:rsidRDefault="003C2D1A" w:rsidP="001509DA">
      <w:pPr>
        <w:spacing w:after="0"/>
        <w:rPr>
          <w:rFonts w:ascii="Times New Roman" w:hAnsi="Times New Roman" w:cs="Times New Roman"/>
          <w:b/>
          <w:bCs/>
          <w:color w:val="000000" w:themeColor="text1"/>
          <w:sz w:val="24"/>
          <w:szCs w:val="24"/>
          <w:highlight w:val="yellow"/>
        </w:rPr>
      </w:pPr>
    </w:p>
    <w:p w14:paraId="41E7D661" w14:textId="64D79D76" w:rsidR="003C2D1A" w:rsidRDefault="003C2D1A" w:rsidP="001509DA">
      <w:pPr>
        <w:spacing w:after="0"/>
        <w:rPr>
          <w:rFonts w:ascii="Times New Roman" w:hAnsi="Times New Roman" w:cs="Times New Roman"/>
          <w:b/>
          <w:bCs/>
          <w:color w:val="000000" w:themeColor="text1"/>
          <w:sz w:val="24"/>
          <w:szCs w:val="24"/>
          <w:highlight w:val="yellow"/>
        </w:rPr>
      </w:pPr>
      <w:r w:rsidRPr="003C2D1A">
        <w:rPr>
          <w:rFonts w:ascii="Times New Roman" w:hAnsi="Times New Roman" w:cs="Times New Roman"/>
          <w:b/>
          <w:bCs/>
          <w:color w:val="000000" w:themeColor="text1"/>
          <w:sz w:val="24"/>
          <w:szCs w:val="24"/>
        </w:rPr>
        <w:drawing>
          <wp:inline distT="0" distB="0" distL="0" distR="0" wp14:anchorId="3EC0B54C" wp14:editId="020E6C80">
            <wp:extent cx="5943531" cy="3215390"/>
            <wp:effectExtent l="0" t="0" r="635" b="0"/>
            <wp:docPr id="49724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42695" name=""/>
                    <pic:cNvPicPr/>
                  </pic:nvPicPr>
                  <pic:blipFill rotWithShape="1">
                    <a:blip r:embed="rId14"/>
                    <a:srcRect t="7832" b="10219"/>
                    <a:stretch>
                      <a:fillRect/>
                    </a:stretch>
                  </pic:blipFill>
                  <pic:spPr bwMode="auto">
                    <a:xfrm>
                      <a:off x="0" y="0"/>
                      <a:ext cx="5943600" cy="3215427"/>
                    </a:xfrm>
                    <a:prstGeom prst="rect">
                      <a:avLst/>
                    </a:prstGeom>
                    <a:ln>
                      <a:noFill/>
                    </a:ln>
                    <a:extLst>
                      <a:ext uri="{53640926-AAD7-44D8-BBD7-CCE9431645EC}">
                        <a14:shadowObscured xmlns:a14="http://schemas.microsoft.com/office/drawing/2010/main"/>
                      </a:ext>
                    </a:extLst>
                  </pic:spPr>
                </pic:pic>
              </a:graphicData>
            </a:graphic>
          </wp:inline>
        </w:drawing>
      </w:r>
    </w:p>
    <w:p w14:paraId="646718E0" w14:textId="29A1DEAA" w:rsidR="001509DA" w:rsidRPr="003C2D1A" w:rsidRDefault="001509DA" w:rsidP="001509DA">
      <w:pPr>
        <w:spacing w:after="0"/>
        <w:rPr>
          <w:rFonts w:ascii="Times New Roman" w:hAnsi="Times New Roman" w:cs="Times New Roman"/>
          <w:color w:val="000000" w:themeColor="text1"/>
          <w:sz w:val="24"/>
          <w:szCs w:val="24"/>
        </w:rPr>
      </w:pPr>
      <w:r w:rsidRPr="003C2D1A">
        <w:rPr>
          <w:rFonts w:ascii="Times New Roman" w:hAnsi="Times New Roman" w:cs="Times New Roman"/>
          <w:b/>
          <w:bCs/>
          <w:color w:val="000000" w:themeColor="text1"/>
          <w:sz w:val="24"/>
          <w:szCs w:val="24"/>
        </w:rPr>
        <w:t xml:space="preserve">FIGURE </w:t>
      </w:r>
      <w:r w:rsidR="003C2D1A" w:rsidRPr="003C2D1A">
        <w:rPr>
          <w:rFonts w:ascii="Times New Roman" w:hAnsi="Times New Roman" w:cs="Times New Roman"/>
          <w:b/>
          <w:bCs/>
          <w:color w:val="000000" w:themeColor="text1"/>
          <w:sz w:val="24"/>
          <w:szCs w:val="24"/>
        </w:rPr>
        <w:t>2</w:t>
      </w:r>
      <w:r w:rsidRPr="003C2D1A">
        <w:rPr>
          <w:rFonts w:ascii="Times New Roman" w:hAnsi="Times New Roman" w:cs="Times New Roman"/>
          <w:b/>
          <w:bCs/>
          <w:color w:val="000000" w:themeColor="text1"/>
          <w:sz w:val="24"/>
          <w:szCs w:val="24"/>
        </w:rPr>
        <w:t>. Cross-Source Agreement in Trust and Safety Themes.</w:t>
      </w:r>
      <w:r w:rsidRPr="003C2D1A">
        <w:rPr>
          <w:rFonts w:ascii="Times New Roman" w:hAnsi="Times New Roman" w:cs="Times New Roman"/>
          <w:color w:val="000000" w:themeColor="text1"/>
          <w:sz w:val="24"/>
          <w:szCs w:val="24"/>
        </w:rPr>
        <w:t xml:space="preserve"> </w:t>
      </w:r>
      <w:r w:rsidRPr="003C2D1A">
        <w:rPr>
          <w:rFonts w:ascii="Times New Roman" w:hAnsi="Times New Roman" w:cs="Times New Roman"/>
          <w:color w:val="000000" w:themeColor="text1"/>
          <w:sz w:val="24"/>
          <w:szCs w:val="24"/>
        </w:rPr>
        <w:br/>
      </w:r>
      <w:r w:rsidRPr="003C2D1A">
        <w:rPr>
          <w:rFonts w:ascii="Times New Roman" w:hAnsi="Times New Roman" w:cs="Times New Roman"/>
          <w:color w:val="000000" w:themeColor="text1"/>
          <w:szCs w:val="20"/>
        </w:rPr>
        <w:t>Note: The matrix summarizes the interpretive strength of each theme across Cruise rider comments, non-rider survey responses, and exploratory public narratives. Categories indicate thematic prominence within each source and should not be interpreted as statistical prevalence estimates.</w:t>
      </w:r>
    </w:p>
    <w:p w14:paraId="4B8C9399" w14:textId="77777777" w:rsidR="001509DA" w:rsidRPr="003C2D1A" w:rsidRDefault="001509DA" w:rsidP="001509DA">
      <w:pPr>
        <w:spacing w:after="0"/>
        <w:rPr>
          <w:rFonts w:ascii="Times New Roman" w:hAnsi="Times New Roman" w:cs="Times New Roman"/>
          <w:color w:val="000000" w:themeColor="text1"/>
          <w:sz w:val="24"/>
          <w:szCs w:val="24"/>
        </w:rPr>
      </w:pPr>
    </w:p>
    <w:p w14:paraId="32FDE4EC" w14:textId="6CD4A97B" w:rsidR="001509DA" w:rsidRPr="001509DA" w:rsidRDefault="001509DA" w:rsidP="001509DA">
      <w:pPr>
        <w:spacing w:after="0"/>
        <w:ind w:firstLine="720"/>
        <w:rPr>
          <w:rFonts w:ascii="Times New Roman" w:hAnsi="Times New Roman" w:cs="Times New Roman"/>
          <w:color w:val="000000" w:themeColor="text1"/>
          <w:sz w:val="24"/>
          <w:szCs w:val="24"/>
        </w:rPr>
      </w:pPr>
      <w:r w:rsidRPr="003C2D1A">
        <w:rPr>
          <w:rFonts w:ascii="Times New Roman" w:hAnsi="Times New Roman" w:cs="Times New Roman"/>
          <w:color w:val="000000" w:themeColor="text1"/>
          <w:sz w:val="24"/>
          <w:szCs w:val="24"/>
        </w:rPr>
        <w:t xml:space="preserve">Figure </w:t>
      </w:r>
      <w:r w:rsidR="003C2D1A" w:rsidRPr="003C2D1A">
        <w:rPr>
          <w:rFonts w:ascii="Times New Roman" w:hAnsi="Times New Roman" w:cs="Times New Roman"/>
          <w:color w:val="000000" w:themeColor="text1"/>
          <w:sz w:val="24"/>
          <w:szCs w:val="24"/>
        </w:rPr>
        <w:t>2</w:t>
      </w:r>
      <w:r w:rsidRPr="003C2D1A">
        <w:rPr>
          <w:rFonts w:ascii="Times New Roman" w:hAnsi="Times New Roman" w:cs="Times New Roman"/>
          <w:color w:val="000000" w:themeColor="text1"/>
          <w:sz w:val="24"/>
          <w:szCs w:val="24"/>
        </w:rPr>
        <w:t xml:space="preserve"> compares the thematic prominence of six trust and safety dimensions across the three empirical evidence streams. The strongest convergence occurs around nighttime mobility, vehicle behavior, pickup and drop-off performance, and incident response. Direct riders and public narratives both emphasize operational performance and support-system failures, whereas non-rider responses are more strongly oriented toward late-night mobility, service access, and participation barriers. This divergence is analytically useful: direct experience tends to convert generalized uncertainty into more specific assessments of how the service behaves and responds in practice.</w:t>
      </w:r>
    </w:p>
    <w:p w14:paraId="26BE0283" w14:textId="77777777"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validation result is therefore modest but useful. Rule-based public-data monitoring can recover issue categories that matter to actual riders, but it should not be interpreted as a proxy sample of rider satisfaction. The strongest use is as an early-warning system that flags recurring operational themes for subsequent verification through surveys, operator data, or agency reporting.</w:t>
      </w:r>
    </w:p>
    <w:p w14:paraId="5BDA058B" w14:textId="77777777" w:rsidR="00F2285D" w:rsidRPr="007A7DBF" w:rsidRDefault="00F2285D" w:rsidP="008770FC">
      <w:pPr>
        <w:spacing w:after="0"/>
        <w:ind w:firstLine="720"/>
        <w:rPr>
          <w:rFonts w:ascii="Times New Roman" w:hAnsi="Times New Roman" w:cs="Times New Roman"/>
          <w:color w:val="000000" w:themeColor="text1"/>
          <w:sz w:val="24"/>
          <w:szCs w:val="24"/>
        </w:rPr>
      </w:pPr>
    </w:p>
    <w:p w14:paraId="62731B94" w14:textId="1A2555AF" w:rsidR="00A545C7" w:rsidRPr="007A7DBF" w:rsidRDefault="00000000" w:rsidP="00F2285D">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Spatial Interpretation</w:t>
      </w:r>
    </w:p>
    <w:p w14:paraId="74F5DB3F" w14:textId="77777777" w:rsidR="00A545C7" w:rsidRPr="007A7DBF" w:rsidRDefault="00000000" w:rsidP="00F2285D">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geospatial workflow demonstrates how service experience can be interpreted in relation to operating geography. Rider records are associated with generalized drop-off locations, allowing analysts to inspect where trips ended and whether comments about routing or final access cluster in particular contexts. Non-rider points represent survey-response locations and are useful for identifying the broader recruitment geography, but they should not be interpreted as desired trip locations.</w:t>
      </w:r>
    </w:p>
    <w:p w14:paraId="5F2288F4" w14:textId="7CA053AE" w:rsidR="00F2285D" w:rsidRPr="00F2285D" w:rsidRDefault="00000000" w:rsidP="008A5600">
      <w:pPr>
        <w:spacing w:after="0"/>
        <w:ind w:firstLine="720"/>
        <w:rPr>
          <w:rFonts w:ascii="Times New Roman" w:hAnsi="Times New Roman" w:cs="Times New Roman"/>
          <w:color w:val="000000" w:themeColor="text1"/>
          <w:szCs w:val="20"/>
        </w:rPr>
      </w:pPr>
      <w:r w:rsidRPr="007A7DBF">
        <w:rPr>
          <w:rFonts w:ascii="Times New Roman" w:hAnsi="Times New Roman" w:cs="Times New Roman"/>
          <w:color w:val="000000" w:themeColor="text1"/>
          <w:sz w:val="24"/>
          <w:szCs w:val="24"/>
        </w:rPr>
        <w:t xml:space="preserve">The default dashboard view focuses on the San Francisco service area and excludes out-of-area points from the map while retaining them in the audited dataset. This distinction is </w:t>
      </w:r>
      <w:r w:rsidRPr="007A7DBF">
        <w:rPr>
          <w:rFonts w:ascii="Times New Roman" w:hAnsi="Times New Roman" w:cs="Times New Roman"/>
          <w:color w:val="000000" w:themeColor="text1"/>
          <w:sz w:val="24"/>
          <w:szCs w:val="24"/>
        </w:rPr>
        <w:lastRenderedPageBreak/>
        <w:t>important. Some respondents completed the survey outside the ODD even though they were eligible members of the research population. Treating those coordinates as service activity would create a misleading map.</w:t>
      </w:r>
      <w:r w:rsidR="00F2285D">
        <w:rPr>
          <w:rFonts w:ascii="Times New Roman" w:hAnsi="Times New Roman" w:cs="Times New Roman"/>
          <w:color w:val="000000" w:themeColor="text1"/>
          <w:sz w:val="24"/>
          <w:szCs w:val="24"/>
        </w:rPr>
        <w:t xml:space="preserve"> </w:t>
      </w:r>
      <w:r w:rsidRPr="007A7DBF">
        <w:rPr>
          <w:rFonts w:ascii="Times New Roman" w:hAnsi="Times New Roman" w:cs="Times New Roman"/>
          <w:color w:val="000000" w:themeColor="text1"/>
          <w:sz w:val="24"/>
          <w:szCs w:val="24"/>
        </w:rPr>
        <w:t>At the current sample size, the map is descriptive rather than inferential. Its principal contribution is to make geography explicit and to prepare the workflow for future analysis of curb context, transit proximity, lighting, street complexity, and service boundaries.</w:t>
      </w:r>
    </w:p>
    <w:p w14:paraId="497B8A4C" w14:textId="77777777" w:rsidR="003E64BD" w:rsidRDefault="003E64BD" w:rsidP="003C556F">
      <w:pPr>
        <w:pStyle w:val="Heading1"/>
        <w:spacing w:before="0"/>
        <w:rPr>
          <w:rFonts w:ascii="Times New Roman" w:hAnsi="Times New Roman" w:cs="Times New Roman"/>
          <w:color w:val="000000" w:themeColor="text1"/>
          <w:szCs w:val="24"/>
        </w:rPr>
      </w:pPr>
    </w:p>
    <w:p w14:paraId="4A35091E" w14:textId="7348C35C" w:rsidR="00A545C7" w:rsidRPr="007A7DBF" w:rsidRDefault="003C556F" w:rsidP="003C556F">
      <w:pPr>
        <w:pStyle w:val="Heading1"/>
        <w:spacing w:before="0"/>
        <w:rPr>
          <w:rFonts w:ascii="Times New Roman" w:hAnsi="Times New Roman" w:cs="Times New Roman"/>
          <w:color w:val="000000" w:themeColor="text1"/>
          <w:szCs w:val="24"/>
        </w:rPr>
      </w:pPr>
      <w:r>
        <w:rPr>
          <w:rFonts w:ascii="Times New Roman" w:hAnsi="Times New Roman" w:cs="Times New Roman"/>
          <w:color w:val="000000" w:themeColor="text1"/>
          <w:szCs w:val="24"/>
        </w:rPr>
        <w:t>D</w:t>
      </w:r>
      <w:r w:rsidRPr="007A7DBF">
        <w:rPr>
          <w:rFonts w:ascii="Times New Roman" w:hAnsi="Times New Roman" w:cs="Times New Roman"/>
          <w:color w:val="000000" w:themeColor="text1"/>
          <w:szCs w:val="24"/>
        </w:rPr>
        <w:t>ISCUSSION</w:t>
      </w:r>
    </w:p>
    <w:p w14:paraId="6FABAAB3" w14:textId="76BF2299" w:rsidR="00A545C7" w:rsidRPr="007A7DBF" w:rsidRDefault="00000000" w:rsidP="003C556F">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Direct Experience Changes the Question</w:t>
      </w:r>
    </w:p>
    <w:p w14:paraId="27C076F6" w14:textId="77777777" w:rsidR="00A545C7" w:rsidRPr="007A7DBF" w:rsidRDefault="00000000" w:rsidP="003C556F">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The comparison between riders and non-riders suggests that direct experience changes the level at which people evaluate autonomous mobility. Non-riders were primarily constrained by whether the service was available at the right time and place. Riders moved quickly to questions of performance: Why did the vehicle brake that way? Why did it select that route? Where will it drop me? Is support </w:t>
      </w:r>
      <w:proofErr w:type="gramStart"/>
      <w:r w:rsidRPr="007A7DBF">
        <w:rPr>
          <w:rFonts w:ascii="Times New Roman" w:hAnsi="Times New Roman" w:cs="Times New Roman"/>
          <w:color w:val="000000" w:themeColor="text1"/>
          <w:sz w:val="24"/>
          <w:szCs w:val="24"/>
        </w:rPr>
        <w:t>actually listening</w:t>
      </w:r>
      <w:proofErr w:type="gramEnd"/>
      <w:r w:rsidRPr="007A7DBF">
        <w:rPr>
          <w:rFonts w:ascii="Times New Roman" w:hAnsi="Times New Roman" w:cs="Times New Roman"/>
          <w:color w:val="000000" w:themeColor="text1"/>
          <w:sz w:val="24"/>
          <w:szCs w:val="24"/>
        </w:rPr>
        <w:t>? What happens to the video inside the cabin?</w:t>
      </w:r>
    </w:p>
    <w:p w14:paraId="1DA07E6E"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This does not mean riding eliminates concern. It makes concern more specific. The shift from generalized uncertainty to operational critique is important for both research and public communication. Public acceptance should not be measured only as willingness to use a hypothetical AV. Once a service exists, trust becomes a judgment about the quality and legibility of the complete service.</w:t>
      </w:r>
    </w:p>
    <w:p w14:paraId="3833A5A9" w14:textId="77777777" w:rsidR="003C556F" w:rsidRDefault="003C556F" w:rsidP="003C556F">
      <w:pPr>
        <w:pStyle w:val="Heading2"/>
        <w:spacing w:before="0"/>
        <w:rPr>
          <w:rFonts w:ascii="Times New Roman" w:hAnsi="Times New Roman" w:cs="Times New Roman"/>
          <w:color w:val="000000" w:themeColor="text1"/>
          <w:sz w:val="24"/>
          <w:szCs w:val="24"/>
        </w:rPr>
      </w:pPr>
    </w:p>
    <w:p w14:paraId="311F0B3E" w14:textId="04407776" w:rsidR="00A545C7" w:rsidRPr="007A7DBF" w:rsidRDefault="00000000" w:rsidP="003C556F">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Vehicle Behavior as Communication</w:t>
      </w:r>
    </w:p>
    <w:p w14:paraId="0EFF15BB" w14:textId="77777777" w:rsidR="00A545C7" w:rsidRPr="007A7DBF" w:rsidRDefault="00000000" w:rsidP="003C556F">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prominence of vehicle behavior reinforces the distinction between collision avoidance and behavioral trust. Early automated systems often adopted conservative policies because ambiguity and edge cases carried high technical risk. From the passenger perspective, however, hesitation can look like confusion. Hard braking can feel like a late perception event even when it reflects a conservative control policy. Long following distances may be technically prudent but socially awkward when surrounding drivers respond aggressively.</w:t>
      </w:r>
    </w:p>
    <w:p w14:paraId="6AF14FFE"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More mature self-driving systems are increasingly anticipatory and assertive, but the goal should not be to reproduce human impatience. It is to make caution intelligible. Smooth deceleration, clear route progression, consistent gap acceptance, and timely interface explanations can help riders understand that the vehicle is managing uncertainty rather than failing to interpret it. This is a form of human-machine communication conducted through motion.</w:t>
      </w:r>
    </w:p>
    <w:p w14:paraId="43B580BF" w14:textId="77777777" w:rsidR="003C556F" w:rsidRDefault="003C556F" w:rsidP="003C556F">
      <w:pPr>
        <w:pStyle w:val="Heading2"/>
        <w:spacing w:before="0"/>
        <w:rPr>
          <w:rFonts w:ascii="Times New Roman" w:hAnsi="Times New Roman" w:cs="Times New Roman"/>
          <w:color w:val="000000" w:themeColor="text1"/>
          <w:sz w:val="24"/>
          <w:szCs w:val="24"/>
        </w:rPr>
      </w:pPr>
    </w:p>
    <w:p w14:paraId="4696B1CB" w14:textId="7ADB2208" w:rsidR="00A545C7" w:rsidRPr="007A7DBF" w:rsidRDefault="00000000" w:rsidP="003C556F">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Human-in-the-Loop Operations Are Part of Autonomy</w:t>
      </w:r>
    </w:p>
    <w:p w14:paraId="1E2F8F97"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The rider comments also clarify a recurring misconception: driverless does not mean humanless. Remote assistance, customer support, fleet operations, vehicle retrieval, and first-responder coordination remain central to resilient </w:t>
      </w:r>
      <w:proofErr w:type="gramStart"/>
      <w:r w:rsidRPr="007A7DBF">
        <w:rPr>
          <w:rFonts w:ascii="Times New Roman" w:hAnsi="Times New Roman" w:cs="Times New Roman"/>
          <w:color w:val="000000" w:themeColor="text1"/>
          <w:sz w:val="24"/>
          <w:szCs w:val="24"/>
        </w:rPr>
        <w:t>Level-4</w:t>
      </w:r>
      <w:proofErr w:type="gramEnd"/>
      <w:r w:rsidRPr="007A7DBF">
        <w:rPr>
          <w:rFonts w:ascii="Times New Roman" w:hAnsi="Times New Roman" w:cs="Times New Roman"/>
          <w:color w:val="000000" w:themeColor="text1"/>
          <w:sz w:val="24"/>
          <w:szCs w:val="24"/>
        </w:rPr>
        <w:t xml:space="preserve"> service. These functions do not convert the system into conventional remote driving, nor do they necessarily indicate a lower automation level. They are part of the operational architecture that surrounds the automated driving system.</w:t>
      </w:r>
    </w:p>
    <w:p w14:paraId="21A45B57"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The crucial design question is whether the human support layer is visible and understandable when riders need it. A recorded prompt that sounds like live assistance can increase anxiety. A live agent who successfully helps riders end a misrouted trip can restore confidence. </w:t>
      </w:r>
      <w:proofErr w:type="gramStart"/>
      <w:r w:rsidRPr="007A7DBF">
        <w:rPr>
          <w:rFonts w:ascii="Times New Roman" w:hAnsi="Times New Roman" w:cs="Times New Roman"/>
          <w:color w:val="000000" w:themeColor="text1"/>
          <w:sz w:val="24"/>
          <w:szCs w:val="24"/>
        </w:rPr>
        <w:t>Support status,</w:t>
      </w:r>
      <w:proofErr w:type="gramEnd"/>
      <w:r w:rsidRPr="007A7DBF">
        <w:rPr>
          <w:rFonts w:ascii="Times New Roman" w:hAnsi="Times New Roman" w:cs="Times New Roman"/>
          <w:color w:val="000000" w:themeColor="text1"/>
          <w:sz w:val="24"/>
          <w:szCs w:val="24"/>
        </w:rPr>
        <w:t xml:space="preserve"> expected response time, escalation level, and vehicle state should therefore be communicated as clearly as route and arrival information.</w:t>
      </w:r>
    </w:p>
    <w:p w14:paraId="1660B693" w14:textId="77777777" w:rsidR="003C556F" w:rsidRDefault="003C556F" w:rsidP="003C556F">
      <w:pPr>
        <w:pStyle w:val="Heading2"/>
        <w:spacing w:before="0"/>
        <w:rPr>
          <w:rFonts w:ascii="Times New Roman" w:hAnsi="Times New Roman" w:cs="Times New Roman"/>
          <w:color w:val="000000" w:themeColor="text1"/>
          <w:sz w:val="24"/>
          <w:szCs w:val="24"/>
        </w:rPr>
      </w:pPr>
    </w:p>
    <w:p w14:paraId="3950D705" w14:textId="3B2F085D" w:rsidR="00A545C7" w:rsidRPr="007A7DBF" w:rsidRDefault="00000000" w:rsidP="003C556F">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Curb Is a Safety Interface</w:t>
      </w:r>
    </w:p>
    <w:p w14:paraId="6D55C06B" w14:textId="77777777" w:rsidR="00A545C7" w:rsidRPr="007A7DBF" w:rsidRDefault="00000000" w:rsidP="003C556F">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findings make pickup and drop-off more than a secondary service-quality issue. The curb is where automated driving, pedestrian movement, lighting, accessibility, parking, and traffic operations meet. A system that cannot use the ideal curb may choose a technically legal alternative that is inconvenient or uncomfortable. At night, that choice can alter the perceived safety of the entire trip.</w:t>
      </w:r>
    </w:p>
    <w:p w14:paraId="0DC3AE67" w14:textId="77777777"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Cities and operators should therefore treat pickup/drop-off performance as a measurable component of AV safety and accessibility. Useful measures include distance from requested destination, wrong-side-of-street delivery, curb legality, lighting, sidewalk accessibility, transit proximity, and the frequency of rider-initiated trip termination. These measures would connect vehicle operations to urban design and curb-management policy.</w:t>
      </w:r>
    </w:p>
    <w:p w14:paraId="5F6A7048" w14:textId="77777777" w:rsidR="003C556F" w:rsidRPr="007A7DBF" w:rsidRDefault="003C556F" w:rsidP="008770FC">
      <w:pPr>
        <w:spacing w:after="0"/>
        <w:ind w:firstLine="720"/>
        <w:rPr>
          <w:rFonts w:ascii="Times New Roman" w:hAnsi="Times New Roman" w:cs="Times New Roman"/>
          <w:color w:val="000000" w:themeColor="text1"/>
          <w:sz w:val="24"/>
          <w:szCs w:val="24"/>
        </w:rPr>
      </w:pPr>
    </w:p>
    <w:p w14:paraId="27065DB1" w14:textId="6F0FEB10" w:rsidR="00A545C7" w:rsidRPr="007A7DBF" w:rsidRDefault="00000000" w:rsidP="003C556F">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What Public Narratives Can—and Cannot—Do</w:t>
      </w:r>
    </w:p>
    <w:p w14:paraId="3A451296" w14:textId="77777777" w:rsidR="00A545C7" w:rsidRPr="007A7DBF" w:rsidRDefault="00000000" w:rsidP="003C556F">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public-narrative test confirms the promise of data in the wild while also revealing its limits. Public records can identify operational categories rapidly and can preserve the chronology and geography of salient incidents. They are particularly useful for monitoring community impacts, visible service disruptions, and emerging interface problems.</w:t>
      </w:r>
    </w:p>
    <w:p w14:paraId="06E6E2AE"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They cannot establish safety rates without exposure denominators, and they cannot be assumed to represent ordinary riders. Viral events, duplicated reporting, platform demographics, and selective posting all shape the record. A responsible monitoring system should deduplicate incidents, retain source provenance, distinguish firsthand accounts from commentary, and report narrative counts separately from rider counts and crash metrics.</w:t>
      </w:r>
    </w:p>
    <w:p w14:paraId="6292ED0C" w14:textId="77777777"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framework is most defensible when it uses public narratives to decide what to investigate, not what to conclude. In this study, the Cruise rider data provide the grounding evidence; the public test records show that some of the same categories can be detected externally.</w:t>
      </w:r>
    </w:p>
    <w:p w14:paraId="7F4CB8B4" w14:textId="77777777" w:rsidR="003C556F" w:rsidRPr="007A7DBF" w:rsidRDefault="003C556F" w:rsidP="008770FC">
      <w:pPr>
        <w:spacing w:after="0"/>
        <w:ind w:firstLine="720"/>
        <w:rPr>
          <w:rFonts w:ascii="Times New Roman" w:hAnsi="Times New Roman" w:cs="Times New Roman"/>
          <w:color w:val="000000" w:themeColor="text1"/>
          <w:sz w:val="24"/>
          <w:szCs w:val="24"/>
        </w:rPr>
      </w:pPr>
    </w:p>
    <w:p w14:paraId="399CDC45" w14:textId="72768762" w:rsidR="00A545C7" w:rsidRPr="007A7DBF" w:rsidRDefault="00000000" w:rsidP="003C556F">
      <w:pPr>
        <w:pStyle w:val="Heading2"/>
        <w:spacing w:before="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Implications for Agencies and Operators</w:t>
      </w:r>
    </w:p>
    <w:p w14:paraId="51BB2705" w14:textId="77777777" w:rsidR="00A545C7" w:rsidRPr="007A7DBF" w:rsidRDefault="00000000" w:rsidP="003C556F">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For public agencies, the framework supports reporting requirements that extend beyond collisions. Operators could be asked to report support escalations, vehicle retrievals, repeated pickup/drop-off failures, passenger-initiated trip termination, and interaction with transit or emergency operations. These measures should be normalized by trips or miles where appropriate and paired with rider feedback.</w:t>
      </w:r>
    </w:p>
    <w:p w14:paraId="664F5E45" w14:textId="0D0A65E1" w:rsidR="00A545C7" w:rsidRDefault="00000000" w:rsidP="003C556F">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For operators, the findings argue for treating trust as a service-design outcome. Vehicle motion, pricing, routing, interface language, support, privacy disclosure, and curb selection all shape safety perceptions. Improving any one layer while neglecting the others will leave riders with an incomplete sense of competence.</w:t>
      </w:r>
      <w:r w:rsidR="003C556F">
        <w:rPr>
          <w:rFonts w:ascii="Times New Roman" w:hAnsi="Times New Roman" w:cs="Times New Roman"/>
          <w:color w:val="000000" w:themeColor="text1"/>
          <w:sz w:val="24"/>
          <w:szCs w:val="24"/>
        </w:rPr>
        <w:t xml:space="preserve"> </w:t>
      </w:r>
      <w:r w:rsidRPr="007A7DBF">
        <w:rPr>
          <w:rFonts w:ascii="Times New Roman" w:hAnsi="Times New Roman" w:cs="Times New Roman"/>
          <w:color w:val="000000" w:themeColor="text1"/>
          <w:sz w:val="24"/>
          <w:szCs w:val="24"/>
        </w:rPr>
        <w:t>For researchers, the contribution is a replicable hierarchy of evidence. Synthetic records validate code. Public narratives identify signals. Structured non-rider records describe barriers. Actual rider feedback anchors interpretation. Keeping these levels distinct prevents an attractive dashboard from becoming a substitute for methodological discipline.</w:t>
      </w:r>
    </w:p>
    <w:p w14:paraId="122949E0" w14:textId="77777777" w:rsidR="003C556F" w:rsidRPr="007A7DBF" w:rsidRDefault="003C556F" w:rsidP="008770FC">
      <w:pPr>
        <w:spacing w:after="0"/>
        <w:ind w:firstLine="720"/>
        <w:rPr>
          <w:rFonts w:ascii="Times New Roman" w:hAnsi="Times New Roman" w:cs="Times New Roman"/>
          <w:color w:val="000000" w:themeColor="text1"/>
          <w:sz w:val="24"/>
          <w:szCs w:val="24"/>
        </w:rPr>
      </w:pPr>
    </w:p>
    <w:p w14:paraId="0DE05782" w14:textId="5968BB3C" w:rsidR="00A545C7" w:rsidRPr="007A7DBF" w:rsidRDefault="00000000" w:rsidP="003C556F">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t>LIMITATIONS AND FUTURE RESEARCH</w:t>
      </w:r>
    </w:p>
    <w:p w14:paraId="11CC991E" w14:textId="77777777" w:rsidR="00414AD7" w:rsidRPr="00414AD7" w:rsidRDefault="00000000" w:rsidP="00414AD7">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This study is an early multi-source case analysis rather than a population-level assessment. The primary rider evidence comes from 23 university-affiliated participants using one operator in a </w:t>
      </w:r>
      <w:r w:rsidRPr="007A7DBF">
        <w:rPr>
          <w:rFonts w:ascii="Times New Roman" w:hAnsi="Times New Roman" w:cs="Times New Roman"/>
          <w:color w:val="000000" w:themeColor="text1"/>
          <w:sz w:val="24"/>
          <w:szCs w:val="24"/>
        </w:rPr>
        <w:lastRenderedPageBreak/>
        <w:t>restricted, largely nighttime San Francisco ODD during 2021–2022, and trips were initially provided free of charge. The findings may not generalize to current commercial service, other operators, daytime use, older travelers, or broader populations. The non-rider sample is larger but comes from the same recruitment context.</w:t>
      </w:r>
      <w:r w:rsidR="00414AD7">
        <w:rPr>
          <w:rFonts w:ascii="Times New Roman" w:hAnsi="Times New Roman" w:cs="Times New Roman"/>
          <w:color w:val="000000" w:themeColor="text1"/>
          <w:sz w:val="24"/>
          <w:szCs w:val="24"/>
        </w:rPr>
        <w:t xml:space="preserve"> </w:t>
      </w:r>
      <w:r w:rsidR="00414AD7" w:rsidRPr="00414AD7">
        <w:rPr>
          <w:rFonts w:ascii="Times New Roman" w:hAnsi="Times New Roman" w:cs="Times New Roman"/>
          <w:color w:val="000000" w:themeColor="text1"/>
          <w:sz w:val="24"/>
          <w:szCs w:val="24"/>
        </w:rPr>
        <w:t xml:space="preserve">The rider sample is modest and drawn from a single, university-affiliated </w:t>
      </w:r>
      <w:proofErr w:type="gramStart"/>
      <w:r w:rsidR="00414AD7" w:rsidRPr="00414AD7">
        <w:rPr>
          <w:rFonts w:ascii="Times New Roman" w:hAnsi="Times New Roman" w:cs="Times New Roman"/>
          <w:color w:val="000000" w:themeColor="text1"/>
          <w:sz w:val="24"/>
          <w:szCs w:val="24"/>
        </w:rPr>
        <w:t>Level-4</w:t>
      </w:r>
      <w:proofErr w:type="gramEnd"/>
      <w:r w:rsidR="00414AD7" w:rsidRPr="00414AD7">
        <w:rPr>
          <w:rFonts w:ascii="Times New Roman" w:hAnsi="Times New Roman" w:cs="Times New Roman"/>
          <w:color w:val="000000" w:themeColor="text1"/>
          <w:sz w:val="24"/>
          <w:szCs w:val="24"/>
        </w:rPr>
        <w:t xml:space="preserve"> deployment. Accordingly, the study does not estimate population-level prevalence or support causal inference. Its contribution lies instead in the depth of direct-experience data and in the triangulation of rider feedback with a larger non-rider sample and a public-narrative dataset. The multi-source design improves interpretive confidence in the issue categories identified, but it does not eliminate the need for larger, multi-operator rider studies.</w:t>
      </w:r>
    </w:p>
    <w:p w14:paraId="2C6D6028"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qualitative themes are based on 37 coded references and a single-researcher coding workflow. The WCS uses an explicitly subjective two-to-one weighting and should be interpreted only as a descriptive ranking. The test public-narrative dataset contains 20 curated records and is not representative. Rule-based scenario and sentiment labels require further manual validation, intercoder reliability testing, and comparison with supervised or large-language-model classification.</w:t>
      </w:r>
    </w:p>
    <w:p w14:paraId="7B0EAFD3" w14:textId="77777777"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Future work should expand the public-narrative sample through a documented sampling frame; compare Waymo, Cruise, Zoox, conventional ridehail, and transit; connect rider feedback to trip telemetry and curb conditions; and test whether recurring public signals predict formal complaints or operational interventions. Longitudinal surveys are also needed to determine whether direct experience produces durable trust or only short-term novelty effects.</w:t>
      </w:r>
    </w:p>
    <w:p w14:paraId="3BF199BF" w14:textId="77777777" w:rsidR="003C556F" w:rsidRPr="007A7DBF" w:rsidRDefault="003C556F" w:rsidP="008770FC">
      <w:pPr>
        <w:spacing w:after="0"/>
        <w:ind w:firstLine="720"/>
        <w:rPr>
          <w:rFonts w:ascii="Times New Roman" w:hAnsi="Times New Roman" w:cs="Times New Roman"/>
          <w:color w:val="000000" w:themeColor="text1"/>
          <w:sz w:val="24"/>
          <w:szCs w:val="24"/>
        </w:rPr>
      </w:pPr>
    </w:p>
    <w:p w14:paraId="7D7C34EC" w14:textId="33119162" w:rsidR="00A545C7" w:rsidRPr="007A7DBF" w:rsidRDefault="00000000" w:rsidP="003C556F">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t>CONCLUSION</w:t>
      </w:r>
    </w:p>
    <w:p w14:paraId="49360BE6" w14:textId="77777777" w:rsidR="003C556F" w:rsidRDefault="00000000" w:rsidP="003C556F">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Automated mobility will not earn trust through safety statistics alone. Crash and exposure metrics remain foundational, but riders encounter the technology as a service: a vehicle arrives at a curb, behaves in traffic, communicates—or fails to communicate—during uncertainty, and leaves the passenger somewhere in the city. Those interactions shape whether the system feels competent, useful, and legitimate.</w:t>
      </w:r>
      <w:r w:rsidR="003C556F">
        <w:rPr>
          <w:rFonts w:ascii="Times New Roman" w:hAnsi="Times New Roman" w:cs="Times New Roman"/>
          <w:color w:val="000000" w:themeColor="text1"/>
          <w:sz w:val="24"/>
          <w:szCs w:val="24"/>
        </w:rPr>
        <w:t xml:space="preserve"> </w:t>
      </w:r>
    </w:p>
    <w:p w14:paraId="2FD2566B" w14:textId="1297160F" w:rsidR="00A545C7" w:rsidRPr="007A7DBF" w:rsidRDefault="00000000" w:rsidP="003C556F">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This paper developed a multi-source framework for studying that experience. The Cruise research rider data show that direct users focused most strongly on vehicle behavior, incident response, emotional comfort, and nighttime safety. Structured responses show that the service often replaced conventional ridehail and sometimes transit or walking, while improving late-night mobility for 14 of 23 riders. Non-riders were constrained more by operating times, geographic coverage, and schedules than by categorical opposition to driverless technology.</w:t>
      </w:r>
    </w:p>
    <w:p w14:paraId="334A0510" w14:textId="77777777" w:rsidR="00A545C7" w:rsidRPr="007A7DBF"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exploratory public-narrative test recovered many of the same externally visible operational categories, offering preliminary validation of web-based monitoring as an early-warning tool. It also showed why scraped sentiment cannot stand alone. The quieter dimensions of rider experience—privacy, personal space, the ambiguity of support, and the social meaning of vehicle motion—are best captured through direct research with passengers.</w:t>
      </w:r>
    </w:p>
    <w:p w14:paraId="39B10783" w14:textId="77777777" w:rsidR="00A545C7" w:rsidRDefault="00000000" w:rsidP="008770FC">
      <w:pPr>
        <w:spacing w:after="0"/>
        <w:ind w:firstLine="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broader lesson is simple. Autonomous vehicles should be evaluated as urban mobility services, not merely as robotic drivers. A credible safety framework must connect technical performance with rider experience, curb operations, human support, and public narratives while keeping the evidentiary limits of each source visible. The open repository and Streamlit workflow provide a practical foundation for doing that work at a larger scale.</w:t>
      </w:r>
    </w:p>
    <w:p w14:paraId="07390A87" w14:textId="77777777" w:rsidR="003C556F" w:rsidRPr="007A7DBF" w:rsidRDefault="003C556F" w:rsidP="008770FC">
      <w:pPr>
        <w:spacing w:after="0"/>
        <w:ind w:firstLine="720"/>
        <w:rPr>
          <w:rFonts w:ascii="Times New Roman" w:hAnsi="Times New Roman" w:cs="Times New Roman"/>
          <w:color w:val="000000" w:themeColor="text1"/>
          <w:sz w:val="24"/>
          <w:szCs w:val="24"/>
        </w:rPr>
      </w:pPr>
    </w:p>
    <w:p w14:paraId="5779F81E" w14:textId="77777777" w:rsidR="00A545C7" w:rsidRPr="007A7DBF" w:rsidRDefault="00000000" w:rsidP="008770FC">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lastRenderedPageBreak/>
        <w:t>DATA AND CODE AVAILABILITY</w:t>
      </w:r>
    </w:p>
    <w:p w14:paraId="7D307455" w14:textId="77777777" w:rsidR="00A545C7" w:rsidRPr="007A7DBF"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The public-safe processed dataset, analysis scripts, and supporting materials are maintained at: https://github.com/williamwriggs/rideshare-safety-rider-analysis. The companion Streamlit application is available at: https://cruise-rider-safety.streamlit.app/. Raw survey data and personally identifying information are not publicly distributed.</w:t>
      </w:r>
    </w:p>
    <w:p w14:paraId="6B7E0FAD" w14:textId="77777777" w:rsidR="003C556F" w:rsidRDefault="003C556F" w:rsidP="008770FC">
      <w:pPr>
        <w:pStyle w:val="Heading1"/>
        <w:spacing w:before="0"/>
        <w:rPr>
          <w:rFonts w:ascii="Times New Roman" w:hAnsi="Times New Roman" w:cs="Times New Roman"/>
          <w:color w:val="000000" w:themeColor="text1"/>
          <w:szCs w:val="24"/>
        </w:rPr>
      </w:pPr>
    </w:p>
    <w:p w14:paraId="46EBCE20" w14:textId="78A4F5FE" w:rsidR="00A545C7" w:rsidRPr="007A7DBF" w:rsidRDefault="00000000" w:rsidP="008770FC">
      <w:pPr>
        <w:pStyle w:val="Heading1"/>
        <w:spacing w:before="0"/>
        <w:rPr>
          <w:rFonts w:ascii="Times New Roman" w:hAnsi="Times New Roman" w:cs="Times New Roman"/>
          <w:color w:val="000000" w:themeColor="text1"/>
          <w:szCs w:val="24"/>
        </w:rPr>
      </w:pPr>
      <w:r w:rsidRPr="007A7DBF">
        <w:rPr>
          <w:rFonts w:ascii="Times New Roman" w:hAnsi="Times New Roman" w:cs="Times New Roman"/>
          <w:color w:val="000000" w:themeColor="text1"/>
          <w:szCs w:val="24"/>
        </w:rPr>
        <w:t>ACKNOWLEDGMENTS</w:t>
      </w:r>
    </w:p>
    <w:p w14:paraId="5F4F7505" w14:textId="46F679A1" w:rsidR="00A545C7" w:rsidRPr="0049380B" w:rsidRDefault="00000000" w:rsidP="008770FC">
      <w:pPr>
        <w:spacing w:after="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The original Cruise Research Rider Program was conducted with support from Cruise LLC and the University of San Francisco. The author acknowledges the student researchers and participants who </w:t>
      </w:r>
      <w:r w:rsidRPr="0049380B">
        <w:rPr>
          <w:rFonts w:ascii="Times New Roman" w:hAnsi="Times New Roman" w:cs="Times New Roman"/>
          <w:color w:val="000000" w:themeColor="text1"/>
          <w:sz w:val="24"/>
          <w:szCs w:val="24"/>
        </w:rPr>
        <w:t>contributed to the pilot.</w:t>
      </w:r>
      <w:r w:rsidR="003C556F" w:rsidRPr="003C556F">
        <w:rPr>
          <w:rFonts w:ascii="Times New Roman" w:hAnsi="Times New Roman" w:cs="Times New Roman"/>
          <w:color w:val="000000" w:themeColor="text1"/>
          <w:sz w:val="24"/>
          <w:szCs w:val="24"/>
        </w:rPr>
        <w:t xml:space="preserve"> </w:t>
      </w:r>
      <w:r w:rsidR="003C556F" w:rsidRPr="0049380B">
        <w:rPr>
          <w:rFonts w:ascii="Times New Roman" w:hAnsi="Times New Roman" w:cs="Times New Roman"/>
          <w:color w:val="000000" w:themeColor="text1"/>
          <w:sz w:val="24"/>
          <w:szCs w:val="24"/>
        </w:rPr>
        <w:t>OpenAI’s GPT-5.5 Data Analyst toolkit was used for data cleaning and analysis in this work.</w:t>
      </w:r>
      <w:r w:rsidR="003C556F">
        <w:rPr>
          <w:rFonts w:ascii="Times New Roman" w:hAnsi="Times New Roman" w:cs="Times New Roman"/>
          <w:color w:val="000000" w:themeColor="text1"/>
          <w:sz w:val="24"/>
          <w:szCs w:val="24"/>
        </w:rPr>
        <w:t xml:space="preserve"> </w:t>
      </w:r>
      <w:proofErr w:type="spellStart"/>
      <w:r w:rsidR="003C556F">
        <w:rPr>
          <w:rFonts w:ascii="Times New Roman" w:hAnsi="Times New Roman" w:cs="Times New Roman"/>
          <w:color w:val="000000" w:themeColor="text1"/>
          <w:sz w:val="24"/>
          <w:szCs w:val="24"/>
        </w:rPr>
        <w:t>Github</w:t>
      </w:r>
      <w:proofErr w:type="spellEnd"/>
      <w:r w:rsidR="003C556F">
        <w:rPr>
          <w:rFonts w:ascii="Times New Roman" w:hAnsi="Times New Roman" w:cs="Times New Roman"/>
          <w:color w:val="000000" w:themeColor="text1"/>
          <w:sz w:val="24"/>
          <w:szCs w:val="24"/>
        </w:rPr>
        <w:t xml:space="preserve"> and </w:t>
      </w:r>
      <w:proofErr w:type="spellStart"/>
      <w:r w:rsidR="003C556F">
        <w:rPr>
          <w:rFonts w:ascii="Times New Roman" w:hAnsi="Times New Roman" w:cs="Times New Roman"/>
          <w:color w:val="000000" w:themeColor="text1"/>
          <w:sz w:val="24"/>
          <w:szCs w:val="24"/>
        </w:rPr>
        <w:t>Streamlit</w:t>
      </w:r>
      <w:proofErr w:type="spellEnd"/>
      <w:r w:rsidR="003C556F">
        <w:rPr>
          <w:rFonts w:ascii="Times New Roman" w:hAnsi="Times New Roman" w:cs="Times New Roman"/>
          <w:color w:val="000000" w:themeColor="text1"/>
          <w:sz w:val="24"/>
          <w:szCs w:val="24"/>
        </w:rPr>
        <w:t xml:space="preserve"> are used for archival. </w:t>
      </w:r>
    </w:p>
    <w:p w14:paraId="05910E94" w14:textId="77777777" w:rsidR="0049380B" w:rsidRPr="0049380B" w:rsidRDefault="0049380B" w:rsidP="008770FC">
      <w:pPr>
        <w:spacing w:after="0"/>
        <w:rPr>
          <w:rFonts w:ascii="Times New Roman" w:hAnsi="Times New Roman" w:cs="Times New Roman"/>
          <w:color w:val="000000" w:themeColor="text1"/>
          <w:sz w:val="24"/>
          <w:szCs w:val="24"/>
        </w:rPr>
      </w:pPr>
    </w:p>
    <w:p w14:paraId="4305F5EC" w14:textId="77777777" w:rsidR="0049380B" w:rsidRPr="0049380B" w:rsidRDefault="0049380B" w:rsidP="008770FC">
      <w:pPr>
        <w:spacing w:after="0"/>
        <w:rPr>
          <w:rFonts w:ascii="Times New Roman" w:hAnsi="Times New Roman" w:cs="Times New Roman"/>
          <w:b/>
          <w:color w:val="000000" w:themeColor="text1"/>
          <w:sz w:val="24"/>
          <w:szCs w:val="24"/>
        </w:rPr>
      </w:pPr>
      <w:r w:rsidRPr="0049380B">
        <w:rPr>
          <w:rFonts w:ascii="Times New Roman" w:hAnsi="Times New Roman" w:cs="Times New Roman"/>
          <w:b/>
          <w:color w:val="000000" w:themeColor="text1"/>
          <w:sz w:val="24"/>
          <w:szCs w:val="24"/>
        </w:rPr>
        <w:t>AUTHOR CONTRIBUTIONS</w:t>
      </w:r>
    </w:p>
    <w:p w14:paraId="56B83B32" w14:textId="23B2E13A" w:rsidR="0049380B" w:rsidRPr="0049380B" w:rsidRDefault="0049380B" w:rsidP="008770FC">
      <w:pPr>
        <w:spacing w:after="0"/>
        <w:rPr>
          <w:rFonts w:ascii="Times New Roman" w:hAnsi="Times New Roman" w:cs="Times New Roman"/>
          <w:color w:val="000000" w:themeColor="text1"/>
          <w:sz w:val="24"/>
          <w:szCs w:val="24"/>
        </w:rPr>
      </w:pPr>
      <w:r w:rsidRPr="0049380B">
        <w:rPr>
          <w:rFonts w:ascii="Times New Roman" w:hAnsi="Times New Roman" w:cs="Times New Roman"/>
          <w:color w:val="000000" w:themeColor="text1"/>
          <w:sz w:val="24"/>
          <w:szCs w:val="24"/>
        </w:rPr>
        <w:t>The authors confirm contribution to the paper as follows: study conception and design: William Riggs; data collection: William Riggs</w:t>
      </w:r>
      <w:r w:rsidR="003C556F">
        <w:rPr>
          <w:rFonts w:ascii="Times New Roman" w:hAnsi="Times New Roman" w:cs="Times New Roman"/>
          <w:color w:val="000000" w:themeColor="text1"/>
          <w:sz w:val="24"/>
          <w:szCs w:val="24"/>
        </w:rPr>
        <w:t xml:space="preserve"> and Cayden Rooney</w:t>
      </w:r>
      <w:r w:rsidRPr="0049380B">
        <w:rPr>
          <w:rFonts w:ascii="Times New Roman" w:hAnsi="Times New Roman" w:cs="Times New Roman"/>
          <w:color w:val="000000" w:themeColor="text1"/>
          <w:sz w:val="24"/>
          <w:szCs w:val="24"/>
        </w:rPr>
        <w:t>;</w:t>
      </w:r>
      <w:r w:rsidR="003C556F">
        <w:rPr>
          <w:rFonts w:ascii="Times New Roman" w:hAnsi="Times New Roman" w:cs="Times New Roman"/>
          <w:color w:val="000000" w:themeColor="text1"/>
          <w:sz w:val="24"/>
          <w:szCs w:val="24"/>
        </w:rPr>
        <w:t xml:space="preserve"> initial coding: Cayden Rooney; final coding,</w:t>
      </w:r>
      <w:r w:rsidRPr="0049380B">
        <w:rPr>
          <w:rFonts w:ascii="Times New Roman" w:hAnsi="Times New Roman" w:cs="Times New Roman"/>
          <w:color w:val="000000" w:themeColor="text1"/>
          <w:sz w:val="24"/>
          <w:szCs w:val="24"/>
        </w:rPr>
        <w:t xml:space="preserve"> analysis and interpretation of results: William Riggs; draft manuscript preparation: William Riggs. All authors reviewed the results and approved the final version of the manuscript.</w:t>
      </w:r>
    </w:p>
    <w:p w14:paraId="74C3CC8B" w14:textId="77777777" w:rsidR="0049380B" w:rsidRPr="0049380B" w:rsidRDefault="0049380B" w:rsidP="008770FC">
      <w:pPr>
        <w:spacing w:after="0"/>
        <w:rPr>
          <w:rFonts w:ascii="Times New Roman" w:hAnsi="Times New Roman" w:cs="Times New Roman"/>
          <w:color w:val="000000" w:themeColor="text1"/>
          <w:sz w:val="24"/>
          <w:szCs w:val="24"/>
        </w:rPr>
      </w:pPr>
    </w:p>
    <w:p w14:paraId="168AF978" w14:textId="77777777" w:rsidR="0049380B" w:rsidRPr="0049380B" w:rsidRDefault="0049380B" w:rsidP="008770FC">
      <w:pPr>
        <w:spacing w:after="0"/>
        <w:rPr>
          <w:rFonts w:ascii="Times New Roman" w:hAnsi="Times New Roman" w:cs="Times New Roman"/>
          <w:b/>
          <w:bCs/>
          <w:color w:val="000000" w:themeColor="text1"/>
          <w:sz w:val="24"/>
          <w:szCs w:val="24"/>
        </w:rPr>
      </w:pPr>
      <w:r w:rsidRPr="0049380B">
        <w:rPr>
          <w:rFonts w:ascii="Times New Roman" w:hAnsi="Times New Roman" w:cs="Times New Roman"/>
          <w:b/>
          <w:bCs/>
          <w:color w:val="000000" w:themeColor="text1"/>
          <w:sz w:val="24"/>
          <w:szCs w:val="24"/>
        </w:rPr>
        <w:t>DECLARATION OF CONFLICTING INTERESTS</w:t>
      </w:r>
    </w:p>
    <w:p w14:paraId="6C912591" w14:textId="77777777" w:rsidR="0049380B" w:rsidRPr="0049380B" w:rsidRDefault="0049380B" w:rsidP="008770FC">
      <w:pPr>
        <w:spacing w:after="0"/>
        <w:rPr>
          <w:rFonts w:ascii="Times New Roman" w:hAnsi="Times New Roman" w:cs="Times New Roman"/>
          <w:color w:val="000000" w:themeColor="text1"/>
          <w:sz w:val="24"/>
          <w:szCs w:val="24"/>
        </w:rPr>
      </w:pPr>
      <w:r w:rsidRPr="0049380B">
        <w:rPr>
          <w:rFonts w:ascii="Times New Roman" w:hAnsi="Times New Roman" w:cs="Times New Roman"/>
          <w:color w:val="000000" w:themeColor="text1"/>
          <w:sz w:val="24"/>
          <w:szCs w:val="24"/>
        </w:rPr>
        <w:t>The authors declared no potential conflicts of interest with respect to the research, authorship, and/or publication of this article.</w:t>
      </w:r>
    </w:p>
    <w:p w14:paraId="175B15A1" w14:textId="77777777" w:rsidR="0049380B" w:rsidRPr="0049380B" w:rsidRDefault="0049380B" w:rsidP="008770FC">
      <w:pPr>
        <w:spacing w:after="0"/>
        <w:rPr>
          <w:rFonts w:ascii="Times New Roman" w:hAnsi="Times New Roman" w:cs="Times New Roman"/>
          <w:color w:val="000000" w:themeColor="text1"/>
          <w:sz w:val="24"/>
          <w:szCs w:val="24"/>
        </w:rPr>
      </w:pPr>
    </w:p>
    <w:p w14:paraId="1C596ED3" w14:textId="77777777" w:rsidR="0049380B" w:rsidRPr="0049380B" w:rsidRDefault="0049380B" w:rsidP="008770FC">
      <w:pPr>
        <w:spacing w:after="0"/>
        <w:rPr>
          <w:rFonts w:ascii="Times New Roman" w:hAnsi="Times New Roman" w:cs="Times New Roman"/>
          <w:b/>
          <w:bCs/>
          <w:color w:val="000000" w:themeColor="text1"/>
          <w:sz w:val="24"/>
          <w:szCs w:val="24"/>
        </w:rPr>
      </w:pPr>
      <w:r w:rsidRPr="0049380B">
        <w:rPr>
          <w:rFonts w:ascii="Times New Roman" w:hAnsi="Times New Roman" w:cs="Times New Roman"/>
          <w:b/>
          <w:bCs/>
          <w:color w:val="000000" w:themeColor="text1"/>
          <w:sz w:val="24"/>
          <w:szCs w:val="24"/>
        </w:rPr>
        <w:t>FUNDING</w:t>
      </w:r>
    </w:p>
    <w:p w14:paraId="2DFD4402" w14:textId="77777777" w:rsidR="0049380B" w:rsidRPr="0049380B" w:rsidRDefault="0049380B" w:rsidP="008770FC">
      <w:pPr>
        <w:spacing w:after="0"/>
        <w:rPr>
          <w:rFonts w:ascii="Times New Roman" w:hAnsi="Times New Roman" w:cs="Times New Roman"/>
          <w:color w:val="000000" w:themeColor="text1"/>
          <w:sz w:val="24"/>
          <w:szCs w:val="24"/>
        </w:rPr>
      </w:pPr>
      <w:r w:rsidRPr="0049380B">
        <w:rPr>
          <w:rFonts w:ascii="Times New Roman" w:hAnsi="Times New Roman" w:cs="Times New Roman"/>
          <w:color w:val="000000" w:themeColor="text1"/>
          <w:sz w:val="24"/>
          <w:szCs w:val="24"/>
        </w:rPr>
        <w:t>The authors disclosed no financial support for the research, authorship, and/or publication of this article.</w:t>
      </w:r>
    </w:p>
    <w:p w14:paraId="0CE33161" w14:textId="77777777" w:rsidR="0049380B" w:rsidRPr="0049380B" w:rsidRDefault="0049380B" w:rsidP="008770FC">
      <w:pPr>
        <w:spacing w:after="0"/>
        <w:rPr>
          <w:rFonts w:ascii="Times New Roman" w:hAnsi="Times New Roman" w:cs="Times New Roman"/>
          <w:color w:val="000000" w:themeColor="text1"/>
          <w:sz w:val="24"/>
          <w:szCs w:val="24"/>
        </w:rPr>
      </w:pPr>
    </w:p>
    <w:p w14:paraId="06492107" w14:textId="77777777" w:rsidR="00A545C7" w:rsidRPr="0049380B" w:rsidRDefault="00000000" w:rsidP="008770FC">
      <w:pPr>
        <w:pStyle w:val="Heading1"/>
        <w:spacing w:before="0"/>
        <w:rPr>
          <w:rFonts w:ascii="Times New Roman" w:hAnsi="Times New Roman" w:cs="Times New Roman"/>
          <w:color w:val="000000" w:themeColor="text1"/>
          <w:szCs w:val="24"/>
        </w:rPr>
      </w:pPr>
      <w:r w:rsidRPr="0049380B">
        <w:rPr>
          <w:rFonts w:ascii="Times New Roman" w:hAnsi="Times New Roman" w:cs="Times New Roman"/>
          <w:color w:val="000000" w:themeColor="text1"/>
          <w:szCs w:val="24"/>
        </w:rPr>
        <w:t>REFERENCES</w:t>
      </w:r>
    </w:p>
    <w:p w14:paraId="3E84C5B6"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Appleyard, B., &amp; Riggs, W. (2021). Human rights to the street: Ethical frameworks to guide planning, design, and engineering decisions toward livability, equity, and justice. Journal of Transport and Land Use, 14(1).</w:t>
      </w:r>
    </w:p>
    <w:p w14:paraId="06A1AB7E"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Batur, I., Asmussen, K. E., Mondal, A., Khoeini, S., Magassy, T. B., Pendyala, R. M., &amp; Bhat, C. R. (2022). Understanding interest in personal ownership and use of autonomous vehicles for running errands. Transportation Research Record.</w:t>
      </w:r>
    </w:p>
    <w:p w14:paraId="033CA21F"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Charmaz, K. (2014). Constructing grounded theory (2nd ed.). Sage.</w:t>
      </w:r>
    </w:p>
    <w:p w14:paraId="48242C38"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Cornet, H., Stadler, S., Kong, P., Marinkovic, G., Frenkler, F., &amp; Sathikh, P. M. (2019). User-centred design of autonomous mobility for public transportation in Singapore. Transportation Research Procedia, 41, 191–203.</w:t>
      </w:r>
    </w:p>
    <w:p w14:paraId="2EC13996"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Fagnant, D. J., &amp; Kockelman, K. M. (2014). The travel and environmental implications of shared autonomous vehicles, using agent-based model scenarios. Transportation Research Part C, 40, 1–13.</w:t>
      </w:r>
    </w:p>
    <w:p w14:paraId="45CB06C9"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Guo, J., Kang, X., Susilo, Y., Antoniou, C., &amp; Pernestål, A. (2025). Temporal patterns of user acceptance and recommendation of automated buses. Travel Behaviour and Society, 38, 100909.</w:t>
      </w:r>
    </w:p>
    <w:p w14:paraId="18D017F3"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lastRenderedPageBreak/>
        <w:t>Guest, G., Namey, E., &amp; Chen, M. (2020). A simple method to assess and report thematic saturation in qualitative research. PLOS ONE, 15(5), e0232076.</w:t>
      </w:r>
    </w:p>
    <w:p w14:paraId="02339155"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Harb, M., Xiao, Y., Circella, G., Mokhtarian, P. L., &amp; Walker, J. L. (2018). Projecting travelers into a world of self-driving vehicles: Estimating travel behavior implications via a naturalistic experiment. Transportation, 45(6), 1671–1685.</w:t>
      </w:r>
    </w:p>
    <w:p w14:paraId="0F5B2B5F"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Hilgarter, K., &amp; Granig, P. (2020). Public perception of autonomous vehicles: A qualitative study based on interviews after riding an autonomous shuttle. Transportation Research Part F, 72, 226–243.</w:t>
      </w:r>
    </w:p>
    <w:p w14:paraId="379B858D"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Kusano, K. D., Beatty, K., Schnelle, S., Favaro, F., Crary, C., &amp; Victor, T. (2022). Collision avoidance testing of the Waymo Automated Driving System. arXiv:2212.08148.</w:t>
      </w:r>
    </w:p>
    <w:p w14:paraId="645F38E1"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Miles, M. B., Huberman, A. M., &amp; Saldaña, J. (2014). Qualitative data analysis: A methods sourcebook. Sage.</w:t>
      </w:r>
    </w:p>
    <w:p w14:paraId="3415F498"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Paden, B., Čáp, M., Yong, S. Z., Yershov, D., &amp; Frazzoli, E. (2016). A survey of motion planning and control techniques for self-driving urban vehicles. IEEE Transactions on Intelligent Vehicles, 1(1), 33–55.</w:t>
      </w:r>
    </w:p>
    <w:p w14:paraId="4955316D"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Raats, K., Lund, J., &amp; Brodersen, M. (2024). Trust in autonomous vehicles: Insights from a Swedish suburb. Journal of Responsible Innovation, 11(1), 2318825.</w:t>
      </w:r>
    </w:p>
    <w:p w14:paraId="64560401"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Riggs, W., &amp; Beiker, S. A. (2020). Business models for shared and autonomous mobility. In Road Vehicle Automation 7 (pp. 33–48). Springer.</w:t>
      </w:r>
    </w:p>
    <w:p w14:paraId="52E4794C"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Riggs, W., &amp; Pande, A. (2021). Gaps and opportunities in accessibility policy for autonomous vehicles. Mineta Transportation Institute.</w:t>
      </w:r>
    </w:p>
    <w:p w14:paraId="220E37C5"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Riggs, W., Schrage, N., Shukla, S., &amp; Mark, S. (2023). The trip characteristics of a pilot autonomous vehicle rider program: Revealing late night service needs and desired increases in service quality, reliability and safety. In Road Vehicle Automation 10 (pp. 93–107). Springer.</w:t>
      </w:r>
    </w:p>
    <w:p w14:paraId="167E4E45"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Riggs, W., &amp; Shukla, S. (2022). Research Rider Pilot Project: Trip patterns and experiences in autonomous vehicles. SSRN 4118929.</w:t>
      </w:r>
    </w:p>
    <w:p w14:paraId="068D6E68"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Saldaña, J. (2021). Coding techniques for quantitative and mixed data. In The Routledge Reviewer’s Guide to Mixed Methods Analysis.</w:t>
      </w:r>
    </w:p>
    <w:p w14:paraId="7AD14E3D"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Shladover, S. E. (2018). Connected and automated vehicle systems: Introduction and overview. Journal of Intelligent Transportation Systems, 22(3), 190–200.</w:t>
      </w:r>
    </w:p>
    <w:p w14:paraId="4AB37EC8"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Strauss, A., &amp; Corbin, J. (1998). Basics of qualitative research: Techniques and procedures for developing grounded theory. Sage.</w:t>
      </w:r>
    </w:p>
    <w:p w14:paraId="6313ABD3"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Victor, T., Kusano, K., Gode, T., Chen, R., &amp; Schwall, M. (2024). Safety performance of the Waymo rider-only automated driving system at one million miles. Waymo.</w:t>
      </w:r>
    </w:p>
    <w:p w14:paraId="04B3B072"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lastRenderedPageBreak/>
        <w:t>Wang, W., Wang, L., Zhang, C., Liu, C., &amp; Sun, L. (2022). Social interactions for autonomous driving: A review and perspectives. Foundations and Trends in Robotics, 10(3–4), 198–376.</w:t>
      </w:r>
    </w:p>
    <w:p w14:paraId="7C84C360"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Webb, N., Smith, D., Ludwick, C., Victor, T., Hommes, Q., Favaro, F., Ivanov, G., &amp; Daniel, T. (2020). Waymo’s safety methodologies and safety readiness determinations. arXiv:2011.00054.</w:t>
      </w:r>
    </w:p>
    <w:p w14:paraId="0C484266"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 xml:space="preserve">Xiao, J., &amp; Goulias, K. G. (2021). </w:t>
      </w:r>
      <w:proofErr w:type="gramStart"/>
      <w:r w:rsidRPr="007A7DBF">
        <w:rPr>
          <w:rFonts w:ascii="Times New Roman" w:hAnsi="Times New Roman" w:cs="Times New Roman"/>
          <w:color w:val="000000" w:themeColor="text1"/>
          <w:sz w:val="24"/>
          <w:szCs w:val="24"/>
        </w:rPr>
        <w:t>How</w:t>
      </w:r>
      <w:proofErr w:type="gramEnd"/>
      <w:r w:rsidRPr="007A7DBF">
        <w:rPr>
          <w:rFonts w:ascii="Times New Roman" w:hAnsi="Times New Roman" w:cs="Times New Roman"/>
          <w:color w:val="000000" w:themeColor="text1"/>
          <w:sz w:val="24"/>
          <w:szCs w:val="24"/>
        </w:rPr>
        <w:t xml:space="preserve"> public interest and concerns about autonomous vehicles change over time: A study of repeated cross-sectional travel survey data of the Puget Sound Region. Transportation Research Part C, 133, 103446.</w:t>
      </w:r>
    </w:p>
    <w:p w14:paraId="4B27F495"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Xing, Y., Zhou, H., Han, X., Zhang, M., &amp; Lu, J. (2022). What influences vulnerable road users’ perceptions of autonomous vehicles? Technological Forecasting and Social Change, 176, 121454.</w:t>
      </w:r>
    </w:p>
    <w:p w14:paraId="56DED471" w14:textId="77777777" w:rsidR="00A545C7" w:rsidRPr="007A7DBF" w:rsidRDefault="00000000" w:rsidP="003C556F">
      <w:pPr>
        <w:spacing w:after="200"/>
        <w:ind w:left="720" w:hanging="720"/>
        <w:rPr>
          <w:rFonts w:ascii="Times New Roman" w:hAnsi="Times New Roman" w:cs="Times New Roman"/>
          <w:color w:val="000000" w:themeColor="text1"/>
          <w:sz w:val="24"/>
          <w:szCs w:val="24"/>
        </w:rPr>
      </w:pPr>
      <w:r w:rsidRPr="007A7DBF">
        <w:rPr>
          <w:rFonts w:ascii="Times New Roman" w:hAnsi="Times New Roman" w:cs="Times New Roman"/>
          <w:color w:val="000000" w:themeColor="text1"/>
          <w:sz w:val="24"/>
          <w:szCs w:val="24"/>
        </w:rPr>
        <w:t>Zhao, X., Susilo, Y. O., &amp; Pernestål, A. (2022). The dynamic and long-term changes of automated bus service adoption. Transportation Research Part A, 155, 450–463.</w:t>
      </w:r>
    </w:p>
    <w:sectPr w:rsidR="00A545C7" w:rsidRPr="007A7DBF" w:rsidSect="00B9619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F41F33" w14:textId="77777777" w:rsidR="00D66F42" w:rsidRDefault="00D66F42" w:rsidP="007A7DBF">
      <w:pPr>
        <w:spacing w:after="0"/>
      </w:pPr>
      <w:r>
        <w:separator/>
      </w:r>
    </w:p>
  </w:endnote>
  <w:endnote w:type="continuationSeparator" w:id="0">
    <w:p w14:paraId="0EC7E7BE" w14:textId="77777777" w:rsidR="00D66F42" w:rsidRDefault="00D66F42" w:rsidP="007A7D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0746994"/>
      <w:docPartObj>
        <w:docPartGallery w:val="Page Numbers (Bottom of Page)"/>
        <w:docPartUnique/>
      </w:docPartObj>
    </w:sdtPr>
    <w:sdtContent>
      <w:p w14:paraId="6CC6CAEC" w14:textId="095A1C4A" w:rsidR="00B96198" w:rsidRDefault="00B96198" w:rsidP="00E230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76C740" w14:textId="77777777" w:rsidR="00B96198" w:rsidRDefault="00B961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0961899"/>
      <w:docPartObj>
        <w:docPartGallery w:val="Page Numbers (Bottom of Page)"/>
        <w:docPartUnique/>
      </w:docPartObj>
    </w:sdtPr>
    <w:sdtEndPr>
      <w:rPr>
        <w:rStyle w:val="PageNumber"/>
        <w:rFonts w:ascii="Times New Roman" w:hAnsi="Times New Roman" w:cs="Times New Roman"/>
        <w:sz w:val="24"/>
        <w:szCs w:val="24"/>
      </w:rPr>
    </w:sdtEndPr>
    <w:sdtContent>
      <w:p w14:paraId="62E87311" w14:textId="759E77FE" w:rsidR="00B96198" w:rsidRPr="00B96198" w:rsidRDefault="00B96198" w:rsidP="00E23059">
        <w:pPr>
          <w:pStyle w:val="Footer"/>
          <w:framePr w:wrap="none" w:vAnchor="text" w:hAnchor="margin" w:xAlign="center" w:y="1"/>
          <w:rPr>
            <w:rStyle w:val="PageNumber"/>
            <w:rFonts w:ascii="Times New Roman" w:hAnsi="Times New Roman" w:cs="Times New Roman"/>
            <w:sz w:val="24"/>
            <w:szCs w:val="24"/>
          </w:rPr>
        </w:pPr>
        <w:r w:rsidRPr="00B96198">
          <w:rPr>
            <w:rStyle w:val="PageNumber"/>
            <w:rFonts w:ascii="Times New Roman" w:hAnsi="Times New Roman" w:cs="Times New Roman"/>
            <w:sz w:val="24"/>
            <w:szCs w:val="24"/>
          </w:rPr>
          <w:fldChar w:fldCharType="begin"/>
        </w:r>
        <w:r w:rsidRPr="00B96198">
          <w:rPr>
            <w:rStyle w:val="PageNumber"/>
            <w:rFonts w:ascii="Times New Roman" w:hAnsi="Times New Roman" w:cs="Times New Roman"/>
            <w:sz w:val="24"/>
            <w:szCs w:val="24"/>
          </w:rPr>
          <w:instrText xml:space="preserve"> PAGE </w:instrText>
        </w:r>
        <w:r w:rsidRPr="00B96198">
          <w:rPr>
            <w:rStyle w:val="PageNumber"/>
            <w:rFonts w:ascii="Times New Roman" w:hAnsi="Times New Roman" w:cs="Times New Roman"/>
            <w:sz w:val="24"/>
            <w:szCs w:val="24"/>
          </w:rPr>
          <w:fldChar w:fldCharType="separate"/>
        </w:r>
        <w:r w:rsidRPr="00B96198">
          <w:rPr>
            <w:rStyle w:val="PageNumber"/>
            <w:rFonts w:ascii="Times New Roman" w:hAnsi="Times New Roman" w:cs="Times New Roman"/>
            <w:noProof/>
            <w:sz w:val="24"/>
            <w:szCs w:val="24"/>
          </w:rPr>
          <w:t>2</w:t>
        </w:r>
        <w:r w:rsidRPr="00B96198">
          <w:rPr>
            <w:rStyle w:val="PageNumber"/>
            <w:rFonts w:ascii="Times New Roman" w:hAnsi="Times New Roman" w:cs="Times New Roman"/>
            <w:sz w:val="24"/>
            <w:szCs w:val="24"/>
          </w:rPr>
          <w:fldChar w:fldCharType="end"/>
        </w:r>
      </w:p>
    </w:sdtContent>
  </w:sdt>
  <w:p w14:paraId="020DB514" w14:textId="77777777" w:rsidR="00B96198" w:rsidRPr="00B96198" w:rsidRDefault="00B96198">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645B86" w14:textId="77777777" w:rsidR="00D66F42" w:rsidRDefault="00D66F42" w:rsidP="007A7DBF">
      <w:pPr>
        <w:spacing w:after="0"/>
      </w:pPr>
      <w:r>
        <w:separator/>
      </w:r>
    </w:p>
  </w:footnote>
  <w:footnote w:type="continuationSeparator" w:id="0">
    <w:p w14:paraId="4386211E" w14:textId="77777777" w:rsidR="00D66F42" w:rsidRDefault="00D66F42" w:rsidP="007A7D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BCC03" w14:textId="3AAE3E13" w:rsidR="00B96198" w:rsidRPr="00B96198" w:rsidRDefault="00B96198">
    <w:pPr>
      <w:pStyle w:val="Header"/>
      <w:rPr>
        <w:rFonts w:ascii="Times New Roman" w:hAnsi="Times New Roman" w:cs="Times New Roman"/>
        <w:i/>
        <w:iCs/>
        <w:sz w:val="22"/>
        <w:szCs w:val="28"/>
      </w:rPr>
    </w:pPr>
    <w:r w:rsidRPr="00B96198">
      <w:rPr>
        <w:rFonts w:ascii="Times New Roman" w:hAnsi="Times New Roman" w:cs="Times New Roman"/>
        <w:i/>
        <w:iCs/>
        <w:sz w:val="22"/>
        <w:szCs w:val="28"/>
      </w:rPr>
      <w:t>Riggs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52104">
    <w:abstractNumId w:val="8"/>
  </w:num>
  <w:num w:numId="2" w16cid:durableId="154077307">
    <w:abstractNumId w:val="6"/>
  </w:num>
  <w:num w:numId="3" w16cid:durableId="111755364">
    <w:abstractNumId w:val="5"/>
  </w:num>
  <w:num w:numId="4" w16cid:durableId="2068801526">
    <w:abstractNumId w:val="4"/>
  </w:num>
  <w:num w:numId="5" w16cid:durableId="1382512129">
    <w:abstractNumId w:val="7"/>
  </w:num>
  <w:num w:numId="6" w16cid:durableId="1015231422">
    <w:abstractNumId w:val="3"/>
  </w:num>
  <w:num w:numId="7" w16cid:durableId="923881625">
    <w:abstractNumId w:val="2"/>
  </w:num>
  <w:num w:numId="8" w16cid:durableId="1419643645">
    <w:abstractNumId w:val="1"/>
  </w:num>
  <w:num w:numId="9" w16cid:durableId="21015580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09DA"/>
    <w:rsid w:val="00247F40"/>
    <w:rsid w:val="0029639D"/>
    <w:rsid w:val="00326F90"/>
    <w:rsid w:val="003C2D1A"/>
    <w:rsid w:val="003C556F"/>
    <w:rsid w:val="003E64BD"/>
    <w:rsid w:val="00414AD7"/>
    <w:rsid w:val="0049380B"/>
    <w:rsid w:val="004E1040"/>
    <w:rsid w:val="005138B1"/>
    <w:rsid w:val="00667596"/>
    <w:rsid w:val="007662C3"/>
    <w:rsid w:val="007A7DBF"/>
    <w:rsid w:val="008770FC"/>
    <w:rsid w:val="008A5600"/>
    <w:rsid w:val="008D34BF"/>
    <w:rsid w:val="00A545C7"/>
    <w:rsid w:val="00AA1D8D"/>
    <w:rsid w:val="00AB2D65"/>
    <w:rsid w:val="00AE5536"/>
    <w:rsid w:val="00B47730"/>
    <w:rsid w:val="00B96198"/>
    <w:rsid w:val="00C064DC"/>
    <w:rsid w:val="00CB0664"/>
    <w:rsid w:val="00D66F42"/>
    <w:rsid w:val="00F228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44559"/>
  <w14:defaultImageDpi w14:val="300"/>
  <w15:docId w15:val="{2C1B6389-D8A2-6041-BB3C-496817D5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7DBF"/>
    <w:rPr>
      <w:color w:val="0000FF" w:themeColor="hyperlink"/>
      <w:u w:val="single"/>
    </w:rPr>
  </w:style>
  <w:style w:type="character" w:styleId="UnresolvedMention">
    <w:name w:val="Unresolved Mention"/>
    <w:basedOn w:val="DefaultParagraphFont"/>
    <w:uiPriority w:val="99"/>
    <w:semiHidden/>
    <w:unhideWhenUsed/>
    <w:rsid w:val="007A7DBF"/>
    <w:rPr>
      <w:color w:val="605E5C"/>
      <w:shd w:val="clear" w:color="auto" w:fill="E1DFDD"/>
    </w:rPr>
  </w:style>
  <w:style w:type="character" w:styleId="PageNumber">
    <w:name w:val="page number"/>
    <w:basedOn w:val="DefaultParagraphFont"/>
    <w:uiPriority w:val="99"/>
    <w:semiHidden/>
    <w:unhideWhenUsed/>
    <w:rsid w:val="00B96198"/>
  </w:style>
  <w:style w:type="paragraph" w:customStyle="1" w:styleId="p1">
    <w:name w:val="p1"/>
    <w:basedOn w:val="Normal"/>
    <w:rsid w:val="0066759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67596"/>
  </w:style>
  <w:style w:type="paragraph" w:customStyle="1" w:styleId="p2">
    <w:name w:val="p2"/>
    <w:basedOn w:val="Normal"/>
    <w:rsid w:val="0066759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riggs@usfca.ed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cprooney@usfca.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6935</Words>
  <Characters>42932</Characters>
  <Application>Microsoft Office Word</Application>
  <DocSecurity>0</DocSecurity>
  <Lines>894</Lines>
  <Paragraphs>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Riggs</cp:lastModifiedBy>
  <cp:revision>3</cp:revision>
  <dcterms:created xsi:type="dcterms:W3CDTF">2026-08-02T05:45:00Z</dcterms:created>
  <dcterms:modified xsi:type="dcterms:W3CDTF">2026-08-02T05:54:00Z</dcterms:modified>
  <cp:category/>
</cp:coreProperties>
</file>