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9A2E" w:sz="24" w:space="1"/>
        </w:pBdr>
        <w:spacing w:after="0"/>
      </w:pPr>
      <w:r>
        <w:t xml:space="preserve"/>
      </w:r>
    </w:p>
    <w:p>
      <w:pPr>
        <w:spacing w:after="40" w:before="360"/>
        <w:jc w:val="center"/>
      </w:pPr>
      <w:r>
        <w:drawing>
          <wp:inline distT="0" distB="0" distL="0" distR="0">
            <wp:extent cx="1028700" cy="112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200"/>
        <w:jc w:val="center"/>
      </w:pPr>
      <w:r>
        <w:rPr>
          <w:rFonts w:ascii="Cambria" w:cs="Cambria" w:eastAsia="Cambria" w:hAnsi="Cambria"/>
          <w:b/>
          <w:bCs/>
          <w:color w:val="0E2740"/>
          <w:spacing w:val="10"/>
          <w:sz w:val="30"/>
          <w:szCs w:val="30"/>
        </w:rPr>
        <w:t xml:space="preserve">UNIVERSIDAD NACIONAL DEL ALTIPLANO</w:t>
      </w:r>
    </w:p>
    <w:p>
      <w:pPr>
        <w:spacing w:after="10" w:before="80"/>
        <w:jc w:val="center"/>
      </w:pPr>
      <w:r>
        <w:rPr>
          <w:rFonts w:ascii="Calibri" w:cs="Calibri" w:eastAsia="Calibri" w:hAnsi="Calibri"/>
          <w:color w:val="6E6A62"/>
          <w:spacing w:val="6"/>
          <w:sz w:val="20"/>
          <w:szCs w:val="20"/>
        </w:rPr>
        <w:t xml:space="preserve">Facultad de Ingeniería Estadística e Informática</w:t>
      </w:r>
    </w:p>
    <w:p>
      <w:pPr>
        <w:spacing w:after="420" w:before="0"/>
        <w:jc w:val="center"/>
      </w:pPr>
      <w:r>
        <w:rPr>
          <w:rFonts w:ascii="Calibri" w:cs="Calibri" w:eastAsia="Calibri" w:hAnsi="Calibri"/>
          <w:i/>
          <w:iCs/>
          <w:color w:val="6E6A62"/>
          <w:sz w:val="18"/>
          <w:szCs w:val="18"/>
        </w:rPr>
        <w:t xml:space="preserve">Escuela Profesional de Ingeniería Estadística e Informática</w:t>
      </w:r>
    </w:p>
    <w:tbl>
      <w:tblPr>
        <w:tblW w:type="pct" w:w="100%"/>
        <w:tblBorders>
          <w:top w:val="single" w:color="0E2740" w:sz="4"/>
          <w:left w:val="single" w:color="0E2740" w:sz="4"/>
          <w:bottom w:val="single" w:color="0E2740" w:sz="4"/>
          <w:right w:val="single" w:color="0E274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0E2740" w:val="clear"/>
            <w:tcMar>
              <w:top w:type="dxa" w:w="460"/>
              <w:left w:type="dxa" w:w="520"/>
              <w:bottom w:type="dxa" w:w="460"/>
              <w:right w:type="dxa" w:w="520"/>
            </w:tcMar>
          </w:tcPr>
          <w:p>
            <w:pPr>
              <w:spacing w:after="16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34"/>
                <w:szCs w:val="34"/>
              </w:rPr>
              <w:t xml:space="preserve">PLANIFICACIÓN ESPACIAL Y ZONIFICACIÓN AGROCLIMÁTICA</w:t>
            </w:r>
          </w:p>
          <w:p>
            <w:pPr>
              <w:spacing w:after="20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C89A2E"/>
                <w:sz w:val="34"/>
                <w:szCs w:val="34"/>
              </w:rPr>
              <w:t xml:space="preserve">PARA EL CULTIVO DE QUINUA</w:t>
            </w:r>
          </w:p>
          <w:p>
            <w:pPr>
              <w:jc w:val="center"/>
            </w:pPr>
            <w:r>
              <w:rPr>
                <w:rFonts w:ascii="Cambria" w:cs="Cambria" w:eastAsia="Cambria" w:hAnsi="Cambria"/>
                <w:i/>
                <w:iCs/>
                <w:color w:val="E7E2D3"/>
                <w:sz w:val="22"/>
                <w:szCs w:val="22"/>
              </w:rPr>
              <w:t xml:space="preserve">Chenopodium quinoa Willd.</w:t>
            </w:r>
          </w:p>
        </w:tc>
      </w:tr>
    </w:tbl>
    <w:p>
      <w:pPr>
        <w:spacing w:after="0" w:before="520"/>
      </w:pPr>
      <w:r>
        <w:t xml:space="preserve"/>
      </w:r>
    </w:p>
    <w:tbl>
      <w:tblPr>
        <w:tblW w:type="pct" w:w="70%"/>
        <w:jc w:val="center"/>
        <w:tblBorders>
          <w:top w:val="none" w:color="FFFFFF" w:sz="0"/>
          <w:left w:val="single" w:color="3E6B4A" w:sz="2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Mar>
              <w:top w:type="dxa" w:w="100"/>
              <w:left w:type="dxa" w:w="30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B5502B"/>
                <w:spacing w:val="10"/>
                <w:sz w:val="17"/>
                <w:szCs w:val="17"/>
              </w:rPr>
              <w:t xml:space="preserve">PRESENTADO POR</w:t>
            </w:r>
          </w:p>
          <w:p>
            <w:pPr>
              <w:spacing w:after="200"/>
            </w:pPr>
            <w:r>
              <w:rPr>
                <w:rFonts w:ascii="Cambria" w:cs="Cambria" w:eastAsia="Cambria" w:hAnsi="Cambria"/>
                <w:color w:val="262524"/>
                <w:sz w:val="22"/>
                <w:szCs w:val="22"/>
              </w:rPr>
              <w:t xml:space="preserve">Gonzales Quispe, Jhon Cristhian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B5502B"/>
                <w:spacing w:val="10"/>
                <w:sz w:val="17"/>
                <w:szCs w:val="17"/>
              </w:rPr>
              <w:t xml:space="preserve">CURSO</w:t>
            </w:r>
          </w:p>
          <w:p>
            <w:pPr>
              <w:spacing w:after="200"/>
            </w:pPr>
            <w:r>
              <w:rPr>
                <w:rFonts w:ascii="Cambria" w:cs="Cambria" w:eastAsia="Cambria" w:hAnsi="Cambria"/>
                <w:color w:val="262524"/>
                <w:sz w:val="22"/>
                <w:szCs w:val="22"/>
              </w:rPr>
              <w:t xml:space="preserve">Estadística Espacial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B5502B"/>
                <w:spacing w:val="10"/>
                <w:sz w:val="17"/>
                <w:szCs w:val="17"/>
              </w:rPr>
              <w:t xml:space="preserve">DOCENTE</w:t>
            </w:r>
          </w:p>
          <w:p>
            <w:pPr>
              <w:spacing w:after="0"/>
            </w:pPr>
            <w:r>
              <w:rPr>
                <w:rFonts w:ascii="Cambria" w:cs="Cambria" w:eastAsia="Cambria" w:hAnsi="Cambria"/>
                <w:color w:val="262524"/>
                <w:sz w:val="22"/>
                <w:szCs w:val="22"/>
              </w:rPr>
              <w:t xml:space="preserve">Ing. Fredd Torres Cruz</w:t>
            </w:r>
          </w:p>
        </w:tc>
      </w:tr>
    </w:tbl>
    <w:p>
      <w:pPr>
        <w:spacing w:after="0" w:before="640"/>
        <w:jc w:val="center"/>
      </w:pPr>
      <w:r>
        <w:rPr>
          <w:rFonts w:ascii="Calibri" w:cs="Calibri" w:eastAsia="Calibri" w:hAnsi="Calibri"/>
          <w:b/>
          <w:bCs/>
          <w:color w:val="163A5F"/>
          <w:spacing w:val="14"/>
          <w:sz w:val="20"/>
          <w:szCs w:val="20"/>
        </w:rPr>
        <w:t xml:space="preserve">PUNO  ·  PERÚ</w:t>
      </w:r>
    </w:p>
    <w:p>
      <w:pPr>
        <w:spacing w:after="60" w:before="60"/>
        <w:jc w:val="center"/>
      </w:pPr>
      <w:r>
        <w:rPr>
          <w:rFonts w:ascii="Cambria" w:cs="Cambria" w:eastAsia="Cambria" w:hAnsi="Cambria"/>
          <w:b/>
          <w:bCs/>
          <w:color w:val="C89A2E"/>
          <w:sz w:val="40"/>
          <w:szCs w:val="40"/>
        </w:rPr>
        <w:t xml:space="preserve">2026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E6A62"/>
          <w:sz w:val="18"/>
          <w:szCs w:val="18"/>
        </w:rPr>
        <w:t xml:space="preserve">Período climático analizado 2020 – 2024</w:t>
      </w:r>
    </w:p>
    <w:p>
      <w:pPr>
        <w:pBdr>
          <w:top w:val="single" w:color="C89A2E" w:sz="24" w:space="1"/>
        </w:pBdr>
        <w:spacing w:after="0"/>
      </w:pPr>
      <w:r>
        <w:t xml:space="preserve"/>
      </w:r>
    </w:p>
    <w:p>
      <w:r>
        <w:br w:type="pag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B5502B"/>
          <w:spacing w:val="20"/>
          <w:sz w:val="16"/>
          <w:szCs w:val="16"/>
        </w:rPr>
        <w:t xml:space="preserve">CONTENIDO</w:t>
      </w:r>
    </w:p>
    <w:p>
      <w:pPr>
        <w:pStyle w:val="Heading1"/>
        <w:spacing w:after="360"/>
      </w:pPr>
      <w:r>
        <w:rPr>
          <w:rFonts w:ascii="Cambria" w:cs="Cambria" w:eastAsia="Cambria" w:hAnsi="Cambria"/>
          <w:b/>
          <w:bCs/>
          <w:color w:val="0E2740"/>
          <w:sz w:val="34"/>
          <w:szCs w:val="34"/>
        </w:rPr>
        <w:t xml:space="preserve">Índice</w:t>
      </w:r>
    </w:p>
    <w:p>
      <w:pPr>
        <w:tabs>
          <w:tab w:val="right" w:pos="9200" w:leader="dot"/>
        </w:tabs>
        <w:spacing w:after="140"/>
        <w:ind w:left="0"/>
      </w:pPr>
      <w:r>
        <w:rPr>
          <w:rFonts w:ascii="Cambria" w:cs="Cambria" w:eastAsia="Cambria" w:hAnsi="Cambria"/>
          <w:b/>
          <w:bCs/>
          <w:color w:val="0E2740"/>
          <w:sz w:val="23"/>
          <w:szCs w:val="23"/>
        </w:rPr>
        <w:t xml:space="preserve">1.  Introducción</w:t>
      </w:r>
      <w:r>
        <w:rPr>
          <w:rFonts w:ascii="Calibri" w:cs="Calibri" w:eastAsia="Calibri" w:hAnsi="Calibri"/>
          <w:b/>
          <w:bCs/>
          <w:color w:val="B5502B"/>
          <w:sz w:val="21"/>
          <w:szCs w:val="21"/>
        </w:rPr>
        <w:t xml:space="preserve">	3</w:t>
      </w:r>
    </w:p>
    <w:p>
      <w:pPr>
        <w:tabs>
          <w:tab w:val="right" w:pos="9200" w:leader="dot"/>
        </w:tabs>
        <w:spacing w:after="140"/>
        <w:ind w:left="0"/>
      </w:pPr>
      <w:r>
        <w:rPr>
          <w:rFonts w:ascii="Cambria" w:cs="Cambria" w:eastAsia="Cambria" w:hAnsi="Cambria"/>
          <w:b/>
          <w:bCs/>
          <w:color w:val="0E2740"/>
          <w:sz w:val="23"/>
          <w:szCs w:val="23"/>
        </w:rPr>
        <w:t xml:space="preserve">2.  Área de Estudio</w:t>
      </w:r>
      <w:r>
        <w:rPr>
          <w:rFonts w:ascii="Calibri" w:cs="Calibri" w:eastAsia="Calibri" w:hAnsi="Calibri"/>
          <w:b/>
          <w:bCs/>
          <w:color w:val="B5502B"/>
          <w:sz w:val="21"/>
          <w:szCs w:val="21"/>
        </w:rPr>
        <w:t xml:space="preserve">	3</w:t>
      </w:r>
    </w:p>
    <w:p>
      <w:pPr>
        <w:tabs>
          <w:tab w:val="right" w:pos="9200" w:leader="dot"/>
        </w:tabs>
        <w:spacing w:after="90"/>
        <w:ind w:left="320"/>
      </w:pPr>
      <w:r>
        <w:rPr>
          <w:rFonts w:ascii="Calibri" w:cs="Calibri" w:eastAsia="Calibri" w:hAnsi="Calibri"/>
          <w:b w:val="false"/>
          <w:bCs w:val="false"/>
          <w:color w:val="262524"/>
          <w:sz w:val="20"/>
          <w:szCs w:val="20"/>
        </w:rPr>
        <w:t xml:space="preserve">2.1  Localización geográfica</w:t>
      </w:r>
      <w:r>
        <w:rPr>
          <w:rFonts w:ascii="Calibri" w:cs="Calibri" w:eastAsia="Calibri" w:hAnsi="Calibri"/>
          <w:b w:val="false"/>
          <w:bCs w:val="false"/>
          <w:color w:val="B5502B"/>
          <w:sz w:val="19"/>
          <w:szCs w:val="19"/>
        </w:rPr>
        <w:t xml:space="preserve">	3</w:t>
      </w:r>
    </w:p>
    <w:p>
      <w:pPr>
        <w:tabs>
          <w:tab w:val="right" w:pos="9200" w:leader="dot"/>
        </w:tabs>
        <w:spacing w:after="90"/>
        <w:ind w:left="320"/>
      </w:pPr>
      <w:r>
        <w:rPr>
          <w:rFonts w:ascii="Calibri" w:cs="Calibri" w:eastAsia="Calibri" w:hAnsi="Calibri"/>
          <w:b w:val="false"/>
          <w:bCs w:val="false"/>
          <w:color w:val="262524"/>
          <w:sz w:val="20"/>
          <w:szCs w:val="20"/>
        </w:rPr>
        <w:t xml:space="preserve">2.2  Contexto climático general</w:t>
      </w:r>
      <w:r>
        <w:rPr>
          <w:rFonts w:ascii="Calibri" w:cs="Calibri" w:eastAsia="Calibri" w:hAnsi="Calibri"/>
          <w:b w:val="false"/>
          <w:bCs w:val="false"/>
          <w:color w:val="B5502B"/>
          <w:sz w:val="19"/>
          <w:szCs w:val="19"/>
        </w:rPr>
        <w:t xml:space="preserve">	4</w:t>
      </w:r>
    </w:p>
    <w:p>
      <w:pPr>
        <w:tabs>
          <w:tab w:val="right" w:pos="9200" w:leader="dot"/>
        </w:tabs>
        <w:spacing w:after="140"/>
        <w:ind w:left="0"/>
      </w:pPr>
      <w:r>
        <w:rPr>
          <w:rFonts w:ascii="Cambria" w:cs="Cambria" w:eastAsia="Cambria" w:hAnsi="Cambria"/>
          <w:b/>
          <w:bCs/>
          <w:color w:val="0E2740"/>
          <w:sz w:val="23"/>
          <w:szCs w:val="23"/>
        </w:rPr>
        <w:t xml:space="preserve">3.  Fuentes de Datos y Metodología</w:t>
      </w:r>
      <w:r>
        <w:rPr>
          <w:rFonts w:ascii="Calibri" w:cs="Calibri" w:eastAsia="Calibri" w:hAnsi="Calibri"/>
          <w:b/>
          <w:bCs/>
          <w:color w:val="B5502B"/>
          <w:sz w:val="21"/>
          <w:szCs w:val="21"/>
        </w:rPr>
        <w:t xml:space="preserve">	4</w:t>
      </w:r>
    </w:p>
    <w:p>
      <w:pPr>
        <w:tabs>
          <w:tab w:val="right" w:pos="9200" w:leader="dot"/>
        </w:tabs>
        <w:spacing w:after="90"/>
        <w:ind w:left="320"/>
      </w:pPr>
      <w:r>
        <w:rPr>
          <w:rFonts w:ascii="Calibri" w:cs="Calibri" w:eastAsia="Calibri" w:hAnsi="Calibri"/>
          <w:b w:val="false"/>
          <w:bCs w:val="false"/>
          <w:color w:val="262524"/>
          <w:sz w:val="20"/>
          <w:szCs w:val="20"/>
        </w:rPr>
        <w:t xml:space="preserve">3.1  Fuentes de datos</w:t>
      </w:r>
      <w:r>
        <w:rPr>
          <w:rFonts w:ascii="Calibri" w:cs="Calibri" w:eastAsia="Calibri" w:hAnsi="Calibri"/>
          <w:b w:val="false"/>
          <w:bCs w:val="false"/>
          <w:color w:val="B5502B"/>
          <w:sz w:val="19"/>
          <w:szCs w:val="19"/>
        </w:rPr>
        <w:t xml:space="preserve">	4</w:t>
      </w:r>
    </w:p>
    <w:p>
      <w:pPr>
        <w:tabs>
          <w:tab w:val="right" w:pos="9200" w:leader="dot"/>
        </w:tabs>
        <w:spacing w:after="90"/>
        <w:ind w:left="320"/>
      </w:pPr>
      <w:r>
        <w:rPr>
          <w:rFonts w:ascii="Calibri" w:cs="Calibri" w:eastAsia="Calibri" w:hAnsi="Calibri"/>
          <w:b w:val="false"/>
          <w:bCs w:val="false"/>
          <w:color w:val="262524"/>
          <w:sz w:val="20"/>
          <w:szCs w:val="20"/>
        </w:rPr>
        <w:t xml:space="preserve">3.2  Metodología</w:t>
      </w:r>
      <w:r>
        <w:rPr>
          <w:rFonts w:ascii="Calibri" w:cs="Calibri" w:eastAsia="Calibri" w:hAnsi="Calibri"/>
          <w:b w:val="false"/>
          <w:bCs w:val="false"/>
          <w:color w:val="B5502B"/>
          <w:sz w:val="19"/>
          <w:szCs w:val="19"/>
        </w:rPr>
        <w:t xml:space="preserve">	7</w:t>
      </w:r>
    </w:p>
    <w:p>
      <w:pPr>
        <w:tabs>
          <w:tab w:val="right" w:pos="9200" w:leader="dot"/>
        </w:tabs>
        <w:spacing w:after="140"/>
        <w:ind w:left="0"/>
      </w:pPr>
      <w:r>
        <w:rPr>
          <w:rFonts w:ascii="Cambria" w:cs="Cambria" w:eastAsia="Cambria" w:hAnsi="Cambria"/>
          <w:b/>
          <w:bCs/>
          <w:color w:val="0E2740"/>
          <w:sz w:val="23"/>
          <w:szCs w:val="23"/>
        </w:rPr>
        <w:t xml:space="preserve">4.  Resultados</w:t>
      </w:r>
      <w:r>
        <w:rPr>
          <w:rFonts w:ascii="Calibri" w:cs="Calibri" w:eastAsia="Calibri" w:hAnsi="Calibri"/>
          <w:b/>
          <w:bCs/>
          <w:color w:val="B5502B"/>
          <w:sz w:val="21"/>
          <w:szCs w:val="21"/>
        </w:rPr>
        <w:t xml:space="preserve">	8</w:t>
      </w:r>
    </w:p>
    <w:p>
      <w:pPr>
        <w:tabs>
          <w:tab w:val="right" w:pos="9200" w:leader="dot"/>
        </w:tabs>
        <w:spacing w:after="90"/>
        <w:ind w:left="320"/>
      </w:pPr>
      <w:r>
        <w:rPr>
          <w:rFonts w:ascii="Calibri" w:cs="Calibri" w:eastAsia="Calibri" w:hAnsi="Calibri"/>
          <w:b w:val="false"/>
          <w:bCs w:val="false"/>
          <w:color w:val="262524"/>
          <w:sz w:val="20"/>
          <w:szCs w:val="20"/>
        </w:rPr>
        <w:t xml:space="preserve">4.1  Planificación espacial general</w:t>
      </w:r>
      <w:r>
        <w:rPr>
          <w:rFonts w:ascii="Calibri" w:cs="Calibri" w:eastAsia="Calibri" w:hAnsi="Calibri"/>
          <w:b w:val="false"/>
          <w:bCs w:val="false"/>
          <w:color w:val="B5502B"/>
          <w:sz w:val="19"/>
          <w:szCs w:val="19"/>
        </w:rPr>
        <w:t xml:space="preserve">	8</w:t>
      </w:r>
    </w:p>
    <w:p>
      <w:pPr>
        <w:tabs>
          <w:tab w:val="right" w:pos="9200" w:leader="dot"/>
        </w:tabs>
        <w:spacing w:after="90"/>
        <w:ind w:left="320"/>
      </w:pPr>
      <w:r>
        <w:rPr>
          <w:rFonts w:ascii="Calibri" w:cs="Calibri" w:eastAsia="Calibri" w:hAnsi="Calibri"/>
          <w:b w:val="false"/>
          <w:bCs w:val="false"/>
          <w:color w:val="262524"/>
          <w:sz w:val="20"/>
          <w:szCs w:val="20"/>
        </w:rPr>
        <w:t xml:space="preserve">4.2  Planificación de producto: quinua</w:t>
      </w:r>
      <w:r>
        <w:rPr>
          <w:rFonts w:ascii="Calibri" w:cs="Calibri" w:eastAsia="Calibri" w:hAnsi="Calibri"/>
          <w:b w:val="false"/>
          <w:bCs w:val="false"/>
          <w:color w:val="B5502B"/>
          <w:sz w:val="19"/>
          <w:szCs w:val="19"/>
        </w:rPr>
        <w:t xml:space="preserve">	11</w:t>
      </w:r>
    </w:p>
    <w:p>
      <w:pPr>
        <w:tabs>
          <w:tab w:val="right" w:pos="9200" w:leader="dot"/>
        </w:tabs>
        <w:spacing w:after="90"/>
        <w:ind w:left="320"/>
      </w:pPr>
      <w:r>
        <w:rPr>
          <w:rFonts w:ascii="Calibri" w:cs="Calibri" w:eastAsia="Calibri" w:hAnsi="Calibri"/>
          <w:b w:val="false"/>
          <w:bCs w:val="false"/>
          <w:color w:val="262524"/>
          <w:sz w:val="20"/>
          <w:szCs w:val="20"/>
        </w:rPr>
        <w:t xml:space="preserve">4.3  Resumen estadístico de los datos fusionados</w:t>
      </w:r>
      <w:r>
        <w:rPr>
          <w:rFonts w:ascii="Calibri" w:cs="Calibri" w:eastAsia="Calibri" w:hAnsi="Calibri"/>
          <w:b w:val="false"/>
          <w:bCs w:val="false"/>
          <w:color w:val="B5502B"/>
          <w:sz w:val="19"/>
          <w:szCs w:val="19"/>
        </w:rPr>
        <w:t xml:space="preserve">	13</w:t>
      </w:r>
    </w:p>
    <w:p>
      <w:pPr>
        <w:tabs>
          <w:tab w:val="right" w:pos="9200" w:leader="dot"/>
        </w:tabs>
        <w:spacing w:after="140"/>
        <w:ind w:left="0"/>
      </w:pPr>
      <w:r>
        <w:rPr>
          <w:rFonts w:ascii="Cambria" w:cs="Cambria" w:eastAsia="Cambria" w:hAnsi="Cambria"/>
          <w:b/>
          <w:bCs/>
          <w:color w:val="0E2740"/>
          <w:sz w:val="23"/>
          <w:szCs w:val="23"/>
        </w:rPr>
        <w:t xml:space="preserve">5.  Discusión</w:t>
      </w:r>
      <w:r>
        <w:rPr>
          <w:rFonts w:ascii="Calibri" w:cs="Calibri" w:eastAsia="Calibri" w:hAnsi="Calibri"/>
          <w:b/>
          <w:bCs/>
          <w:color w:val="B5502B"/>
          <w:sz w:val="21"/>
          <w:szCs w:val="21"/>
        </w:rPr>
        <w:t xml:space="preserve">	14</w:t>
      </w:r>
    </w:p>
    <w:p>
      <w:pPr>
        <w:tabs>
          <w:tab w:val="right" w:pos="9200" w:leader="dot"/>
        </w:tabs>
        <w:spacing w:after="140"/>
        <w:ind w:left="0"/>
      </w:pPr>
      <w:r>
        <w:rPr>
          <w:rFonts w:ascii="Cambria" w:cs="Cambria" w:eastAsia="Cambria" w:hAnsi="Cambria"/>
          <w:b/>
          <w:bCs/>
          <w:color w:val="0E2740"/>
          <w:sz w:val="23"/>
          <w:szCs w:val="23"/>
        </w:rPr>
        <w:t xml:space="preserve">6.  Conclusiones</w:t>
      </w:r>
      <w:r>
        <w:rPr>
          <w:rFonts w:ascii="Calibri" w:cs="Calibri" w:eastAsia="Calibri" w:hAnsi="Calibri"/>
          <w:b/>
          <w:bCs/>
          <w:color w:val="B5502B"/>
          <w:sz w:val="21"/>
          <w:szCs w:val="21"/>
        </w:rPr>
        <w:t xml:space="preserve">	15</w:t>
      </w:r>
    </w:p>
    <w:p>
      <w:pPr>
        <w:tabs>
          <w:tab w:val="right" w:pos="9200" w:leader="dot"/>
        </w:tabs>
        <w:spacing w:after="140"/>
        <w:ind w:left="0"/>
      </w:pPr>
      <w:r>
        <w:rPr>
          <w:rFonts w:ascii="Cambria" w:cs="Cambria" w:eastAsia="Cambria" w:hAnsi="Cambria"/>
          <w:b/>
          <w:bCs/>
          <w:color w:val="0E2740"/>
          <w:sz w:val="23"/>
          <w:szCs w:val="23"/>
        </w:rPr>
        <w:t xml:space="preserve">7.  Repositorio del Proyecto</w:t>
      </w:r>
      <w:r>
        <w:rPr>
          <w:rFonts w:ascii="Calibri" w:cs="Calibri" w:eastAsia="Calibri" w:hAnsi="Calibri"/>
          <w:b/>
          <w:bCs/>
          <w:color w:val="B5502B"/>
          <w:sz w:val="21"/>
          <w:szCs w:val="21"/>
        </w:rPr>
        <w:t xml:space="preserve">	15</w:t>
      </w:r>
    </w:p>
    <w:p>
      <w:pPr>
        <w:tabs>
          <w:tab w:val="right" w:pos="9200" w:leader="dot"/>
        </w:tabs>
        <w:spacing w:after="140"/>
        <w:ind w:left="0"/>
      </w:pPr>
      <w:r>
        <w:rPr>
          <w:rFonts w:ascii="Cambria" w:cs="Cambria" w:eastAsia="Cambria" w:hAnsi="Cambria"/>
          <w:b/>
          <w:bCs/>
          <w:color w:val="0E2740"/>
          <w:sz w:val="23"/>
          <w:szCs w:val="23"/>
        </w:rPr>
        <w:t xml:space="preserve">Referencias</w:t>
      </w:r>
      <w:r>
        <w:rPr>
          <w:rFonts w:ascii="Calibri" w:cs="Calibri" w:eastAsia="Calibri" w:hAnsi="Calibri"/>
          <w:b/>
          <w:bCs/>
          <w:color w:val="B5502B"/>
          <w:sz w:val="21"/>
          <w:szCs w:val="21"/>
        </w:rPr>
        <w:t xml:space="preserve">	16</w:t>
      </w:r>
    </w:p>
    <w:p>
      <w:pPr>
        <w:tabs>
          <w:tab w:val="right" w:pos="9200" w:leader="dot"/>
        </w:tabs>
        <w:spacing w:after="140"/>
        <w:ind w:left="0"/>
      </w:pPr>
      <w:r>
        <w:rPr>
          <w:rFonts w:ascii="Cambria" w:cs="Cambria" w:eastAsia="Cambria" w:hAnsi="Cambria"/>
          <w:b/>
          <w:bCs/>
          <w:color w:val="0E2740"/>
          <w:sz w:val="23"/>
          <w:szCs w:val="23"/>
        </w:rPr>
        <w:t xml:space="preserve">Anexo A.  Código R — Parámetros Clave del Modelo</w:t>
      </w:r>
      <w:r>
        <w:rPr>
          <w:rFonts w:ascii="Calibri" w:cs="Calibri" w:eastAsia="Calibri" w:hAnsi="Calibri"/>
          <w:b/>
          <w:bCs/>
          <w:color w:val="B5502B"/>
          <w:sz w:val="21"/>
          <w:szCs w:val="21"/>
        </w:rPr>
        <w:t xml:space="preserve">	17</w:t>
      </w:r>
    </w:p>
    <w:p>
      <w:pPr>
        <w:tabs>
          <w:tab w:val="right" w:pos="9200" w:leader="dot"/>
        </w:tabs>
        <w:spacing w:after="140"/>
        <w:ind w:left="0"/>
      </w:pPr>
      <w:r>
        <w:rPr>
          <w:rFonts w:ascii="Cambria" w:cs="Cambria" w:eastAsia="Cambria" w:hAnsi="Cambria"/>
          <w:b/>
          <w:bCs/>
          <w:color w:val="0E2740"/>
          <w:sz w:val="23"/>
          <w:szCs w:val="23"/>
        </w:rPr>
        <w:t xml:space="preserve">Anexo B.  Anexos Cartográficos</w:t>
      </w:r>
      <w:r>
        <w:rPr>
          <w:rFonts w:ascii="Calibri" w:cs="Calibri" w:eastAsia="Calibri" w:hAnsi="Calibri"/>
          <w:b/>
          <w:bCs/>
          <w:color w:val="B5502B"/>
          <w:sz w:val="21"/>
          <w:szCs w:val="21"/>
        </w:rPr>
        <w:t xml:space="preserve">	18</w:t>
      </w:r>
    </w:p>
    <w:p>
      <w:r>
        <w:br w:type="page"/>
      </w:r>
    </w:p>
    <w:p>
      <w:pPr>
        <w:sectPr>
          <w:pgSz w:w="11906" w:h="16838" w:orient="portrait"/>
          <w:pgMar w:top="900" w:right="1100" w:bottom="900" w:left="110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B5502B"/>
          <w:spacing w:val="20"/>
          <w:sz w:val="16"/>
          <w:szCs w:val="16"/>
        </w:rPr>
        <w:t xml:space="preserve">APTITUD AGROCLIMÁTICA · REGIÓN PUNO</w:t>
      </w:r>
    </w:p>
    <w:p>
      <w:pPr>
        <w:pStyle w:val="Heading1"/>
        <w:pBdr>
          <w:bottom w:val="single" w:color="B5502B" w:sz="14" w:space="8"/>
        </w:pBdr>
        <w:spacing w:after="200" w:before="520"/>
      </w:pPr>
      <w:r>
        <w:rPr>
          <w:rFonts w:ascii="Cambria" w:cs="Cambria" w:eastAsia="Cambria" w:hAnsi="Cambria"/>
          <w:b/>
          <w:bCs/>
          <w:color w:val="B5502B"/>
          <w:sz w:val="30"/>
          <w:szCs w:val="30"/>
        </w:rPr>
        <w:t xml:space="preserve">1.  </w:t>
      </w:r>
      <w:r>
        <w:rPr>
          <w:rFonts w:ascii="Cambria" w:cs="Cambria" w:eastAsia="Cambria" w:hAnsi="Cambria"/>
          <w:b/>
          <w:bCs/>
          <w:color w:val="0E2740"/>
          <w:sz w:val="30"/>
          <w:szCs w:val="30"/>
        </w:rPr>
        <w:t xml:space="preserve">Introducción</w:t>
      </w:r>
    </w:p>
    <w:p>
      <w:pPr>
        <w:pBdr>
          <w:left w:val="single" w:color="C89A2E" w:sz="18" w:space="10"/>
        </w:pBdr>
        <w:spacing w:after="200" w:line="320"/>
        <w:ind w:left="160"/>
        <w:jc w:val="both"/>
      </w:pPr>
      <w:r>
        <w:rPr>
          <w:rFonts w:ascii="Cambria" w:cs="Cambria" w:eastAsia="Cambria" w:hAnsi="Cambria"/>
          <w:i/>
          <w:iCs/>
          <w:color w:val="0E2740"/>
          <w:sz w:val="22"/>
          <w:szCs w:val="22"/>
        </w:rPr>
        <w:t xml:space="preserve">El altiplano de Puno concentra el mayor reservorio de agrobiodiversidad andina del Perú, y también su mayor incertidumbre climática: gradientes altitudinales pronunciados, heladas nocturnas frecuentes y una red de estaciones meteorológicas dispersa.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Situada entre los 3 800 y 5 500 m s. n. m., la región Puno debe su compleja orografía la marcada variabilidad de temperatura, precipitación y ocurrencia de heladas que define, distrito a distrito, la aptitud agrícola del territorio. Entender esa variabilidad con precisión espacial —y no solo como un promedio regional— es la base de cualquier estrategia de seguridad alimentaria, adaptación climática o fomento productivo en el altiplano.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Este informe combina observación satelital, reanálisis atmosférico, estaciones de superficie y encuestas agropecuarias en un único marco analítico, con el objetivo de traducir datos climáticos dispersos en zonificación agroclimática accionable para el cultivo de quinua (Chenopodium quinoa Willd.).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El análisis integra cinco fuentes de información geoespacial y estadística: 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Modelo digital de elevación (DEM) NASA/METI NASADEM, resolución de 30 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Datos climáticos de reanálisis atmosférico NASA POWER (2020–2024).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Registros meteorológicos en superficie de SENAMHI, estación Puno.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Encuesta Nacional Agropecuaria 2025 (ENA 2025, INEI), a nivel distrital.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Mapa de Capacidad de Uso Mayor de Suelos SAL250 (ONERN).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El documento se organiza en dos planificaciones complementarias: una espacial general de los recursos climáticos y edáficos de la región, y una zonificación específica para quinua centrada en rendimiento, riesgo de heladas y aptitud térmico-hídrica.</w:t>
      </w:r>
    </w:p>
    <w:p>
      <w:pPr>
        <w:pStyle w:val="Heading1"/>
        <w:pBdr>
          <w:bottom w:val="single" w:color="B5502B" w:sz="14" w:space="8"/>
        </w:pBdr>
        <w:spacing w:after="200" w:before="520"/>
      </w:pPr>
      <w:r>
        <w:rPr>
          <w:rFonts w:ascii="Cambria" w:cs="Cambria" w:eastAsia="Cambria" w:hAnsi="Cambria"/>
          <w:b/>
          <w:bCs/>
          <w:color w:val="B5502B"/>
          <w:sz w:val="30"/>
          <w:szCs w:val="30"/>
        </w:rPr>
        <w:t xml:space="preserve">2.  </w:t>
      </w:r>
      <w:r>
        <w:rPr>
          <w:rFonts w:ascii="Cambria" w:cs="Cambria" w:eastAsia="Cambria" w:hAnsi="Cambria"/>
          <w:b/>
          <w:bCs/>
          <w:color w:val="0E2740"/>
          <w:sz w:val="30"/>
          <w:szCs w:val="30"/>
        </w:rPr>
        <w:t xml:space="preserve">Área de Estudio</w:t>
      </w:r>
    </w:p>
    <w:p>
      <w:pPr>
        <w:pStyle w:val="Heading2"/>
        <w:spacing w:after="140" w:before="340"/>
      </w:pPr>
      <w:r>
        <w:rPr>
          <w:rFonts w:ascii="Cambria" w:cs="Cambria" w:eastAsia="Cambria" w:hAnsi="Cambria"/>
          <w:b/>
          <w:bCs/>
          <w:color w:val="C89A2E"/>
          <w:sz w:val="24"/>
          <w:szCs w:val="24"/>
        </w:rPr>
        <w:t xml:space="preserve">2.1  </w:t>
      </w:r>
      <w:r>
        <w:rPr>
          <w:rFonts w:ascii="Cambria" w:cs="Cambria" w:eastAsia="Cambria" w:hAnsi="Cambria"/>
          <w:b/>
          <w:bCs/>
          <w:color w:val="163A5F"/>
          <w:sz w:val="24"/>
          <w:szCs w:val="24"/>
        </w:rPr>
        <w:t xml:space="preserve">Localización geográfica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La región Puno ocupa el extremo sur-oriental del Perú, limitando con Bolivia por el este y bordeando el lago Titicaca en su franja centro-norte. Comprende 13 provincias y 109 distritos sobre una superficie aproximada de 71 999 km².</w:t>
      </w:r>
    </w:p>
    <w:tbl>
      <w:tblPr>
        <w:tblW w:type="pct" w:w="100%"/>
        <w:tblBorders>
          <w:top w:val="single" w:color="D8D2C4" w:sz="4"/>
          <w:left w:val="single" w:color="163A5F" w:sz="24"/>
          <w:bottom w:val="single" w:color="D8D2C4" w:sz="4"/>
          <w:right w:val="single" w:color="D8D2C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4F1E9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63A5F"/>
                <w:sz w:val="20"/>
                <w:szCs w:val="20"/>
              </w:rPr>
              <w:t xml:space="preserve">Coordenadas y referencia geodésica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62524"/>
                <w:sz w:val="20"/>
                <w:szCs w:val="20"/>
              </w:rPr>
              <w:t xml:space="preserve">•  Latitud: 13° 07′ S – 17° 17′ 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62524"/>
                <w:sz w:val="20"/>
                <w:szCs w:val="20"/>
              </w:rPr>
              <w:t xml:space="preserve">•  Longitud: 68° 48′ O – 70° 59′ 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62524"/>
                <w:sz w:val="20"/>
                <w:szCs w:val="20"/>
              </w:rPr>
              <w:t xml:space="preserve">•  Altitud predominante: 3 800 – 4 500 m s. n. m. (altiplano)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62524"/>
                <w:sz w:val="20"/>
                <w:szCs w:val="20"/>
              </w:rPr>
              <w:t xml:space="preserve">•  Proyección: UTM zona 19S, datum WGS84</w:t>
            </w:r>
          </w:p>
        </w:tc>
      </w:tr>
    </w:tbl>
    <w:p>
      <w:pPr>
        <w:spacing w:after="200"/>
      </w:pPr>
    </w:p>
    <w:p>
      <w:pPr>
        <w:pStyle w:val="Heading2"/>
        <w:spacing w:after="140" w:before="340"/>
      </w:pPr>
      <w:r>
        <w:rPr>
          <w:rFonts w:ascii="Cambria" w:cs="Cambria" w:eastAsia="Cambria" w:hAnsi="Cambria"/>
          <w:b/>
          <w:bCs/>
          <w:color w:val="C89A2E"/>
          <w:sz w:val="24"/>
          <w:szCs w:val="24"/>
        </w:rPr>
        <w:t xml:space="preserve">2.2  </w:t>
      </w:r>
      <w:r>
        <w:rPr>
          <w:rFonts w:ascii="Cambria" w:cs="Cambria" w:eastAsia="Cambria" w:hAnsi="Cambria"/>
          <w:b/>
          <w:bCs/>
          <w:color w:val="163A5F"/>
          <w:sz w:val="24"/>
          <w:szCs w:val="24"/>
        </w:rPr>
        <w:t xml:space="preserve">Contexto climático general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El altiplano puneño tiene un clima frío semiárido de estacionalidad marcada. Entre octubre y marzo se concentra la temporada húmeda, con precipitaciones de 400 a 700 mm/año en las zonas circunlacustres; entre abril y septiembre domina la temporada seca, con alta incidencia de heladas nocturnas. La temperatura media anual oscila entre −2 °C y 12 °C según la altitud.</w:t>
      </w:r>
    </w:p>
    <w:p>
      <w:pPr>
        <w:pStyle w:val="Heading1"/>
        <w:pBdr>
          <w:bottom w:val="single" w:color="B5502B" w:sz="14" w:space="8"/>
        </w:pBdr>
        <w:spacing w:after="200" w:before="520"/>
      </w:pPr>
      <w:r>
        <w:rPr>
          <w:rFonts w:ascii="Cambria" w:cs="Cambria" w:eastAsia="Cambria" w:hAnsi="Cambria"/>
          <w:b/>
          <w:bCs/>
          <w:color w:val="B5502B"/>
          <w:sz w:val="30"/>
          <w:szCs w:val="30"/>
        </w:rPr>
        <w:t xml:space="preserve">3.  </w:t>
      </w:r>
      <w:r>
        <w:rPr>
          <w:rFonts w:ascii="Cambria" w:cs="Cambria" w:eastAsia="Cambria" w:hAnsi="Cambria"/>
          <w:b/>
          <w:bCs/>
          <w:color w:val="0E2740"/>
          <w:sz w:val="30"/>
          <w:szCs w:val="30"/>
        </w:rPr>
        <w:t xml:space="preserve">Fuentes de Datos y Metodología</w:t>
      </w:r>
    </w:p>
    <w:p>
      <w:pPr>
        <w:pStyle w:val="Heading2"/>
        <w:spacing w:after="140" w:before="340"/>
      </w:pPr>
      <w:r>
        <w:rPr>
          <w:rFonts w:ascii="Cambria" w:cs="Cambria" w:eastAsia="Cambria" w:hAnsi="Cambria"/>
          <w:b/>
          <w:bCs/>
          <w:color w:val="C89A2E"/>
          <w:sz w:val="24"/>
          <w:szCs w:val="24"/>
        </w:rPr>
        <w:t xml:space="preserve">3.1  </w:t>
      </w:r>
      <w:r>
        <w:rPr>
          <w:rFonts w:ascii="Cambria" w:cs="Cambria" w:eastAsia="Cambria" w:hAnsi="Cambria"/>
          <w:b/>
          <w:bCs/>
          <w:color w:val="163A5F"/>
          <w:sz w:val="24"/>
          <w:szCs w:val="24"/>
        </w:rPr>
        <w:t xml:space="preserve">Fuentes de datos</w:t>
      </w:r>
    </w:p>
    <w:p>
      <w:pPr>
        <w:pStyle w:val="Heading3"/>
        <w:spacing w:after="100" w:before="220"/>
      </w:pPr>
      <w:r>
        <w:rPr>
          <w:rFonts w:ascii="Cambria" w:cs="Cambria" w:eastAsia="Cambria" w:hAnsi="Cambria"/>
          <w:b/>
          <w:bCs/>
          <w:i/>
          <w:iCs/>
          <w:color w:val="163A5F"/>
          <w:sz w:val="21"/>
          <w:szCs w:val="21"/>
        </w:rPr>
        <w:t xml:space="preserve">3.1.1  NASA POWER — Reanálisis atmosférico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Temperatura, precipitación, humedad relativa y radiación solar proceden del sistema Prediction of Worldwide Energy Resources (NASA POWER), que ofrece estimaciones derivadas del reanálisis MERRA-2 a una resolución espacial de 0,5° × 0,625°.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Acceso: power.larc.nasa.gov/data-access-viewer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Período: enero 2020 – diciembre 2024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Parámetros: T2M, PRECTOTCORR, RH2M, ALLSKY_SFC_SW_DWN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Altitud de referencia MERRA-2: 4 105,46 m s. n. m.</w:t>
      </w:r>
    </w:p>
    <w:p>
      <w:pPr>
        <w:pStyle w:val="Heading3"/>
        <w:spacing w:after="100" w:before="220"/>
      </w:pPr>
      <w:r>
        <w:rPr>
          <w:rFonts w:ascii="Cambria" w:cs="Cambria" w:eastAsia="Cambria" w:hAnsi="Cambria"/>
          <w:b/>
          <w:bCs/>
          <w:i/>
          <w:iCs/>
          <w:color w:val="163A5F"/>
          <w:sz w:val="21"/>
          <w:szCs w:val="21"/>
        </w:rPr>
        <w:t xml:space="preserve">3.1.2  NASADEM — Modelo digital de elevación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El DEM de alta resolución (30 m) fue descargado de NASA Earthdata Search, producto NASADEM_HGT v001, derivado de la misión SRTM con correcciones adicionales.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Acceso: search.earthdata.nasa.gov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Producto: NASADEM_HGT v001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Resolución espacial: 1 arco-segundo (≈ 30 m)</w:t>
      </w:r>
    </w:p>
    <w:p>
      <w:pPr>
        <w:pStyle w:val="Heading3"/>
        <w:spacing w:after="100" w:before="220"/>
      </w:pPr>
      <w:r>
        <w:rPr>
          <w:rFonts w:ascii="Cambria" w:cs="Cambria" w:eastAsia="Cambria" w:hAnsi="Cambria"/>
          <w:b/>
          <w:bCs/>
          <w:i/>
          <w:iCs/>
          <w:color w:val="163A5F"/>
          <w:sz w:val="21"/>
          <w:szCs w:val="21"/>
        </w:rPr>
        <w:t xml:space="preserve">3.1.3  SENAMHI — Observación meteorológica en superficie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Las series diarias de temperatura máxima, mínima y media, así como de precipitación, provienen del portal de descarga de datos del Servicio Nacional de Meteorología e Hidrología del Perú para la estación de Puno.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Acceso: senamhi.gob.pe/site/descarga-datos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Variables: T_max, T_min, T_prom, precipitación diaria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Indicadores derivados: días con helada (T_min &lt; 0 °C), días sin lluvia</w:t>
      </w:r>
    </w:p>
    <w:p>
      <w:pPr>
        <w:pStyle w:val="Heading3"/>
        <w:spacing w:after="100" w:before="220"/>
      </w:pPr>
      <w:r>
        <w:rPr>
          <w:rFonts w:ascii="Cambria" w:cs="Cambria" w:eastAsia="Cambria" w:hAnsi="Cambria"/>
          <w:b/>
          <w:bCs/>
          <w:i/>
          <w:iCs/>
          <w:color w:val="163A5F"/>
          <w:sz w:val="21"/>
          <w:szCs w:val="21"/>
        </w:rPr>
        <w:t xml:space="preserve">3.1.4  SAL250 — Capacidad de Uso Mayor de Suelos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El shapefile de Capacidad de Uso Mayor de Tierras a escala 1:250 000 proviene del portal GeoGPS Perú, digitalizado a partir del mapa original de la Oficina Nacional de Evaluación de Recursos Naturales (ONERN).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Escala: 1:250 000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Fuente original: ONERN — Sistema de Clasificación de Tierras por Capacidad de Uso Mayor</w:t>
      </w:r>
    </w:p>
    <w:p>
      <w:pPr>
        <w:pStyle w:val="Heading3"/>
        <w:spacing w:after="100" w:before="220"/>
      </w:pPr>
      <w:r>
        <w:rPr>
          <w:rFonts w:ascii="Cambria" w:cs="Cambria" w:eastAsia="Cambria" w:hAnsi="Cambria"/>
          <w:b/>
          <w:bCs/>
          <w:i/>
          <w:iCs/>
          <w:color w:val="163A5F"/>
          <w:sz w:val="21"/>
          <w:szCs w:val="21"/>
        </w:rPr>
        <w:t xml:space="preserve">3.1.5  ENA 2025 — Encuesta Nacional Agropecuaria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Los datos de rendimiento, superficie cosechada, producción y afectación por eventos climáticos a nivel de productor proceden de la ENA 2025, ejecutada por el INEI, con representatividad provincial para cultivos transitorios y permanentes —incluidas las variables de afectación por heladas (P223B_3) y sequías (P223B_6).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Fuente: INEI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Módulo: Cultivos (P204_NOM, P217_SUP_1, P219_CANT_1, P223B_3, P223B_6)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Filtro: departamento Puno (CCDD = 21), cultivo quinua</w:t>
      </w:r>
    </w:p>
    <w:p>
      <w:pPr>
        <w:pStyle w:val="Heading2"/>
        <w:spacing w:after="140" w:before="340"/>
      </w:pPr>
      <w:r>
        <w:rPr>
          <w:rFonts w:ascii="Cambria" w:cs="Cambria" w:eastAsia="Cambria" w:hAnsi="Cambria"/>
          <w:b/>
          <w:bCs/>
          <w:color w:val="C89A2E"/>
          <w:sz w:val="24"/>
          <w:szCs w:val="24"/>
        </w:rPr>
        <w:t xml:space="preserve">3.2  </w:t>
      </w:r>
      <w:r>
        <w:rPr>
          <w:rFonts w:ascii="Cambria" w:cs="Cambria" w:eastAsia="Cambria" w:hAnsi="Cambria"/>
          <w:b/>
          <w:bCs/>
          <w:color w:val="163A5F"/>
          <w:sz w:val="24"/>
          <w:szCs w:val="24"/>
        </w:rPr>
        <w:t xml:space="preserve">Metodología</w:t>
      </w:r>
    </w:p>
    <w:p>
      <w:pPr>
        <w:pStyle w:val="Heading3"/>
        <w:spacing w:after="100" w:before="220"/>
      </w:pPr>
      <w:r>
        <w:rPr>
          <w:rFonts w:ascii="Cambria" w:cs="Cambria" w:eastAsia="Cambria" w:hAnsi="Cambria"/>
          <w:b/>
          <w:bCs/>
          <w:i/>
          <w:iCs/>
          <w:color w:val="163A5F"/>
          <w:sz w:val="21"/>
          <w:szCs w:val="21"/>
        </w:rPr>
        <w:t xml:space="preserve">3.2.1  Modelado climático espacial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La superficie térmica se construyó interpolando el gradiente adiabático a partir del punto de referencia NASA POWER, calibrado con las observaciones SENAMHI mediante un esquema de fusión ponderada: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color w:val="0E2740"/>
          <w:sz w:val="24"/>
          <w:szCs w:val="24"/>
        </w:rPr>
        <w:t xml:space="preserve">T̂spatial = Tfusión − 0,0065 · (Δz)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donde Tfusión = 0,6 · T_SENAMHI + 0,4 · T_NASA, y Δz corresponde a la diferencia de altitud respecto a la referencia (4 105,46 m s. n. m.). El modelo de precipitación orográfica incorpora, además, un término cuadrático que representa el efecto de sombra de lluvia por encima de los 4 500 m aproximadamente:</w:t>
      </w:r>
    </w:p>
    <w:p>
      <w:pPr>
        <w:spacing w:after="200" w:before="120"/>
        <w:jc w:val="center"/>
      </w:pPr>
      <w:r>
        <w:rPr>
          <w:rFonts w:ascii="Cambria Math" w:cs="Cambria Math" w:eastAsia="Cambria Math" w:hAnsi="Cambria Math"/>
          <w:i/>
          <w:iCs/>
          <w:color w:val="0E2740"/>
          <w:sz w:val="24"/>
          <w:szCs w:val="24"/>
        </w:rPr>
        <w:t xml:space="preserve">P̂spatial = Pfusión + 0,05 · Δz − 5×10⁻⁶ · (Δz)²</w:t>
      </w:r>
    </w:p>
    <w:p>
      <w:pPr>
        <w:pStyle w:val="Heading3"/>
        <w:spacing w:after="100" w:before="220"/>
      </w:pPr>
      <w:r>
        <w:rPr>
          <w:rFonts w:ascii="Cambria" w:cs="Cambria" w:eastAsia="Cambria" w:hAnsi="Cambria"/>
          <w:b/>
          <w:bCs/>
          <w:i/>
          <w:iCs/>
          <w:color w:val="163A5F"/>
          <w:sz w:val="21"/>
          <w:szCs w:val="21"/>
        </w:rPr>
        <w:t xml:space="preserve">3.2.2  Clasificación Jenks Natural Breaks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Para la cartografía temática de rendimiento y riesgo de heladas se aplicó el método Natural Breaks (Jenks, 1967), que minimiza la varianza intraclase y maximiza la varianza interclase, mediante la función classIntervals() del paquete classInt de R, con hasta cinco clases.</w:t>
      </w:r>
    </w:p>
    <w:p>
      <w:pPr>
        <w:pStyle w:val="Heading3"/>
        <w:spacing w:after="100" w:before="220"/>
      </w:pPr>
      <w:r>
        <w:rPr>
          <w:rFonts w:ascii="Cambria" w:cs="Cambria" w:eastAsia="Cambria" w:hAnsi="Cambria"/>
          <w:b/>
          <w:bCs/>
          <w:i/>
          <w:iCs/>
          <w:color w:val="163A5F"/>
          <w:sz w:val="21"/>
          <w:szCs w:val="21"/>
        </w:rPr>
        <w:t xml:space="preserve">3.2.3  Zonificación agroclimática para quinua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Los umbrales de aptitud para quinua se definieron con base en recomendaciones de la FAO y del INIA Puno:</w:t>
      </w:r>
    </w:p>
    <w:tbl>
      <w:tblPr>
        <w:tblW w:type="pct" w:w="100%"/>
        <w:tblBorders>
          <w:top w:val="single" w:color="163A5F" w:sz="4"/>
          <w:left w:val="none" w:color="FFFFFF" w:sz="0"/>
          <w:bottom w:val="single" w:color="163A5F" w:sz="4"/>
          <w:right w:val="none" w:color="FFFFFF" w:sz="0"/>
          <w:insideH w:val="single" w:color="D8D2C4" w:sz="2"/>
          <w:insideV w:val="none" w:color="FFFFFF" w:sz="0"/>
        </w:tblBorders>
      </w:tblPr>
      <w:tblGrid>
        <w:gridCol w:w="2400"/>
        <w:gridCol w:w="1900"/>
        <w:gridCol w:w="2700"/>
        <w:gridCol w:w="2100"/>
      </w:tblGrid>
      <w:tr>
        <w:trPr>
          <w:tblHeader/>
        </w:trPr>
        <w:tc>
          <w:tcPr>
            <w:tcW w:type="dxa" w:w="2400"/>
            <w:shd w:fill="16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900"/>
            <w:shd w:fill="16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Óptima</w:t>
            </w:r>
          </w:p>
        </w:tc>
        <w:tc>
          <w:tcPr>
            <w:tcW w:type="dxa" w:w="2700"/>
            <w:shd w:fill="16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Sub-óptima</w:t>
            </w:r>
          </w:p>
        </w:tc>
        <w:tc>
          <w:tcPr>
            <w:tcW w:type="dxa" w:w="2100"/>
            <w:shd w:fill="16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Temperatura media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8–12 °C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6–8 °C  /  12–14 °C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FAO / INIA Puno</w:t>
            </w:r>
          </w:p>
        </w:tc>
      </w:tr>
      <w:tr>
        <w:tc>
          <w:tcPr>
            <w:tcW w:type="dxa" w:w="2400"/>
            <w:shd w:fill="F6F4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Precipitación</w:t>
            </w:r>
          </w:p>
        </w:tc>
        <w:tc>
          <w:tcPr>
            <w:tcW w:type="dxa" w:w="1900"/>
            <w:shd w:fill="F6F4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400–700 mm/año</w:t>
            </w:r>
          </w:p>
        </w:tc>
        <w:tc>
          <w:tcPr>
            <w:tcW w:type="dxa" w:w="2700"/>
            <w:shd w:fill="F6F4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&lt; 400  /  &gt; 700 mm</w:t>
            </w:r>
          </w:p>
        </w:tc>
        <w:tc>
          <w:tcPr>
            <w:tcW w:type="dxa" w:w="2100"/>
            <w:shd w:fill="F6F4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FAO 2011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Días con helada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&lt; 30 días/año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30–60 días/año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INIA 2013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6E6A62"/>
          <w:sz w:val="18"/>
          <w:szCs w:val="18"/>
        </w:rPr>
        <w:t xml:space="preserve">Cuadro 1. Umbrales de aptitud agroclimática para Chenopodium quinoa en el altiplano puneño.</w:t>
      </w:r>
    </w:p>
    <w:p>
      <w:r>
        <w:br w:type="pag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B5502B"/>
          <w:spacing w:val="20"/>
          <w:sz w:val="16"/>
          <w:szCs w:val="16"/>
        </w:rPr>
        <w:t xml:space="preserve">RESULTADOS</w:t>
      </w:r>
    </w:p>
    <w:p>
      <w:pPr>
        <w:pStyle w:val="Heading1"/>
        <w:pBdr>
          <w:bottom w:val="single" w:color="B5502B" w:sz="14" w:space="8"/>
        </w:pBdr>
        <w:spacing w:after="200" w:before="520"/>
      </w:pPr>
      <w:r>
        <w:rPr>
          <w:rFonts w:ascii="Cambria" w:cs="Cambria" w:eastAsia="Cambria" w:hAnsi="Cambria"/>
          <w:b/>
          <w:bCs/>
          <w:color w:val="B5502B"/>
          <w:sz w:val="30"/>
          <w:szCs w:val="30"/>
        </w:rPr>
        <w:t xml:space="preserve">4.  </w:t>
      </w:r>
      <w:r>
        <w:rPr>
          <w:rFonts w:ascii="Cambria" w:cs="Cambria" w:eastAsia="Cambria" w:hAnsi="Cambria"/>
          <w:b/>
          <w:bCs/>
          <w:color w:val="0E2740"/>
          <w:sz w:val="30"/>
          <w:szCs w:val="30"/>
        </w:rPr>
        <w:t xml:space="preserve">Resultados</w:t>
      </w:r>
    </w:p>
    <w:p>
      <w:pPr>
        <w:pStyle w:val="Heading2"/>
        <w:spacing w:after="140" w:before="340"/>
      </w:pPr>
      <w:r>
        <w:rPr>
          <w:rFonts w:ascii="Cambria" w:cs="Cambria" w:eastAsia="Cambria" w:hAnsi="Cambria"/>
          <w:b/>
          <w:bCs/>
          <w:color w:val="C89A2E"/>
          <w:sz w:val="24"/>
          <w:szCs w:val="24"/>
        </w:rPr>
        <w:t xml:space="preserve">4.1  </w:t>
      </w:r>
      <w:r>
        <w:rPr>
          <w:rFonts w:ascii="Cambria" w:cs="Cambria" w:eastAsia="Cambria" w:hAnsi="Cambria"/>
          <w:b/>
          <w:bCs/>
          <w:color w:val="163A5F"/>
          <w:sz w:val="24"/>
          <w:szCs w:val="24"/>
        </w:rPr>
        <w:t xml:space="preserve">Planificación espacial general</w:t>
      </w:r>
    </w:p>
    <w:p>
      <w:pPr>
        <w:pStyle w:val="Heading3"/>
        <w:spacing w:after="100" w:before="220"/>
      </w:pPr>
      <w:r>
        <w:rPr>
          <w:rFonts w:ascii="Cambria" w:cs="Cambria" w:eastAsia="Cambria" w:hAnsi="Cambria"/>
          <w:b/>
          <w:bCs/>
          <w:i/>
          <w:iCs/>
          <w:color w:val="163A5F"/>
          <w:sz w:val="21"/>
          <w:szCs w:val="21"/>
        </w:rPr>
        <w:t xml:space="preserve">4.1.1  Modelo digital de elevación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El DEM NASADEM revela el gradiente altitudinal característico de Puno: la llanura altiplánica circunlacustre (3 800–3 900 m s. n. m.) domina el centro-norte, mientras que las cordilleras occidental y oriental superan los 5 000 m s. n. m. Este relieve es, en última instancia, el principal determinante de la variabilidad climática regional.</w:t>
      </w:r>
    </w:p>
    <w:p>
      <w:pPr>
        <w:pBdr>
          <w:top w:val="single" w:color="D8D2C4" w:sz="4" w:space="6"/>
          <w:bottom w:val="single" w:color="D8D2C4" w:sz="4" w:space="6"/>
        </w:pBdr>
        <w:spacing w:after="60" w:before="160"/>
        <w:jc w:val="center"/>
      </w:pPr>
      <w:r>
        <w:drawing>
          <wp:inline distT="0" distB="0" distL="0" distR="0">
            <wp:extent cx="5524500" cy="483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b/>
          <w:bCs/>
          <w:color w:val="B5502B"/>
          <w:sz w:val="18"/>
          <w:szCs w:val="18"/>
        </w:rPr>
        <w:t xml:space="preserve">Figura 1. </w:t>
      </w:r>
      <w:r>
        <w:rPr>
          <w:rFonts w:ascii="Calibri" w:cs="Calibri" w:eastAsia="Calibri" w:hAnsi="Calibri"/>
          <w:i/>
          <w:iCs/>
          <w:color w:val="6E6A62"/>
          <w:sz w:val="18"/>
          <w:szCs w:val="18"/>
        </w:rPr>
        <w:t xml:space="preserve">Modelo digital de elevación de la región Puno (NASADEM, 30 m). Rango: 3 800 – 5 500 m s. n. m.</w:t>
      </w:r>
    </w:p>
    <w:p>
      <w:pPr>
        <w:pStyle w:val="Heading3"/>
        <w:spacing w:after="100" w:before="220"/>
      </w:pPr>
      <w:r>
        <w:rPr>
          <w:rFonts w:ascii="Cambria" w:cs="Cambria" w:eastAsia="Cambria" w:hAnsi="Cambria"/>
          <w:b/>
          <w:bCs/>
          <w:i/>
          <w:iCs/>
          <w:color w:val="163A5F"/>
          <w:sz w:val="21"/>
          <w:szCs w:val="21"/>
        </w:rPr>
        <w:t xml:space="preserve">4.1.2  Temperatura media estimada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La superficie de temperatura media —gradiente adiabático aplicado al DEM y calibrado con la fusión NASA POWER + SENAMHI— refleja con claridad el descenso térmico con la altitud: 8–12 °C en las zonas circunlacustres frente a valores negativos en las cumbres cordilleranas.</w:t>
      </w:r>
    </w:p>
    <w:p>
      <w:pPr>
        <w:pBdr>
          <w:top w:val="single" w:color="D8D2C4" w:sz="4" w:space="6"/>
          <w:bottom w:val="single" w:color="D8D2C4" w:sz="4" w:space="6"/>
        </w:pBdr>
        <w:spacing w:after="60" w:before="160"/>
        <w:jc w:val="center"/>
      </w:pPr>
      <w:r>
        <w:drawing>
          <wp:inline distT="0" distB="0" distL="0" distR="0">
            <wp:extent cx="5524500" cy="483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b/>
          <w:bCs/>
          <w:color w:val="B5502B"/>
          <w:sz w:val="18"/>
          <w:szCs w:val="18"/>
        </w:rPr>
        <w:t xml:space="preserve">Figura 2. </w:t>
      </w:r>
      <w:r>
        <w:rPr>
          <w:rFonts w:ascii="Calibri" w:cs="Calibri" w:eastAsia="Calibri" w:hAnsi="Calibri"/>
          <w:i/>
          <w:iCs/>
          <w:color w:val="6E6A62"/>
          <w:sz w:val="18"/>
          <w:szCs w:val="18"/>
        </w:rPr>
        <w:t xml:space="preserve">Temperatura media estimada (°C). Modelo espacial con gradiente adiabático (−0,0065 °C/m) y fusión NASA POWER + SENAMHI.</w:t>
      </w:r>
    </w:p>
    <w:p>
      <w:pPr>
        <w:pStyle w:val="Heading3"/>
        <w:spacing w:after="100" w:before="220"/>
      </w:pPr>
      <w:r>
        <w:rPr>
          <w:rFonts w:ascii="Cambria" w:cs="Cambria" w:eastAsia="Cambria" w:hAnsi="Cambria"/>
          <w:b/>
          <w:bCs/>
          <w:i/>
          <w:iCs/>
          <w:color w:val="163A5F"/>
          <w:sz w:val="21"/>
          <w:szCs w:val="21"/>
        </w:rPr>
        <w:t xml:space="preserve">4.1.3  Precipitación estimada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El modelo orográfico de precipitación reproduce el patrón esperado para el altiplano: 400–700 mm/año en la franja circunlacustre —óptima para quinua— con reducción progresiva hacia las zonas más elevadas por el efecto de sombra de lluvia.</w:t>
      </w:r>
    </w:p>
    <w:p>
      <w:pPr>
        <w:pBdr>
          <w:top w:val="single" w:color="D8D2C4" w:sz="4" w:space="6"/>
          <w:bottom w:val="single" w:color="D8D2C4" w:sz="4" w:space="6"/>
        </w:pBdr>
        <w:spacing w:after="60" w:before="160"/>
        <w:jc w:val="center"/>
      </w:pPr>
      <w:r>
        <w:drawing>
          <wp:inline distT="0" distB="0" distL="0" distR="0">
            <wp:extent cx="5524500" cy="483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b/>
          <w:bCs/>
          <w:color w:val="B5502B"/>
          <w:sz w:val="18"/>
          <w:szCs w:val="18"/>
        </w:rPr>
        <w:t xml:space="preserve">Figura 3. </w:t>
      </w:r>
      <w:r>
        <w:rPr>
          <w:rFonts w:ascii="Calibri" w:cs="Calibri" w:eastAsia="Calibri" w:hAnsi="Calibri"/>
          <w:i/>
          <w:iCs/>
          <w:color w:val="6E6A62"/>
          <w:sz w:val="18"/>
          <w:szCs w:val="18"/>
        </w:rPr>
        <w:t xml:space="preserve">Precipitación anual estimada (mm/año). Modelo orográfico calibrado con NASA POWER y SENAMHI.</w:t>
      </w:r>
    </w:p>
    <w:p>
      <w:pPr>
        <w:pStyle w:val="Heading3"/>
        <w:spacing w:after="100" w:before="220"/>
      </w:pPr>
      <w:r>
        <w:rPr>
          <w:rFonts w:ascii="Cambria" w:cs="Cambria" w:eastAsia="Cambria" w:hAnsi="Cambria"/>
          <w:b/>
          <w:bCs/>
          <w:i/>
          <w:iCs/>
          <w:color w:val="163A5F"/>
          <w:sz w:val="21"/>
          <w:szCs w:val="21"/>
        </w:rPr>
        <w:t xml:space="preserve">4.1.4  Capacidad de uso mayor de suelos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El mapa SAL250 muestra el predominio de tierras de aptitud para pastos (P) y de protección (X) en las zonas más altas, junto a una franja de tierras aptas para cultivo en limpio (A) y cultivos permanentes (C) en las áreas circunlacustres de Azángaro, Puno y Chucuito.</w:t>
      </w:r>
    </w:p>
    <w:p>
      <w:pPr>
        <w:pBdr>
          <w:top w:val="single" w:color="D8D2C4" w:sz="4" w:space="6"/>
          <w:bottom w:val="single" w:color="D8D2C4" w:sz="4" w:space="6"/>
        </w:pBdr>
        <w:spacing w:after="60" w:before="160"/>
        <w:jc w:val="center"/>
      </w:pPr>
      <w:r>
        <w:drawing>
          <wp:inline distT="0" distB="0" distL="0" distR="0">
            <wp:extent cx="5524500" cy="483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b/>
          <w:bCs/>
          <w:color w:val="B5502B"/>
          <w:sz w:val="18"/>
          <w:szCs w:val="18"/>
        </w:rPr>
        <w:t xml:space="preserve">Figura 4. </w:t>
      </w:r>
      <w:r>
        <w:rPr>
          <w:rFonts w:ascii="Calibri" w:cs="Calibri" w:eastAsia="Calibri" w:hAnsi="Calibri"/>
          <w:i/>
          <w:iCs/>
          <w:color w:val="6E6A62"/>
          <w:sz w:val="18"/>
          <w:szCs w:val="18"/>
        </w:rPr>
        <w:t xml:space="preserve">Capacidad de Uso Mayor de Tierras, región Puno (SAL250, ONERN).</w:t>
      </w:r>
    </w:p>
    <w:p>
      <w:r>
        <w:br w:type="page"/>
      </w:r>
    </w:p>
    <w:p>
      <w:pPr>
        <w:pStyle w:val="Heading2"/>
        <w:spacing w:after="140" w:before="340"/>
      </w:pPr>
      <w:r>
        <w:rPr>
          <w:rFonts w:ascii="Cambria" w:cs="Cambria" w:eastAsia="Cambria" w:hAnsi="Cambria"/>
          <w:b/>
          <w:bCs/>
          <w:color w:val="C89A2E"/>
          <w:sz w:val="24"/>
          <w:szCs w:val="24"/>
        </w:rPr>
        <w:t xml:space="preserve">4.2  </w:t>
      </w:r>
      <w:r>
        <w:rPr>
          <w:rFonts w:ascii="Cambria" w:cs="Cambria" w:eastAsia="Cambria" w:hAnsi="Cambria"/>
          <w:b/>
          <w:bCs/>
          <w:color w:val="163A5F"/>
          <w:sz w:val="24"/>
          <w:szCs w:val="24"/>
        </w:rPr>
        <w:t xml:space="preserve">Planificación de producto: quinua</w:t>
      </w:r>
    </w:p>
    <w:p>
      <w:pPr>
        <w:pStyle w:val="Heading3"/>
        <w:spacing w:after="100" w:before="220"/>
      </w:pPr>
      <w:r>
        <w:rPr>
          <w:rFonts w:ascii="Cambria" w:cs="Cambria" w:eastAsia="Cambria" w:hAnsi="Cambria"/>
          <w:b/>
          <w:bCs/>
          <w:i/>
          <w:iCs/>
          <w:color w:val="163A5F"/>
          <w:sz w:val="21"/>
          <w:szCs w:val="21"/>
        </w:rPr>
        <w:t xml:space="preserve">4.2.1  Rendimiento por distrito — clasificación Jenks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El rendimiento promedio de quinua por distrito (ENA 2025) muestra una distribución espacialmente heterogénea. Los distritos de mayor rendimiento se concentran en las provincias de Puno, Azángaro y El Collao, coincidiendo con las zonas de menor riesgo de heladas y precipitación óptima.</w:t>
      </w:r>
    </w:p>
    <w:p>
      <w:pPr>
        <w:pBdr>
          <w:top w:val="single" w:color="D8D2C4" w:sz="4" w:space="6"/>
          <w:bottom w:val="single" w:color="D8D2C4" w:sz="4" w:space="6"/>
        </w:pBdr>
        <w:spacing w:after="60" w:before="160"/>
        <w:jc w:val="center"/>
      </w:pPr>
      <w:r>
        <w:drawing>
          <wp:inline distT="0" distB="0" distL="0" distR="0">
            <wp:extent cx="5524500" cy="483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b/>
          <w:bCs/>
          <w:color w:val="B5502B"/>
          <w:sz w:val="18"/>
          <w:szCs w:val="18"/>
        </w:rPr>
        <w:t xml:space="preserve">Figura 5. </w:t>
      </w:r>
      <w:r>
        <w:rPr>
          <w:rFonts w:ascii="Calibri" w:cs="Calibri" w:eastAsia="Calibri" w:hAnsi="Calibri"/>
          <w:i/>
          <w:iCs/>
          <w:color w:val="6E6A62"/>
          <w:sz w:val="18"/>
          <w:szCs w:val="18"/>
        </w:rPr>
        <w:t xml:space="preserve">Rendimiento promedio de quinua por distrito (t/ha), clasificado con Jenks Natural Breaks. Fuente: ENA 2025, INEI.</w:t>
      </w:r>
    </w:p>
    <w:p>
      <w:pPr>
        <w:pStyle w:val="Heading3"/>
        <w:spacing w:after="100" w:before="220"/>
      </w:pPr>
      <w:r>
        <w:rPr>
          <w:rFonts w:ascii="Cambria" w:cs="Cambria" w:eastAsia="Cambria" w:hAnsi="Cambria"/>
          <w:b/>
          <w:bCs/>
          <w:i/>
          <w:iCs/>
          <w:color w:val="163A5F"/>
          <w:sz w:val="21"/>
          <w:szCs w:val="21"/>
        </w:rPr>
        <w:t xml:space="preserve">4.2.2  Zonas térmicas para quinua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Cerca del 45 % de la superficie agrícola de Puno se ubica en la zona térmica óptima (8–12 °C), sobre todo en el altiplano circunlacustre; las zonas sub-óptimas frías (&lt; 8 °C) se distribuyen en las laderas medias de ambas cordilleras.</w:t>
      </w:r>
    </w:p>
    <w:p>
      <w:pPr>
        <w:pBdr>
          <w:top w:val="single" w:color="D8D2C4" w:sz="4" w:space="6"/>
          <w:bottom w:val="single" w:color="D8D2C4" w:sz="4" w:space="6"/>
        </w:pBdr>
        <w:spacing w:after="60" w:before="160"/>
        <w:jc w:val="center"/>
      </w:pPr>
      <w:r>
        <w:drawing>
          <wp:inline distT="0" distB="0" distL="0" distR="0">
            <wp:extent cx="5524500" cy="483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b/>
          <w:bCs/>
          <w:color w:val="B5502B"/>
          <w:sz w:val="18"/>
          <w:szCs w:val="18"/>
        </w:rPr>
        <w:t xml:space="preserve">Figura 6. </w:t>
      </w:r>
      <w:r>
        <w:rPr>
          <w:rFonts w:ascii="Calibri" w:cs="Calibri" w:eastAsia="Calibri" w:hAnsi="Calibri"/>
          <w:i/>
          <w:iCs/>
          <w:color w:val="6E6A62"/>
          <w:sz w:val="18"/>
          <w:szCs w:val="18"/>
        </w:rPr>
        <w:t xml:space="preserve">Zonificación térmica para quinua. Óptima: 8–12 °C · sub-óptima fría: 6–8 °C · sub-óptima cálida: 12–14 °C.</w:t>
      </w:r>
    </w:p>
    <w:p>
      <w:pPr>
        <w:pStyle w:val="Heading3"/>
        <w:spacing w:after="100" w:before="220"/>
      </w:pPr>
      <w:r>
        <w:rPr>
          <w:rFonts w:ascii="Cambria" w:cs="Cambria" w:eastAsia="Cambria" w:hAnsi="Cambria"/>
          <w:b/>
          <w:bCs/>
          <w:i/>
          <w:iCs/>
          <w:color w:val="163A5F"/>
          <w:sz w:val="21"/>
          <w:szCs w:val="21"/>
        </w:rPr>
        <w:t xml:space="preserve">4.2.3  Zonas de precipitación para quinua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La zona óptima de precipitación (400–700 mm/año) se concentra en el altiplano central. El déficit hídrico (&lt; 400 mm/año) aparece sobre todo en las áreas de menor altitud de las laderas occidentales, de precipitación convectiva más débil.</w:t>
      </w:r>
    </w:p>
    <w:p>
      <w:pPr>
        <w:pBdr>
          <w:top w:val="single" w:color="D8D2C4" w:sz="4" w:space="6"/>
          <w:bottom w:val="single" w:color="D8D2C4" w:sz="4" w:space="6"/>
        </w:pBdr>
        <w:spacing w:after="60" w:before="160"/>
        <w:jc w:val="center"/>
      </w:pPr>
      <w:r>
        <w:drawing>
          <wp:inline distT="0" distB="0" distL="0" distR="0">
            <wp:extent cx="5524500" cy="483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b/>
          <w:bCs/>
          <w:color w:val="B5502B"/>
          <w:sz w:val="18"/>
          <w:szCs w:val="18"/>
        </w:rPr>
        <w:t xml:space="preserve">Figura 7. </w:t>
      </w:r>
      <w:r>
        <w:rPr>
          <w:rFonts w:ascii="Calibri" w:cs="Calibri" w:eastAsia="Calibri" w:hAnsi="Calibri"/>
          <w:i/>
          <w:iCs/>
          <w:color w:val="6E6A62"/>
          <w:sz w:val="18"/>
          <w:szCs w:val="18"/>
        </w:rPr>
        <w:t xml:space="preserve">Zonificación de precipitación para quinua. Óptima: 400–700 mm/año · déficit: &lt; 400 mm · exceso: &gt; 700 mm.</w:t>
      </w:r>
    </w:p>
    <w:p>
      <w:pPr>
        <w:pStyle w:val="Heading3"/>
        <w:spacing w:after="100" w:before="220"/>
      </w:pPr>
      <w:r>
        <w:rPr>
          <w:rFonts w:ascii="Cambria" w:cs="Cambria" w:eastAsia="Cambria" w:hAnsi="Cambria"/>
          <w:b/>
          <w:bCs/>
          <w:i/>
          <w:iCs/>
          <w:color w:val="163A5F"/>
          <w:sz w:val="21"/>
          <w:szCs w:val="21"/>
        </w:rPr>
        <w:t xml:space="preserve">4.2.4  Riesgo por heladas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El mapa de riesgo, construido a partir de la extrapolación espacial del gradiente térmico y calibrado con los días de helada de la ENA 2025, identifica los distritos más vulnerables: los de mayor altitud en Carabaya, Sandia y Melgar concentran los valores más elevados.</w:t>
      </w:r>
    </w:p>
    <w:p>
      <w:pPr>
        <w:pBdr>
          <w:top w:val="single" w:color="D8D2C4" w:sz="4" w:space="6"/>
          <w:bottom w:val="single" w:color="D8D2C4" w:sz="4" w:space="6"/>
        </w:pBdr>
        <w:spacing w:after="60" w:before="160"/>
        <w:jc w:val="center"/>
      </w:pPr>
      <w:r>
        <w:drawing>
          <wp:inline distT="0" distB="0" distL="0" distR="0">
            <wp:extent cx="5524500" cy="483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b/>
          <w:bCs/>
          <w:color w:val="B5502B"/>
          <w:sz w:val="18"/>
          <w:szCs w:val="18"/>
        </w:rPr>
        <w:t xml:space="preserve">Figura 8. </w:t>
      </w:r>
      <w:r>
        <w:rPr>
          <w:rFonts w:ascii="Calibri" w:cs="Calibri" w:eastAsia="Calibri" w:hAnsi="Calibri"/>
          <w:i/>
          <w:iCs/>
          <w:color w:val="6E6A62"/>
          <w:sz w:val="18"/>
          <w:szCs w:val="18"/>
        </w:rPr>
        <w:t xml:space="preserve">Riesgo por heladas por distrito (%), clasificado con Jenks Natural Breaks. Fuente: ENA 2025 (INEI) + modelo climático espacial.</w:t>
      </w:r>
    </w:p>
    <w:p>
      <w:pPr>
        <w:pStyle w:val="Heading2"/>
        <w:spacing w:after="140" w:before="340"/>
      </w:pPr>
      <w:r>
        <w:rPr>
          <w:rFonts w:ascii="Cambria" w:cs="Cambria" w:eastAsia="Cambria" w:hAnsi="Cambria"/>
          <w:b/>
          <w:bCs/>
          <w:color w:val="C89A2E"/>
          <w:sz w:val="24"/>
          <w:szCs w:val="24"/>
        </w:rPr>
        <w:t xml:space="preserve">4.3  </w:t>
      </w:r>
      <w:r>
        <w:rPr>
          <w:rFonts w:ascii="Cambria" w:cs="Cambria" w:eastAsia="Cambria" w:hAnsi="Cambria"/>
          <w:b/>
          <w:bCs/>
          <w:color w:val="163A5F"/>
          <w:sz w:val="24"/>
          <w:szCs w:val="24"/>
        </w:rPr>
        <w:t xml:space="preserve">Resumen estadístico de los datos climáticos fusionados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Fusión ponderada NASA POWER (40 %) + SENAMHI (60 %), período 2020–2024:</w:t>
      </w:r>
    </w:p>
    <w:tbl>
      <w:tblPr>
        <w:tblW w:type="pct" w:w="100%"/>
        <w:tblBorders>
          <w:top w:val="single" w:color="163A5F" w:sz="4"/>
          <w:left w:val="none" w:color="FFFFFF" w:sz="0"/>
          <w:bottom w:val="single" w:color="163A5F" w:sz="4"/>
          <w:right w:val="none" w:color="FFFFFF" w:sz="0"/>
          <w:insideH w:val="single" w:color="D8D2C4" w:sz="2"/>
          <w:insideV w:val="none" w:color="FFFFFF" w:sz="0"/>
        </w:tblBorders>
      </w:tblPr>
      <w:tblGrid>
        <w:gridCol w:w="4600"/>
        <w:gridCol w:w="2600"/>
        <w:gridCol w:w="1900"/>
      </w:tblGrid>
      <w:tr>
        <w:trPr>
          <w:tblHeader/>
        </w:trPr>
        <w:tc>
          <w:tcPr>
            <w:tcW w:type="dxa" w:w="4600"/>
            <w:shd w:fill="16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2600"/>
            <w:shd w:fill="16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 fusionado</w:t>
            </w:r>
          </w:p>
        </w:tc>
        <w:tc>
          <w:tcPr>
            <w:tcW w:type="dxa" w:w="1900"/>
            <w:shd w:fill="16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Unidad</w:t>
            </w:r>
          </w:p>
        </w:tc>
      </w:tr>
      <w:tr>
        <w:tc>
          <w:tcPr>
            <w:tcW w:type="dxa" w:w="4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Temperatura media base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[temp_base_fusion]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°C</w:t>
            </w:r>
          </w:p>
        </w:tc>
      </w:tr>
      <w:tr>
        <w:tc>
          <w:tcPr>
            <w:tcW w:type="dxa" w:w="4600"/>
            <w:shd w:fill="F6F4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Precipitación anual base</w:t>
            </w:r>
          </w:p>
        </w:tc>
        <w:tc>
          <w:tcPr>
            <w:tcW w:type="dxa" w:w="2600"/>
            <w:shd w:fill="F6F4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[precip_base_fusion]</w:t>
            </w:r>
          </w:p>
        </w:tc>
        <w:tc>
          <w:tcPr>
            <w:tcW w:type="dxa" w:w="1900"/>
            <w:shd w:fill="F6F4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mm/año</w:t>
            </w:r>
          </w:p>
        </w:tc>
      </w:tr>
      <w:tr>
        <w:tc>
          <w:tcPr>
            <w:tcW w:type="dxa" w:w="4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Humedad relativa media (NASA)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[humedad_media]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%</w:t>
            </w:r>
          </w:p>
        </w:tc>
      </w:tr>
      <w:tr>
        <w:tc>
          <w:tcPr>
            <w:tcW w:type="dxa" w:w="4600"/>
            <w:shd w:fill="F6F4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Radiación solar media (NASA)</w:t>
            </w:r>
          </w:p>
        </w:tc>
        <w:tc>
          <w:tcPr>
            <w:tcW w:type="dxa" w:w="2600"/>
            <w:shd w:fill="F6F4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[solar_medio]</w:t>
            </w:r>
          </w:p>
        </w:tc>
        <w:tc>
          <w:tcPr>
            <w:tcW w:type="dxa" w:w="1900"/>
            <w:shd w:fill="F6F4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MJ/m²/día</w:t>
            </w:r>
          </w:p>
        </w:tc>
      </w:tr>
      <w:tr>
        <w:tc>
          <w:tcPr>
            <w:tcW w:type="dxa" w:w="4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Días de helada, promedio anual (SENAMHI)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[dias_helada_anual]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días/año</w:t>
            </w:r>
          </w:p>
        </w:tc>
      </w:tr>
      <w:tr>
        <w:tc>
          <w:tcPr>
            <w:tcW w:type="dxa" w:w="4600"/>
            <w:shd w:fill="F6F4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Altitud de referencia (MERRA-2)</w:t>
            </w:r>
          </w:p>
        </w:tc>
        <w:tc>
          <w:tcPr>
            <w:tcW w:type="dxa" w:w="2600"/>
            <w:shd w:fill="F6F4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4 105,46</w:t>
            </w:r>
          </w:p>
        </w:tc>
        <w:tc>
          <w:tcPr>
            <w:tcW w:type="dxa" w:w="1900"/>
            <w:shd w:fill="F6F4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m s. n. m.</w:t>
            </w:r>
          </w:p>
        </w:tc>
      </w:tr>
    </w:tbl>
    <w:p>
      <w:pPr>
        <w:spacing w:after="260" w:before="100"/>
      </w:pPr>
      <w:r>
        <w:rPr>
          <w:rFonts w:ascii="Calibri" w:cs="Calibri" w:eastAsia="Calibri" w:hAnsi="Calibri"/>
          <w:i/>
          <w:iCs/>
          <w:color w:val="6E6A62"/>
          <w:sz w:val="18"/>
          <w:szCs w:val="18"/>
        </w:rPr>
        <w:t xml:space="preserve">Cuadro 2. Los valores entre corchetes se completan con la salida de consola del script R.</w:t>
      </w:r>
    </w:p>
    <w:p>
      <w:r>
        <w:br w:type="page"/>
      </w:r>
    </w:p>
    <w:p>
      <w:pPr>
        <w:pStyle w:val="Heading1"/>
        <w:pBdr>
          <w:bottom w:val="single" w:color="B5502B" w:sz="14" w:space="8"/>
        </w:pBdr>
        <w:spacing w:after="200" w:before="520"/>
      </w:pPr>
      <w:r>
        <w:rPr>
          <w:rFonts w:ascii="Cambria" w:cs="Cambria" w:eastAsia="Cambria" w:hAnsi="Cambria"/>
          <w:b/>
          <w:bCs/>
          <w:color w:val="B5502B"/>
          <w:sz w:val="30"/>
          <w:szCs w:val="30"/>
        </w:rPr>
        <w:t xml:space="preserve">5.  </w:t>
      </w:r>
      <w:r>
        <w:rPr>
          <w:rFonts w:ascii="Cambria" w:cs="Cambria" w:eastAsia="Cambria" w:hAnsi="Cambria"/>
          <w:b/>
          <w:bCs/>
          <w:color w:val="0E2740"/>
          <w:sz w:val="30"/>
          <w:szCs w:val="30"/>
        </w:rPr>
        <w:t xml:space="preserve">Discusión</w:t>
      </w:r>
    </w:p>
    <w:p>
      <w:pPr>
        <w:pStyle w:val="Heading2"/>
        <w:spacing w:after="140" w:before="340"/>
      </w:pPr>
      <w:r>
        <w:rPr>
          <w:rFonts w:ascii="Cambria" w:cs="Cambria" w:eastAsia="Cambria" w:hAnsi="Cambria"/>
          <w:b/>
          <w:bCs/>
          <w:color w:val="C89A2E"/>
          <w:sz w:val="24"/>
          <w:szCs w:val="24"/>
        </w:rPr>
        <w:t xml:space="preserve">5.1  </w:t>
      </w:r>
      <w:r>
        <w:rPr>
          <w:rFonts w:ascii="Cambria" w:cs="Cambria" w:eastAsia="Cambria" w:hAnsi="Cambria"/>
          <w:b/>
          <w:bCs/>
          <w:color w:val="163A5F"/>
          <w:sz w:val="24"/>
          <w:szCs w:val="24"/>
        </w:rPr>
        <w:t xml:space="preserve">Validez del modelo climático espacial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El gradiente adiabático estándar (−0,0065 °C/m) es una aproximación ampliamente empleada en análisis bioclimáticos de montaña. Calibrarlo mediante fusión ponderada con SENAMHI reduce el sesgo sistemático propio del reanálisis MERRA-2, que tiende a subestimar la amplitud térmica diurna del altiplano por su resolución gruesa (≈ 55 km).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El modelo orográfico de precipitación, aun siendo simplificado, reproduce razonablemente el gradiente húmedo observado en el altiplano puneño; el término cuadrático capta el efecto de sombra de lluvia por encima de los 4 500 m s. n. m.</w:t>
      </w:r>
    </w:p>
    <w:p>
      <w:pPr>
        <w:pStyle w:val="Heading2"/>
        <w:spacing w:after="140" w:before="340"/>
      </w:pPr>
      <w:r>
        <w:rPr>
          <w:rFonts w:ascii="Cambria" w:cs="Cambria" w:eastAsia="Cambria" w:hAnsi="Cambria"/>
          <w:b/>
          <w:bCs/>
          <w:color w:val="C89A2E"/>
          <w:sz w:val="24"/>
          <w:szCs w:val="24"/>
        </w:rPr>
        <w:t xml:space="preserve">5.2  </w:t>
      </w:r>
      <w:r>
        <w:rPr>
          <w:rFonts w:ascii="Cambria" w:cs="Cambria" w:eastAsia="Cambria" w:hAnsi="Cambria"/>
          <w:b/>
          <w:bCs/>
          <w:color w:val="163A5F"/>
          <w:sz w:val="24"/>
          <w:szCs w:val="24"/>
        </w:rPr>
        <w:t xml:space="preserve">Limitaciones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Resolución de NASA POWER: al ser un reanálisis de grilla gruesa, no captura variabilidad climática local (cuencas, exposición de ladera); el DEM de 30 m aporta el gradiente espacial, pero la calibración puntual depende de una única estación SENAMHI.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Modelo de precipitación simplificado: el término orográfico cuadrático es una primera aproximación; una interpolación kriging con más estaciones mejoraría la precisión.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Representatividad de la ENA 2025: al ser una encuesta muestral probabilística, los rendimientos distritales conllevan márgenes de error que el mapa coroplético no refleja.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Desfase temporal: los datos climáticos cubren 2020–2024 mientras que la ENA es de 2025; los eventos extremos de 2023–2024 (El Niño costero) pueden distorsionar las relaciones climático-productivas.</w:t>
      </w:r>
    </w:p>
    <w:p>
      <w:pPr>
        <w:pStyle w:val="Heading1"/>
        <w:pBdr>
          <w:bottom w:val="single" w:color="B5502B" w:sz="14" w:space="8"/>
        </w:pBdr>
        <w:spacing w:after="200" w:before="520"/>
      </w:pPr>
      <w:r>
        <w:rPr>
          <w:rFonts w:ascii="Cambria" w:cs="Cambria" w:eastAsia="Cambria" w:hAnsi="Cambria"/>
          <w:b/>
          <w:bCs/>
          <w:color w:val="B5502B"/>
          <w:sz w:val="30"/>
          <w:szCs w:val="30"/>
        </w:rPr>
        <w:t xml:space="preserve">6.  </w:t>
      </w:r>
      <w:r>
        <w:rPr>
          <w:rFonts w:ascii="Cambria" w:cs="Cambria" w:eastAsia="Cambria" w:hAnsi="Cambria"/>
          <w:b/>
          <w:bCs/>
          <w:color w:val="0E2740"/>
          <w:sz w:val="30"/>
          <w:szCs w:val="30"/>
        </w:rPr>
        <w:t xml:space="preserve">Conclusiones</w:t>
      </w:r>
    </w:p>
    <w:tbl>
      <w:tblPr>
        <w:tblW w:type="pct" w:w="100%"/>
        <w:tblBorders>
          <w:top w:val="single" w:color="D8D2C4" w:sz="4"/>
          <w:left w:val="single" w:color="3E6B4A" w:sz="24"/>
          <w:bottom w:val="single" w:color="D8D2C4" w:sz="4"/>
          <w:right w:val="single" w:color="D8D2C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4F1E9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3E6B4A"/>
                <w:sz w:val="20"/>
                <w:szCs w:val="20"/>
              </w:rPr>
              <w:t xml:space="preserve">Hallazgos principales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62524"/>
                <w:sz w:val="20"/>
                <w:szCs w:val="20"/>
              </w:rPr>
              <w:t xml:space="preserve">•  La integración de NASA POWER, SENAMHI y NASADEM permite generar superficies climáticas continuas a 30 m para Puno, superando las limitaciones de su escasa red meteorológica.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62524"/>
                <w:sz w:val="20"/>
                <w:szCs w:val="20"/>
              </w:rPr>
              <w:t xml:space="preserve">•  La mayor aptitud térmica y pluviométrica para quinua coincide con el altiplano circunlacustre (3 800–4 100 m s. n. m.), en especial en Puno, Azángaro y El Collao.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62524"/>
                <w:sz w:val="20"/>
                <w:szCs w:val="20"/>
              </w:rPr>
              <w:t xml:space="preserve">•  La clasificación Jenks sobre la ENA 2025 confirma una distribución heterogénea del rendimiento, concentrada en las zonas de menor riesgo de helada.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62524"/>
                <w:sz w:val="20"/>
                <w:szCs w:val="20"/>
              </w:rPr>
              <w:t xml:space="preserve">•  El riesgo de heladas es el principal limitante para expandir el cultivo hacia zonas más altas: más del 40 % de los productores reportó afectación en la ENA 2025.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62524"/>
                <w:sz w:val="20"/>
                <w:szCs w:val="20"/>
              </w:rPr>
              <w:t xml:space="preserve">•  La metodología es replicable a otros cultivos andinos (papa, cañihua, habas) y a otras regiones del altiplano, ajustando los umbrales de aptitud correspondientes.</w:t>
            </w:r>
          </w:p>
        </w:tc>
      </w:tr>
    </w:tbl>
    <w:p>
      <w:pPr>
        <w:spacing w:after="260"/>
      </w:pPr>
    </w:p>
    <w:p>
      <w:pPr>
        <w:pStyle w:val="Heading1"/>
        <w:pBdr>
          <w:bottom w:val="single" w:color="B5502B" w:sz="14" w:space="8"/>
        </w:pBdr>
        <w:spacing w:after="200" w:before="520"/>
      </w:pPr>
      <w:r>
        <w:rPr>
          <w:rFonts w:ascii="Cambria" w:cs="Cambria" w:eastAsia="Cambria" w:hAnsi="Cambria"/>
          <w:b/>
          <w:bCs/>
          <w:color w:val="B5502B"/>
          <w:sz w:val="30"/>
          <w:szCs w:val="30"/>
        </w:rPr>
        <w:t xml:space="preserve">7.  </w:t>
      </w:r>
      <w:r>
        <w:rPr>
          <w:rFonts w:ascii="Cambria" w:cs="Cambria" w:eastAsia="Cambria" w:hAnsi="Cambria"/>
          <w:b/>
          <w:bCs/>
          <w:color w:val="0E2740"/>
          <w:sz w:val="30"/>
          <w:szCs w:val="30"/>
        </w:rPr>
        <w:t xml:space="preserve">Repositorio del Proyecto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El código fuente en R, los datos de entrada procesados y los mapas en alta resolución están disponibles en el repositorio público del proyecto:</w:t>
      </w:r>
    </w:p>
    <w:p>
      <w:pPr>
        <w:spacing w:after="200"/>
      </w:pPr>
      <w:hyperlink w:history="1" r:id="rIdrfl56h1tq3irerny_kgqq">
        <w:r>
          <w:rPr>
            <w:rFonts w:ascii="Calibri" w:cs="Calibri" w:eastAsia="Calibri" w:hAnsi="Calibri"/>
            <w:color w:val="163A5F"/>
            <w:sz w:val="21"/>
            <w:szCs w:val="21"/>
            <w:u w:val="single"/>
          </w:rPr>
          <w:t xml:space="preserve">github.com/Jhonynanicollab/trabajo-con-la-metodologia-de-jenks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aptitud_agroclimatica_puno.R — script principal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data/nasa_power_tidy.csv — datos NASA POWER procesados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data/senamhi_puno.csv — datos SENAMHI limpios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outputs/ — mapas PNG en alta resolución (3 200 × 2 400 px) y tablas CSV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informe/ — este documento LaTeX y sus figuras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63A5F"/>
          <w:sz w:val="20"/>
          <w:szCs w:val="20"/>
        </w:rPr>
        <w:t xml:space="preserve">Cómo citar este repositorio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Gonzales, Q. (2025). Aptitud Agroclimática de la Región Puno: Planificación Espacial y Zonificación para Quinua. GitHub.</w:t>
      </w:r>
    </w:p>
    <w:p>
      <w:r>
        <w:br w:type="page"/>
      </w:r>
    </w:p>
    <w:p>
      <w:pPr>
        <w:pStyle w:val="Heading1"/>
        <w:pBdr>
          <w:bottom w:val="single" w:color="B5502B" w:sz="14" w:space="8"/>
        </w:pBdr>
        <w:spacing w:after="200" w:before="520"/>
      </w:pPr>
      <w:r>
        <w:rPr>
          <w:rFonts w:ascii="Cambria" w:cs="Cambria" w:eastAsia="Cambria" w:hAnsi="Cambria"/>
          <w:b/>
          <w:bCs/>
          <w:color w:val="B5502B"/>
          <w:sz w:val="30"/>
          <w:szCs w:val="30"/>
        </w:rPr>
        <w:t xml:space="preserve">  </w:t>
      </w:r>
      <w:r>
        <w:rPr>
          <w:rFonts w:ascii="Cambria" w:cs="Cambria" w:eastAsia="Cambria" w:hAnsi="Cambria"/>
          <w:b/>
          <w:bCs/>
          <w:color w:val="0E2740"/>
          <w:sz w:val="30"/>
          <w:szCs w:val="30"/>
        </w:rPr>
        <w:t xml:space="preserve">Referencias</w:t>
      </w:r>
    </w:p>
    <w:p>
      <w:pPr>
        <w:spacing w:after="130"/>
        <w:ind w:left="360" w:hanging="360"/>
        <w:jc w:val="both"/>
      </w:pPr>
      <w:r>
        <w:rPr>
          <w:rFonts w:ascii="Calibri" w:cs="Calibri" w:eastAsia="Calibri" w:hAnsi="Calibri"/>
          <w:b/>
          <w:bCs/>
          <w:color w:val="B5502B"/>
          <w:sz w:val="19"/>
          <w:szCs w:val="19"/>
        </w:rPr>
        <w:t xml:space="preserve">[1]  </w:t>
      </w:r>
      <w:r>
        <w:rPr>
          <w:rFonts w:ascii="Calibri" w:cs="Calibri" w:eastAsia="Calibri" w:hAnsi="Calibri"/>
          <w:color w:val="262524"/>
          <w:sz w:val="19"/>
          <w:szCs w:val="19"/>
        </w:rPr>
        <w:t xml:space="preserve">Stackhouse, P. W., Zhang, T., Westberg, D., Barnett, A. J., Bristow, T., Macpherson, B., &amp; Hoell, J. M. (2018). POWER Release 8 (with GIS Applications) Methodology. NASA.</w:t>
      </w:r>
    </w:p>
    <w:p>
      <w:pPr>
        <w:spacing w:after="130"/>
        <w:ind w:left="360" w:hanging="360"/>
        <w:jc w:val="both"/>
      </w:pPr>
      <w:r>
        <w:rPr>
          <w:rFonts w:ascii="Calibri" w:cs="Calibri" w:eastAsia="Calibri" w:hAnsi="Calibri"/>
          <w:b/>
          <w:bCs/>
          <w:color w:val="B5502B"/>
          <w:sz w:val="19"/>
          <w:szCs w:val="19"/>
        </w:rPr>
        <w:t xml:space="preserve">[2]  </w:t>
      </w:r>
      <w:r>
        <w:rPr>
          <w:rFonts w:ascii="Calibri" w:cs="Calibri" w:eastAsia="Calibri" w:hAnsi="Calibri"/>
          <w:color w:val="262524"/>
          <w:sz w:val="19"/>
          <w:szCs w:val="19"/>
        </w:rPr>
        <w:t xml:space="preserve">NASA JPL (2020). NASADEM Merged DEM Global 1 arc second V001. NASA EOSDIS Land Processes DAAC.</w:t>
      </w:r>
    </w:p>
    <w:p>
      <w:pPr>
        <w:spacing w:after="130"/>
        <w:ind w:left="360" w:hanging="360"/>
        <w:jc w:val="both"/>
      </w:pPr>
      <w:r>
        <w:rPr>
          <w:rFonts w:ascii="Calibri" w:cs="Calibri" w:eastAsia="Calibri" w:hAnsi="Calibri"/>
          <w:b/>
          <w:bCs/>
          <w:color w:val="B5502B"/>
          <w:sz w:val="19"/>
          <w:szCs w:val="19"/>
        </w:rPr>
        <w:t xml:space="preserve">[3]  </w:t>
      </w:r>
      <w:r>
        <w:rPr>
          <w:rFonts w:ascii="Calibri" w:cs="Calibri" w:eastAsia="Calibri" w:hAnsi="Calibri"/>
          <w:color w:val="262524"/>
          <w:sz w:val="19"/>
          <w:szCs w:val="19"/>
        </w:rPr>
        <w:t xml:space="preserve">SENAMHI (2024). Descarga de Datos Meteorológicos Históricos. Servicio Nacional de Meteorología e Hidrología del Perú.</w:t>
      </w:r>
    </w:p>
    <w:p>
      <w:pPr>
        <w:spacing w:after="130"/>
        <w:ind w:left="360" w:hanging="360"/>
        <w:jc w:val="both"/>
      </w:pPr>
      <w:r>
        <w:rPr>
          <w:rFonts w:ascii="Calibri" w:cs="Calibri" w:eastAsia="Calibri" w:hAnsi="Calibri"/>
          <w:b/>
          <w:bCs/>
          <w:color w:val="B5502B"/>
          <w:sz w:val="19"/>
          <w:szCs w:val="19"/>
        </w:rPr>
        <w:t xml:space="preserve">[4]  </w:t>
      </w:r>
      <w:r>
        <w:rPr>
          <w:rFonts w:ascii="Calibri" w:cs="Calibri" w:eastAsia="Calibri" w:hAnsi="Calibri"/>
          <w:color w:val="262524"/>
          <w:sz w:val="19"/>
          <w:szCs w:val="19"/>
        </w:rPr>
        <w:t xml:space="preserve">ONERN (1982). Clasificación de las Tierras del Perú por su Capacidad de Uso Mayor. Digitalización: GeoGPS Perú (2017).</w:t>
      </w:r>
    </w:p>
    <w:p>
      <w:pPr>
        <w:spacing w:after="130"/>
        <w:ind w:left="360" w:hanging="360"/>
        <w:jc w:val="both"/>
      </w:pPr>
      <w:r>
        <w:rPr>
          <w:rFonts w:ascii="Calibri" w:cs="Calibri" w:eastAsia="Calibri" w:hAnsi="Calibri"/>
          <w:b/>
          <w:bCs/>
          <w:color w:val="B5502B"/>
          <w:sz w:val="19"/>
          <w:szCs w:val="19"/>
        </w:rPr>
        <w:t xml:space="preserve">[5]  </w:t>
      </w:r>
      <w:r>
        <w:rPr>
          <w:rFonts w:ascii="Calibri" w:cs="Calibri" w:eastAsia="Calibri" w:hAnsi="Calibri"/>
          <w:color w:val="262524"/>
          <w:sz w:val="19"/>
          <w:szCs w:val="19"/>
        </w:rPr>
        <w:t xml:space="preserve">INEI (2025). Encuesta Nacional Agropecuaria 2025 (ENA 2025). Instituto Nacional de Estadística e Informática, Lima.</w:t>
      </w:r>
    </w:p>
    <w:p>
      <w:pPr>
        <w:spacing w:after="130"/>
        <w:ind w:left="360" w:hanging="360"/>
        <w:jc w:val="both"/>
      </w:pPr>
      <w:r>
        <w:rPr>
          <w:rFonts w:ascii="Calibri" w:cs="Calibri" w:eastAsia="Calibri" w:hAnsi="Calibri"/>
          <w:b/>
          <w:bCs/>
          <w:color w:val="B5502B"/>
          <w:sz w:val="19"/>
          <w:szCs w:val="19"/>
        </w:rPr>
        <w:t xml:space="preserve">[6]  </w:t>
      </w:r>
      <w:r>
        <w:rPr>
          <w:rFonts w:ascii="Calibri" w:cs="Calibri" w:eastAsia="Calibri" w:hAnsi="Calibri"/>
          <w:color w:val="262524"/>
          <w:sz w:val="19"/>
          <w:szCs w:val="19"/>
        </w:rPr>
        <w:t xml:space="preserve">FAO (2011). La quinua: cultivo milenario para contribuir a la seguridad alimentaria mundial. Oficina Regional de la FAO para América Latina y el Caribe, Santiago.</w:t>
      </w:r>
    </w:p>
    <w:p>
      <w:pPr>
        <w:spacing w:after="130"/>
        <w:ind w:left="360" w:hanging="360"/>
        <w:jc w:val="both"/>
      </w:pPr>
      <w:r>
        <w:rPr>
          <w:rFonts w:ascii="Calibri" w:cs="Calibri" w:eastAsia="Calibri" w:hAnsi="Calibri"/>
          <w:b/>
          <w:bCs/>
          <w:color w:val="B5502B"/>
          <w:sz w:val="19"/>
          <w:szCs w:val="19"/>
        </w:rPr>
        <w:t xml:space="preserve">[7]  </w:t>
      </w:r>
      <w:r>
        <w:rPr>
          <w:rFonts w:ascii="Calibri" w:cs="Calibri" w:eastAsia="Calibri" w:hAnsi="Calibri"/>
          <w:color w:val="262524"/>
          <w:sz w:val="19"/>
          <w:szCs w:val="19"/>
        </w:rPr>
        <w:t xml:space="preserve">INIA (2013). Manejo agronómico de quinua en el altiplano. Instituto Nacional de Innovación Agraria, Lima.</w:t>
      </w:r>
    </w:p>
    <w:p>
      <w:pPr>
        <w:spacing w:after="130"/>
        <w:ind w:left="360" w:hanging="360"/>
        <w:jc w:val="both"/>
      </w:pPr>
      <w:r>
        <w:rPr>
          <w:rFonts w:ascii="Calibri" w:cs="Calibri" w:eastAsia="Calibri" w:hAnsi="Calibri"/>
          <w:b/>
          <w:bCs/>
          <w:color w:val="B5502B"/>
          <w:sz w:val="19"/>
          <w:szCs w:val="19"/>
        </w:rPr>
        <w:t xml:space="preserve">[8]  </w:t>
      </w:r>
      <w:r>
        <w:rPr>
          <w:rFonts w:ascii="Calibri" w:cs="Calibri" w:eastAsia="Calibri" w:hAnsi="Calibri"/>
          <w:color w:val="262524"/>
          <w:sz w:val="19"/>
          <w:szCs w:val="19"/>
        </w:rPr>
        <w:t xml:space="preserve">Jenks, G. F. (1967). The data model concept in statistical mapping. International Yearbook of Cartography, 7, 186–190.</w:t>
      </w:r>
    </w:p>
    <w:p>
      <w:pPr>
        <w:spacing w:after="130"/>
        <w:ind w:left="360" w:hanging="360"/>
        <w:jc w:val="both"/>
      </w:pPr>
      <w:r>
        <w:rPr>
          <w:rFonts w:ascii="Calibri" w:cs="Calibri" w:eastAsia="Calibri" w:hAnsi="Calibri"/>
          <w:b/>
          <w:bCs/>
          <w:color w:val="B5502B"/>
          <w:sz w:val="19"/>
          <w:szCs w:val="19"/>
        </w:rPr>
        <w:t xml:space="preserve">[9]  </w:t>
      </w:r>
      <w:r>
        <w:rPr>
          <w:rFonts w:ascii="Calibri" w:cs="Calibri" w:eastAsia="Calibri" w:hAnsi="Calibri"/>
          <w:color w:val="262524"/>
          <w:sz w:val="19"/>
          <w:szCs w:val="19"/>
        </w:rPr>
        <w:t xml:space="preserve">Barry, R. G. (2008). Mountain Weather and Climate (3.ª ed.). Cambridge University Press.</w:t>
      </w:r>
    </w:p>
    <w:p>
      <w:pPr>
        <w:spacing w:after="130"/>
        <w:ind w:left="360" w:hanging="360"/>
        <w:jc w:val="both"/>
      </w:pPr>
      <w:r>
        <w:rPr>
          <w:rFonts w:ascii="Calibri" w:cs="Calibri" w:eastAsia="Calibri" w:hAnsi="Calibri"/>
          <w:b/>
          <w:bCs/>
          <w:color w:val="B5502B"/>
          <w:sz w:val="19"/>
          <w:szCs w:val="19"/>
        </w:rPr>
        <w:t xml:space="preserve">[10]  </w:t>
      </w:r>
      <w:r>
        <w:rPr>
          <w:rFonts w:ascii="Calibri" w:cs="Calibri" w:eastAsia="Calibri" w:hAnsi="Calibri"/>
          <w:color w:val="262524"/>
          <w:sz w:val="19"/>
          <w:szCs w:val="19"/>
        </w:rPr>
        <w:t xml:space="preserve">Hijmans, R. J. (2024). terra: Spatial Data Analysis. R package.</w:t>
      </w:r>
    </w:p>
    <w:p>
      <w:pPr>
        <w:spacing w:after="130"/>
        <w:ind w:left="360" w:hanging="360"/>
        <w:jc w:val="both"/>
      </w:pPr>
      <w:r>
        <w:rPr>
          <w:rFonts w:ascii="Calibri" w:cs="Calibri" w:eastAsia="Calibri" w:hAnsi="Calibri"/>
          <w:b/>
          <w:bCs/>
          <w:color w:val="B5502B"/>
          <w:sz w:val="19"/>
          <w:szCs w:val="19"/>
        </w:rPr>
        <w:t xml:space="preserve">[11]  </w:t>
      </w:r>
      <w:r>
        <w:rPr>
          <w:rFonts w:ascii="Calibri" w:cs="Calibri" w:eastAsia="Calibri" w:hAnsi="Calibri"/>
          <w:color w:val="262524"/>
          <w:sz w:val="19"/>
          <w:szCs w:val="19"/>
        </w:rPr>
        <w:t xml:space="preserve">Bivand, R., &amp; Brenning, A. (2024). classInt: Choose Univariate Class Intervals. R package.</w:t>
      </w:r>
    </w:p>
    <w:p>
      <w:r>
        <w:br w:type="pag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B5502B"/>
          <w:spacing w:val="20"/>
          <w:sz w:val="16"/>
          <w:szCs w:val="16"/>
        </w:rPr>
        <w:t xml:space="preserve">ANEXOS</w:t>
      </w:r>
    </w:p>
    <w:p>
      <w:pPr>
        <w:pStyle w:val="Heading1"/>
        <w:pBdr>
          <w:bottom w:val="single" w:color="B5502B" w:sz="14" w:space="8"/>
        </w:pBdr>
        <w:spacing w:after="200" w:before="520"/>
      </w:pPr>
      <w:r>
        <w:rPr>
          <w:rFonts w:ascii="Cambria" w:cs="Cambria" w:eastAsia="Cambria" w:hAnsi="Cambria"/>
          <w:b/>
          <w:bCs/>
          <w:color w:val="B5502B"/>
          <w:sz w:val="30"/>
          <w:szCs w:val="30"/>
        </w:rPr>
        <w:t xml:space="preserve">A.  </w:t>
      </w:r>
      <w:r>
        <w:rPr>
          <w:rFonts w:ascii="Cambria" w:cs="Cambria" w:eastAsia="Cambria" w:hAnsi="Cambria"/>
          <w:b/>
          <w:bCs/>
          <w:color w:val="0E2740"/>
          <w:sz w:val="30"/>
          <w:szCs w:val="30"/>
        </w:rPr>
        <w:t xml:space="preserve">Código R — Parámetros Clave del Modelo</w:t>
      </w:r>
    </w:p>
    <w:tbl>
      <w:tblPr>
        <w:tblW w:type="pct" w:w="100%"/>
        <w:tblBorders>
          <w:top w:val="single" w:color="163A5F" w:sz="4"/>
          <w:left w:val="none" w:color="FFFFFF" w:sz="0"/>
          <w:bottom w:val="single" w:color="163A5F" w:sz="4"/>
          <w:right w:val="none" w:color="FFFFFF" w:sz="0"/>
          <w:insideH w:val="single" w:color="D8D2C4" w:sz="2"/>
          <w:insideV w:val="none" w:color="FFFFFF" w:sz="0"/>
        </w:tblBorders>
      </w:tblPr>
      <w:tblGrid>
        <w:gridCol w:w="3000"/>
        <w:gridCol w:w="2400"/>
        <w:gridCol w:w="3700"/>
      </w:tblGrid>
      <w:tr>
        <w:trPr>
          <w:tblHeader/>
        </w:trPr>
        <w:tc>
          <w:tcPr>
            <w:tcW w:type="dxa" w:w="3000"/>
            <w:shd w:fill="16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2400"/>
            <w:shd w:fill="16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700"/>
            <w:shd w:fill="16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Gradiente térmico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−0,0065 °C/m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Gradiente adiabático estándar</w:t>
            </w:r>
          </w:p>
        </w:tc>
      </w:tr>
      <w:tr>
        <w:tc>
          <w:tcPr>
            <w:tcW w:type="dxa" w:w="3000"/>
            <w:shd w:fill="F6F4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Rango de temperatura</w:t>
            </w:r>
          </w:p>
        </w:tc>
        <w:tc>
          <w:tcPr>
            <w:tcW w:type="dxa" w:w="2400"/>
            <w:shd w:fill="F6F4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[−2, 15] °C</w:t>
            </w:r>
          </w:p>
        </w:tc>
        <w:tc>
          <w:tcPr>
            <w:tcW w:type="dxa" w:w="3700"/>
            <w:shd w:fill="F6F4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Clamp agrícola para el altiplano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Coef. de precipitación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+0,05 mm/m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Gradiente orográfico lineal</w:t>
            </w:r>
          </w:p>
        </w:tc>
      </w:tr>
      <w:tr>
        <w:tc>
          <w:tcPr>
            <w:tcW w:type="dxa" w:w="3000"/>
            <w:shd w:fill="F6F4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Coef. cuadrático precip.</w:t>
            </w:r>
          </w:p>
        </w:tc>
        <w:tc>
          <w:tcPr>
            <w:tcW w:type="dxa" w:w="2400"/>
            <w:shd w:fill="F6F4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−5×10⁻⁶ mm/m²</w:t>
            </w:r>
          </w:p>
        </w:tc>
        <w:tc>
          <w:tcPr>
            <w:tcW w:type="dxa" w:w="3700"/>
            <w:shd w:fill="F6F4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Efecto de sombra de lluvia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Rango de precipitación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[200, 900] mm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Clamp para el altiplano</w:t>
            </w:r>
          </w:p>
        </w:tc>
      </w:tr>
      <w:tr>
        <w:tc>
          <w:tcPr>
            <w:tcW w:type="dxa" w:w="3000"/>
            <w:shd w:fill="F6F4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Peso SENAMHI (fusión)</w:t>
            </w:r>
          </w:p>
        </w:tc>
        <w:tc>
          <w:tcPr>
            <w:tcW w:type="dxa" w:w="2400"/>
            <w:shd w:fill="F6F4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60 %</w:t>
            </w:r>
          </w:p>
        </w:tc>
        <w:tc>
          <w:tcPr>
            <w:tcW w:type="dxa" w:w="3700"/>
            <w:shd w:fill="F6F4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Dato observado directo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Peso NASA POWER (fusión)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40 %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Reanálisis atmosférico</w:t>
            </w:r>
          </w:p>
        </w:tc>
      </w:tr>
      <w:tr>
        <w:tc>
          <w:tcPr>
            <w:tcW w:type="dxa" w:w="3000"/>
            <w:shd w:fill="F6F4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Umbral T óptima quinua</w:t>
            </w:r>
          </w:p>
        </w:tc>
        <w:tc>
          <w:tcPr>
            <w:tcW w:type="dxa" w:w="2400"/>
            <w:shd w:fill="F6F4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8–12 °C</w:t>
            </w:r>
          </w:p>
        </w:tc>
        <w:tc>
          <w:tcPr>
            <w:tcW w:type="dxa" w:w="3700"/>
            <w:shd w:fill="F6F4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FAO / INIA Puno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Umbral P óptima quinua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400–700 mm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FAO 2011</w:t>
            </w:r>
          </w:p>
        </w:tc>
      </w:tr>
      <w:tr>
        <w:tc>
          <w:tcPr>
            <w:tcW w:type="dxa" w:w="3000"/>
            <w:shd w:fill="F6F4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Clases Jenks</w:t>
            </w:r>
          </w:p>
        </w:tc>
        <w:tc>
          <w:tcPr>
            <w:tcW w:type="dxa" w:w="2400"/>
            <w:shd w:fill="F6F4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hasta 5</w:t>
            </w:r>
          </w:p>
        </w:tc>
        <w:tc>
          <w:tcPr>
            <w:tcW w:type="dxa" w:w="3700"/>
            <w:shd w:fill="F6F4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classIntervals(style="jenks")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Resolución DEM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30 m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NASADEM v001</w:t>
            </w:r>
          </w:p>
        </w:tc>
      </w:tr>
      <w:tr>
        <w:tc>
          <w:tcPr>
            <w:tcW w:type="dxa" w:w="3000"/>
            <w:shd w:fill="F6F4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Sistema de proyección</w:t>
            </w:r>
          </w:p>
        </w:tc>
        <w:tc>
          <w:tcPr>
            <w:tcW w:type="dxa" w:w="2400"/>
            <w:shd w:fill="F6F4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UTM 19S / WGS84</w:t>
            </w:r>
          </w:p>
        </w:tc>
        <w:tc>
          <w:tcPr>
            <w:tcW w:type="dxa" w:w="3700"/>
            <w:shd w:fill="F6F4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524"/>
                <w:sz w:val="19"/>
                <w:szCs w:val="19"/>
              </w:rPr>
              <w:t xml:space="preserve">EPSG:32719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5502B" w:sz="14" w:space="8"/>
        </w:pBdr>
        <w:spacing w:after="200" w:before="520"/>
      </w:pPr>
      <w:r>
        <w:rPr>
          <w:rFonts w:ascii="Cambria" w:cs="Cambria" w:eastAsia="Cambria" w:hAnsi="Cambria"/>
          <w:b/>
          <w:bCs/>
          <w:color w:val="B5502B"/>
          <w:sz w:val="30"/>
          <w:szCs w:val="30"/>
        </w:rPr>
        <w:t xml:space="preserve">B.  </w:t>
      </w:r>
      <w:r>
        <w:rPr>
          <w:rFonts w:ascii="Cambria" w:cs="Cambria" w:eastAsia="Cambria" w:hAnsi="Cambria"/>
          <w:b/>
          <w:bCs/>
          <w:color w:val="0E2740"/>
          <w:sz w:val="30"/>
          <w:szCs w:val="30"/>
        </w:rPr>
        <w:t xml:space="preserve">Anexos Cartográficos</w:t>
      </w:r>
    </w:p>
    <w:p>
      <w:pPr>
        <w:pStyle w:val="Heading2"/>
        <w:spacing w:after="140" w:before="340"/>
      </w:pPr>
      <w:r>
        <w:rPr>
          <w:rFonts w:ascii="Cambria" w:cs="Cambria" w:eastAsia="Cambria" w:hAnsi="Cambria"/>
          <w:b/>
          <w:bCs/>
          <w:color w:val="C89A2E"/>
          <w:sz w:val="24"/>
          <w:szCs w:val="24"/>
        </w:rPr>
        <w:t xml:space="preserve">B.1  </w:t>
      </w:r>
      <w:r>
        <w:rPr>
          <w:rFonts w:ascii="Cambria" w:cs="Cambria" w:eastAsia="Cambria" w:hAnsi="Cambria"/>
          <w:b/>
          <w:bCs/>
          <w:color w:val="163A5F"/>
          <w:sz w:val="24"/>
          <w:szCs w:val="24"/>
        </w:rPr>
        <w:t xml:space="preserve">Planificación espacial general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Conjunto de mapas base utilizados en la caracterización espacial de la región Puno: elevación, temperatura media, precipitación estimada y capacidad de uso mayor de suelos, integrados mediante modelado espacial en R.</w:t>
      </w:r>
    </w:p>
    <w:p>
      <w:pPr>
        <w:pBdr>
          <w:top w:val="single" w:color="D8D2C4" w:sz="4" w:space="6"/>
          <w:bottom w:val="single" w:color="D8D2C4" w:sz="4" w:space="6"/>
        </w:pBdr>
        <w:spacing w:after="60" w:before="160"/>
        <w:jc w:val="center"/>
      </w:pPr>
      <w:r>
        <w:drawing>
          <wp:inline distT="0" distB="0" distL="0" distR="0">
            <wp:extent cx="6191250" cy="4648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b/>
          <w:bCs/>
          <w:color w:val="B5502B"/>
          <w:sz w:val="18"/>
          <w:szCs w:val="18"/>
        </w:rPr>
        <w:t xml:space="preserve">Figura 9. </w:t>
      </w:r>
      <w:r>
        <w:rPr>
          <w:rFonts w:ascii="Calibri" w:cs="Calibri" w:eastAsia="Calibri" w:hAnsi="Calibri"/>
          <w:i/>
          <w:iCs/>
          <w:color w:val="6E6A62"/>
          <w:sz w:val="18"/>
          <w:szCs w:val="18"/>
        </w:rPr>
        <w:t xml:space="preserve">Planificación espacial general de la región Puno: (1) elevación NASADEM, (2) temperatura media estimada, (3) precipitación anual estimada y (4) capacidad de uso mayor de suelos (SAL250-ONERN).</w:t>
      </w:r>
    </w:p>
    <w:p>
      <w:r>
        <w:br w:type="page"/>
      </w:r>
    </w:p>
    <w:p>
      <w:pPr>
        <w:pStyle w:val="Heading2"/>
        <w:spacing w:after="140" w:before="340"/>
      </w:pPr>
      <w:r>
        <w:rPr>
          <w:rFonts w:ascii="Cambria" w:cs="Cambria" w:eastAsia="Cambria" w:hAnsi="Cambria"/>
          <w:b/>
          <w:bCs/>
          <w:color w:val="C89A2E"/>
          <w:sz w:val="24"/>
          <w:szCs w:val="24"/>
        </w:rPr>
        <w:t xml:space="preserve">B.2  </w:t>
      </w:r>
      <w:r>
        <w:rPr>
          <w:rFonts w:ascii="Cambria" w:cs="Cambria" w:eastAsia="Cambria" w:hAnsi="Cambria"/>
          <w:b/>
          <w:bCs/>
          <w:color w:val="163A5F"/>
          <w:sz w:val="24"/>
          <w:szCs w:val="24"/>
        </w:rPr>
        <w:t xml:space="preserve">Zonificación agroclimática para quinua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62524"/>
          <w:sz w:val="21"/>
          <w:szCs w:val="21"/>
        </w:rPr>
        <w:t xml:space="preserve">Resultados específicos del modelo de aptitud agroclimática para quinua: rendimiento distrital, zonificación térmica, zonificación hídrica y riesgo por heladas, obtenidos mediante clasificación Jenks Natural Breaks e integración espacial de ENA 2025, NASA POWER y SENAMHI.</w:t>
      </w:r>
    </w:p>
    <w:p>
      <w:pPr>
        <w:pBdr>
          <w:top w:val="single" w:color="D8D2C4" w:sz="4" w:space="6"/>
          <w:bottom w:val="single" w:color="D8D2C4" w:sz="4" w:space="6"/>
        </w:pBdr>
        <w:spacing w:after="60" w:before="160"/>
        <w:jc w:val="center"/>
      </w:pPr>
      <w:r>
        <w:drawing>
          <wp:inline distT="0" distB="0" distL="0" distR="0">
            <wp:extent cx="6191250" cy="4648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b/>
          <w:bCs/>
          <w:color w:val="B5502B"/>
          <w:sz w:val="18"/>
          <w:szCs w:val="18"/>
        </w:rPr>
        <w:t xml:space="preserve">Figura 10. </w:t>
      </w:r>
      <w:r>
        <w:rPr>
          <w:rFonts w:ascii="Calibri" w:cs="Calibri" w:eastAsia="Calibri" w:hAnsi="Calibri"/>
          <w:i/>
          <w:iCs/>
          <w:color w:val="6E6A62"/>
          <w:sz w:val="18"/>
          <w:szCs w:val="18"/>
        </w:rPr>
        <w:t xml:space="preserve">Zonificación agroclimática para quinua en la región Puno: (1) rendimiento distrital, (2) zonas térmicas, (3) zonas de precipitación y (4) riesgo por heladas.</w:t>
      </w:r>
    </w:p>
    <w:sectPr>
      <w:headerReference w:type="default" r:id="rId7"/>
      <w:footerReference w:type="default" r:id="rId8"/>
      <w:pgSz w:w="11906" w:h="16838" w:orient="portrait"/>
      <w:pgMar w:top="13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4" w:sz="4" w:space="6"/>
      </w:pBdr>
      <w:tabs>
        <w:tab w:val="center" w:pos="4853"/>
        <w:tab w:val="right" w:pos="9706"/>
      </w:tabs>
    </w:pPr>
    <w:r>
      <w:rPr>
        <w:rFonts w:ascii="Calibri" w:cs="Calibri" w:eastAsia="Calibri" w:hAnsi="Calibri"/>
        <w:color w:val="6E6A62"/>
        <w:sz w:val="15"/>
        <w:szCs w:val="15"/>
      </w:rPr>
      <w:t xml:space="preserve">ENA 2025 · NASA POWER · SENAMHI</w:t>
    </w:r>
    <w:r>
      <w:rPr>
        <w:rFonts w:ascii="Calibri" w:cs="Calibri" w:eastAsia="Calibri" w:hAnsi="Calibri"/>
        <w:sz w:val="15"/>
        <w:szCs w:val="15"/>
      </w:rPr>
      <w:t xml:space="preserve">		</w:t>
    </w:r>
    <w:r>
      <w:rPr>
        <w:rFonts w:ascii="Calibri" w:cs="Calibri" w:eastAsia="Calibri" w:hAnsi="Calibri"/>
        <w:color w:val="6E6A62"/>
        <w:sz w:val="15"/>
        <w:szCs w:val="15"/>
      </w:rPr>
      <w:t xml:space="preserve">Página </w:t>
    </w:r>
    <w:r>
      <w:rPr>
        <w:rFonts w:ascii="Calibri" w:cs="Calibri" w:eastAsia="Calibri" w:hAnsi="Calibri"/>
        <w:color w:val="6E6A62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2C4" w:sz="4" w:space="6"/>
      </w:pBdr>
      <w:tabs>
        <w:tab w:val="right" w:pos="9706"/>
      </w:tabs>
    </w:pPr>
    <w:r>
      <w:rPr>
        <w:rFonts w:ascii="Calibri" w:cs="Calibri" w:eastAsia="Calibri" w:hAnsi="Calibri"/>
        <w:color w:val="6E6A62"/>
        <w:spacing w:val="10"/>
        <w:sz w:val="15"/>
        <w:szCs w:val="15"/>
      </w:rPr>
      <w:t xml:space="preserve">APTITUD AGROCLIMÁTICA — REGIÓN PUNO</w:t>
    </w:r>
    <w:r>
      <w:rPr>
        <w:rFonts w:ascii="Calibri" w:cs="Calibri" w:eastAsia="Calibri" w:hAnsi="Calibri"/>
        <w:color w:val="6E6A62"/>
        <w:spacing w:val="10"/>
        <w:sz w:val="15"/>
        <w:szCs w:val="15"/>
      </w:rPr>
      <w:t xml:space="preserve">	CHENOPODIUM QUINOA · UNA-PUNO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5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0E2740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163A5F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Cambria" w:cs="Cambria" w:eastAsia="Cambria" w:hAnsi="Cambria"/>
      <w:b/>
      <w:bCs/>
      <w:i/>
      <w:iCs/>
      <w:color w:val="163A5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rfl56h1tq3irerny_kgqq" Type="http://schemas.openxmlformats.org/officeDocument/2006/relationships/hyperlink" Target="https://github.com/Jhonynanicollab/trabajo-con-la-metodologia-de-jenks" TargetMode="External"/><Relationship Id="rId9" Type="http://schemas.openxmlformats.org/officeDocument/2006/relationships/image" Target="media/707641767071e8d26ffce867869c83307e6cdb02.png"/><Relationship Id="rId10" Type="http://schemas.openxmlformats.org/officeDocument/2006/relationships/image" Target="media/f4ff020ac498d4b8dd523ca8aebe7101ff5b2acf.png"/><Relationship Id="rId11" Type="http://schemas.openxmlformats.org/officeDocument/2006/relationships/image" Target="media/b2eba5a6c7188c7a210fdf8f825f5d6a00a08e25.png"/><Relationship Id="rId12" Type="http://schemas.openxmlformats.org/officeDocument/2006/relationships/image" Target="media/8482e801b418ac2179aaec1b8293908b68f807a6.png"/><Relationship Id="rId13" Type="http://schemas.openxmlformats.org/officeDocument/2006/relationships/image" Target="media/b81b5fd558a5a3d4aa2307e0aefa250c3a42cc1d.png"/><Relationship Id="rId14" Type="http://schemas.openxmlformats.org/officeDocument/2006/relationships/image" Target="media/f696925a8355178011eda8521b74429ab0ff3a06.png"/><Relationship Id="rId15" Type="http://schemas.openxmlformats.org/officeDocument/2006/relationships/image" Target="media/94c90704fe674d1a2dfd34f5058c9442a75236df.png"/><Relationship Id="rId16" Type="http://schemas.openxmlformats.org/officeDocument/2006/relationships/image" Target="media/f48a0204075e5ead596a3af56980a670a6539f6b.png"/><Relationship Id="rId17" Type="http://schemas.openxmlformats.org/officeDocument/2006/relationships/image" Target="media/59df5ea8e51dee83e9a7086a2c3e36ae9204d922.png"/><Relationship Id="rId18" Type="http://schemas.openxmlformats.org/officeDocument/2006/relationships/image" Target="media/c3a0d906c8cce3139ddfc3a8cd4ccac38faa76b1.png"/><Relationship Id="rId19" Type="http://schemas.openxmlformats.org/officeDocument/2006/relationships/image" Target="media/617099a0df78d7d071780409ffbad677d4e1f184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Planificación Espacial y Zonificación Agroclimática para el Cultivo de Quinua</dc:title>
  <dc:creator>Gonzales Quispe, Jhon Cristhian</dc:creator>
  <cp:lastModifiedBy>Un-named</cp:lastModifiedBy>
  <cp:revision>1</cp:revision>
  <dcterms:created xsi:type="dcterms:W3CDTF">2026-08-04T21:17:57.015Z</dcterms:created>
  <dcterms:modified xsi:type="dcterms:W3CDTF">2026-08-04T21:17:57.015Z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