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e as limitações e validações pendentes até a confirmação em hardware físico.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 placa de circuito eletrônico (neste projeto, a placa ESP32 DevKit).</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±250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Cobre com folga a velocidade do motor (20-30 °/s) e a vibração típica do mastro (~1 °/s)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131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 xml:space="preserve">A placa utilizada é um ESP32 DevKit clássico (módulo WROOM-32), com um chip conversor USB-serial CH9102X (fabricante WCH)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 RTU; UART0 interna via CH9102X</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 xml:space="preserve">ω_pan = g_z · cos(θ) − g_y · sen(θ),   com   θ = atan2(a_y, a_z)</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 xml:space="preserve">A cada janela de tempo fixa (1000 ms), calcula-se a média de ω_pan ao longo da janela. Se essa média estiver suficientemente próxima do viés (bias) corrente estimado — dentro de um limiar de 1,0 °/s —, a janela é classificada como "parada" e o viés é atualizado por uma média móvel exponencial em direção ao valor observado, com um fator de suavização de 0,1.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 xml:space="preserve">deslocamento_mínimo ≈ limiar × janela = 1,0 °/s × 1,0 s = 1°</w:t>
      </w:r>
    </w:p>
    <w:p>
      <w:pPr>
        <w:spacing w:after="200" w:before="0" w:line="360" w:lineRule="auto"/>
        <w:ind w:firstLine="709"/>
        <w:jc w:val="both"/>
      </w:pPr>
      <w:r>
        <w:rPr>
          <w:rFonts w:ascii="Times New Roman" w:cs="Times New Roman" w:eastAsia="Times New Roman" w:hAnsi="Times New Roman"/>
          <w:sz w:val="24"/>
          <w:szCs w:val="24"/>
        </w:rPr>
        <w:t xml:space="preserve">é descartado como ruído — um compromisso ajustável pelos parâmetros de janela e limiar, listados na Tabela 4.</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Comparado à média da janela (não ao pico)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(pendente de calibração)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Compensa a tolerância de fábrica do giroscópio (±3%)</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 xml:space="preserve">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fixada em 1,0)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leitura contínua de inclinação (não à captura de vibração, que usa a amostra instantânea, sem filtro, por definição). A cada amostra a 100 Hz, o valor filtrado é atualizado por:</w:t>
      </w:r>
    </w:p>
    <w:p>
      <w:pPr>
        <w:spacing w:after="240" w:before="120" w:line="260" w:lineRule="auto"/>
        <w:ind w:left="400"/>
      </w:pPr>
      <w:r>
        <w:rPr>
          <w:rFonts w:ascii="Courier New" w:cs="Courier New" w:eastAsia="Courier New" w:hAnsi="Courier New"/>
          <w:sz w:val="20"/>
          <w:szCs w:val="20"/>
        </w:rPr>
        <w:t xml:space="preserve">filtrado_i = filtrado_(i-1) + α · (bruto_i − filtrado_(i-1)),   com   α = Δt / (Δt + τ)</w:t>
      </w:r>
    </w:p>
    <w:p>
      <w:pPr>
        <w:spacing w:after="200" w:before="0" w:line="360" w:lineRule="auto"/>
        <w:ind w:firstLine="709"/>
        <w:jc w:val="both"/>
      </w:pPr>
      <w:r>
        <w:rPr>
          <w:rFonts w:ascii="Times New Roman" w:cs="Times New Roman" w:eastAsia="Times New Roman" w:hAnsi="Times New Roman"/>
          <w:sz w:val="24"/>
          <w:szCs w:val="24"/>
        </w:rPr>
        <w:t xml:space="preserve">em que τ é a constante de tempo do filtro (0,5 s) e Δt é o intervalo de amostragem (10 ms). Com esses valores, o ruído branco de alta frequência é atenuado em aproximadamente dez vezes, com um tempo de acomodação de aproximadamente 0,5 s para acompanhar uma variação real de ângulo — um compromisso entre estabilidade da leitura exibida e responsividade a eventos reais.</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"1.3.1" como 10301), é exposta em ambos os transportes especificamente para permitir essa detecção e para diagnóstico em campo pelo botão de teste de conexão.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atualizam o rastreamento de mínimo e máximo por eixo, e persistem cada leitura no histórico local. O botão Calibrar zera os dois eixos simultaneamente na posição atual, tanto no modo real (enviando um único comando ao ESP32) quanto no modo simulação (aplicando um deslocamento equivalente aos dados sintéticos).</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da captura; o firmware amostra os dois eixos nessa taxa, sem os filtros de estabilização usados na leitura contínua, armazenando as amostras em um buffer dedicado (até 6000 amostras por eixo, aproximadamente 24 kB de memória RAM estática para os dois buffers).</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 xml:space="preserve">Até a elaboração deste relatório, o hardware físico completo (ESP32 + MPU6050 montado no pan-tilt) não havia sido submetido a testes de validação final; os resultados apresentados a seguir referem-se a validações realizadas por simulação numérica e por testes unitários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60,02° (sem compensação de tilt, o resultado seria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w:t>
      </w:r>
    </w:p>
    <w:p>
      <w:pPr>
        <w:spacing w:after="200" w:before="0" w:line="360" w:lineRule="auto"/>
        <w:ind w:firstLine="709"/>
        <w:jc w:val="both"/>
      </w:pPr>
      <w:r>
        <w:rPr>
          <w:rFonts w:ascii="Times New Roman" w:cs="Times New Roman" w:eastAsia="Times New Roman" w:hAnsi="Times New Roman"/>
          <w:sz w:val="24"/>
          <w:szCs w:val="24"/>
        </w:rPr>
        <w:t xml:space="preserve">O piso de detecção observado nos testes correspondeu ao previsto pelo produto limiar × janela (seção 4.2.1): movimentos de até aproximadamente 1° foram descartados como ruído, e movimentos a partir de aproximadamente 2° foram preservados integralmente. Ressalta-se que esses resultados validam a correção matemática do algoritmo, e não seu comportamento contra o sensor físico real — validação que permanece pendente (seção 7.3).</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em hardware físico:</w:t>
      </w:r>
    </w:p>
    <w:p>
      <w:pPr>
        <w:spacing w:after="140" w:line="360" w:lineRule="auto"/>
        <w:ind w:left="700" w:hanging="300"/>
      </w:pPr>
      <w:r>
        <w:rPr>
          <w:rFonts w:ascii="Times New Roman" w:cs="Times New Roman" w:eastAsia="Times New Roman" w:hAnsi="Times New Roman"/>
          <w:sz w:val="24"/>
          <w:szCs w:val="24"/>
        </w:rPr>
        <w:t xml:space="preserve">• Compilação e gravação do firmware em hardware real: o ambiente de desenvolvimento utilizado não permitiu o download do toolchain espressif32 pela ferramenta PlatformIO; o código foi revisado manualmente, mas ainda não foi compilado nem executado em um ESP32 físico.</w:t>
      </w:r>
    </w:p>
    <w:p>
      <w:pPr>
        <w:spacing w:after="140" w:line="360" w:lineRule="auto"/>
        <w:ind w:left="700" w:hanging="300"/>
      </w:pPr>
      <w:r>
        <w:rPr>
          <w:rFonts w:ascii="Times New Roman" w:cs="Times New Roman" w:eastAsia="Times New Roman" w:hAnsi="Times New Roman"/>
          <w:sz w:val="24"/>
          <w:szCs w:val="24"/>
        </w:rPr>
        <w:t xml:space="preserve">• Orientação de montagem do sensor: a fórmula de inclinação (atan2 sobre os eixos Y e Z) e a de compensação de tilt do azimute assumem uma orientação específica de montagem do MPU6050 (eixo X alinhado ao eixo mecânico de giro),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xml:space="preserve">• Sinal do termo de compensação de tilt (−g_y·sen θ): depende da lateralidade (handedness) real da montagem física; próximo de θ = 0° esse termo se anula, de modo que um sinal invertido não se manifestaria nos testes realizados com a inclinação zerada — é necessário testar o azimute com a inclinação em ±45°/±60° para confirmar o sinal.</w:t>
      </w:r>
    </w:p>
    <w:p>
      <w:pPr>
        <w:spacing w:after="140" w:line="360" w:lineRule="auto"/>
        <w:ind w:left="700" w:hanging="300"/>
      </w:pPr>
      <w:r>
        <w:rPr>
          <w:rFonts w:ascii="Times New Roman" w:cs="Times New Roman" w:eastAsia="Times New Roman" w:hAnsi="Times New Roman"/>
          <w:sz w:val="24"/>
          <w:szCs w:val="24"/>
        </w:rPr>
        <w:t xml:space="preserve">• Fator de escala do giroscópio (PAN_SCALE_CORRECTION): permanece fixado em 1,0, pendente de uma calibração de bancada entre duas posições de separação angular conhecida; até então, subsiste 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 xml:space="preserve">Os próximos passos naturais do projeto são as validações em bancada e em campo listadas na seção 7.3 — em particular, a confirmação da orientação de montagem do sensor, a calibração do fator de escala do giroscópio e a compilação/gravação do firmware em hardware real —, sem as quais o sistema deve ser considerado funcionalmente projetado, mas ainda não fisicamente validado.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2026-09-16T09:25:59.439Z</dcterms:created>
  <dcterms:modified xsi:type="dcterms:W3CDTF">2026-09-16T09:25:59.448Z</dcterms:modified>
</cp:coreProperties>
</file>

<file path=docProps/custom.xml><?xml version="1.0" encoding="utf-8"?>
<Properties xmlns="http://schemas.openxmlformats.org/officeDocument/2006/custom-properties" xmlns:vt="http://schemas.openxmlformats.org/officeDocument/2006/docPropsVTypes"/>
</file>