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SP390A-R2, que aparece como "USB Serial Port (COMx)" — na Figura 2, COM10.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2: Gerenciador de Dispositivos — conversor SP390A-R2 como USB Serial Port (COM10)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5448300" cy="4000500"/>
            <wp:effectExtent t="0" r="0" b="0" l="0"/>
            <wp:docPr id="1" name="fig2" descr="Gerenciador de Dispositivos — conversor SP390A-R2 como USB Serial Port (COM10)" title="Gerenciador de Dispositivos — conversor SP390A-R2 como USB Serial Port (COM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 (Figura 3) e abrir Tools → Project Settings… (Figura 4). Na aba Communication (Figura 5): Communication Mode = Send/Receive; Send/Receive on Comm. Channel = a COM anotada no passo 1; Baud Rate = 9600; Parity = None; Data Bits = 8; Stop Bits = 1; manter Parity Error Char. no valor padrão. Na aba Flow Control (Figura 6): Flow Control Support = Off. Confirmar com OK; a barra de status passa a mostrar a porta e 9600, None, 8,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3: Docklight — janela principal com projeto em branco (porta ainda fechada; na barra de status, a porta e os parâmetros seriais em uso)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219450"/>
            <wp:effectExtent t="0" r="0" b="0" l="0"/>
            <wp:docPr id="1" name="fig3" descr="Docklight — janela principal com projeto em branco (porta ainda fechada; na barra de status, a porta e os parâmetros seriais em uso)" title="Docklight — janela principal com projeto em branco (porta ainda fechada; na barra de status, a porta e os parâmetros seriais em us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4: Docklight — menu Tools: Project Settings… e Start Communication Logging… (F2)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3695700"/>
            <wp:effectExtent t="0" r="0" b="0" l="0"/>
            <wp:docPr id="1" name="fig4" descr="Docklight — menu Tools: Project Settings… e Start Communication Logging… (F2)" title="Docklight — menu Tools: Project Settings… e Start Communication Logging… (F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5: Docklight — Project Settings, aba Communication: Send/Receive, COM10, 9600, None, 8, 1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5" descr="Docklight — Project Settings, aba Communication: Send/Receive, COM10, 9600, None, 8, 1" title="Docklight — Project Settings, aba Communication: Send/Receive, COM10, 9600, None, 8,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6: Docklight — Project Settings, aba Flow Control: Off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3771900" cy="4000500"/>
            <wp:effectExtent t="0" r="0" b="0" l="0"/>
            <wp:docPr id="1" name="fig6" descr="Docklight — Project Settings, aba Flow Control: Off" title="Docklight — Project Settings, aba Flow Control: O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(ou usar Edit → Edit Send Sequence List…, Figura 7) e cadastrar cada comando da Tabela 3: digitar o nome, selecionar Edit Mode = HEX e digitar os bytes (o 0D final é o Enter/CR, obrigatório).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7: Docklight — menu Edit: Edit Send Sequence List…</w:t>
      </w:r>
    </w:p>
    <w:p>
      <w:pPr>
        <w:keepNext/>
        <w:spacing w:line="240" w:lineRule="auto"/>
        <w:jc w:val="center"/>
      </w:pPr>
      <w:r>
        <w:drawing>
          <wp:inline distT="0" distB="0" distL="0" distR="0">
            <wp:extent cx="6000750" cy="1819275"/>
            <wp:effectExtent t="0" r="0" b="0" l="0"/>
            <wp:docPr id="1" name="fig7" descr="Docklight — menu Edit: Edit Send Sequence List…" title="Docklight — menu Edit: Edit Send Sequence List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8: Docklight — Edit Send Sequence em modo HEX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Edit Send Sequence com Name = Versao, Edit Mode = HEX e os bytes digitados (ex.: 56 0D).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9: Docklight — painel Send Sequences com os comandos cadastrados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Painel Send Sequences com as 11 sequências da Tabela 3.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 (tecla F2, Figura 4), criar um arquivo de registro identificando a unidade (ex.: TESTE_PTU-D300E_&lt;nº de série&gt;_&lt;data&gt;).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10: Docklight — início do registro (log) da comunicação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10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Diálogo Start Communication Logging com a pasta e o nome do arquivo.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na seta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11: Docklight — comunicação iniciada e resposta ao comando V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cantSplit/>
          <w:trHeight w:val="2600" w:hRule="atLeast"/>
        </w:trPr>
        <w:tc>
          <w:tcPr>
            <w:tcW w:type="dxa" w:w="700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INSERIR CAPTURA DE TELA — FIGURA 11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7"/>
                <w:szCs w:val="17"/>
              </w:rPr>
              <w:t xml:space="preserve">Janela principal com a comunicação aberta (botão Start Communication) e a aba ASCII mostrando o envio de V e a resposta "*" do PTU.</w:t>
            </w:r>
          </w:p>
        </w:tc>
      </w:tr>
    </w:tbl>
    <w:p>
      <w:pPr>
        <w:keepNext w:val="false"/>
        <w:spacing w:after="8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900"/>
        <w:gridCol w:w="33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BYTES (HEX)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50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54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Le_TP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31 30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35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Le_RPS, 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 e Le_TP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Le_PP,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Le_PP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Le_TP,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Le_TP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 (F3),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02c80ef2ad08b949ab4bbf74fa900a2c30d28c.png"/><Relationship Id="rId10" Type="http://schemas.openxmlformats.org/officeDocument/2006/relationships/image" Target="media/fe2d5a698da3513a3f1415f126040be6db09be42.png"/><Relationship Id="rId11" Type="http://schemas.openxmlformats.org/officeDocument/2006/relationships/image" Target="media/ed1750c58967aff8fa54648ba1561f7bfe7abac9.png"/><Relationship Id="rId12" Type="http://schemas.openxmlformats.org/officeDocument/2006/relationships/image" Target="media/a66ca2923ad1688cc737056e2efdcdfcadcd11f2.png"/><Relationship Id="rId13" Type="http://schemas.openxmlformats.org/officeDocument/2006/relationships/image" Target="media/ed39f71350e999f8424d83beddb800d47f11282b.png"/><Relationship Id="rId14" Type="http://schemas.openxmlformats.org/officeDocument/2006/relationships/image" Target="media/9dffab6888ec280dd248b3ee936e7e5fadbcebb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2026-10-29T12:34:45.330Z</dcterms:created>
  <dcterms:modified xsi:type="dcterms:W3CDTF">2026-10-29T12:34:45.337Z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