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SP390A-R2, que aparece como "USB Serial Port (COMx)" — na Figura 2, COM10.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2: Gerenciador de Dispositivos — conversor SP390A-R2 como USB Serial Port (COM10)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5448300" cy="4000500"/>
            <wp:effectExtent t="0" r="0" b="0" l="0"/>
            <wp:docPr id="1" name="fig2" descr="Gerenciador de Dispositivos — conversor SP390A-R2 como USB Serial Port (COM10)" title="Gerenciador de Dispositivos — conversor SP390A-R2 como USB Serial Port (COM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 (Figura 3) e abrir Tools → Project Settings… (Figura 4). Na aba Communication (Figura 5): Communication Mode = Send/Receive; Send/Receive on Comm. Channel = a COM anotada no passo 1; Baud Rate = 9600; Parity = None; Data Bits = 8; Stop Bits = 1; manter Parity Error Char. no valor padrão. Na aba Flow Control (Figura 6): Flow Control Support = Off. Confirmar com OK; a barra de status passa a mostrar a porta e 9600, None, 8,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3: Docklight — janela principal com projeto em branco (porta ainda fechada; na barra de status, a porta e os parâmetros seriais em uso)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219450"/>
            <wp:effectExtent t="0" r="0" b="0" l="0"/>
            <wp:docPr id="1" name="fig3" descr="Docklight — janela principal com projeto em branco (porta ainda fechada; na barra de status, a porta e os parâmetros seriais em uso)" title="Docklight — janela principal com projeto em branco (porta ainda fechada; na barra de status, a porta e os parâmetros seriais em us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4: Docklight — menu Tools: Project Settings… e Start Communication Logging… (F2)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695700"/>
            <wp:effectExtent t="0" r="0" b="0" l="0"/>
            <wp:docPr id="1" name="fig4" descr="Docklight — menu Tools: Project Settings… e Start Communication Logging… (F2)" title="Docklight — menu Tools: Project Settings… e Start Communication Logging… (F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5: Docklight — Project Settings, aba Communication: Send/Receive, COM10, 9600, None, 8, 1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5" descr="Docklight — Project Settings, aba Communication: Send/Receive, COM10, 9600, None, 8, 1" title="Docklight — Project Settings, aba Communication: Send/Receive, COM10, 9600, None, 8,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6: Docklight — Project Settings, aba Flow Control: Off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6" descr="Docklight — Project Settings, aba Flow Control: Off" title="Docklight — Project Settings, aba Flow Control: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e cadastrar cada comando da Tabela 3: digitar o nome, selecionar Edit Mode = HEX e digitar os bytes (o 0D final é o Enter/CR, obrigatório).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7: Docklight — Edit Send Sequence em modo HEX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Edit Send Sequence com Name = Versao, Edit Mode = HEX e os bytes digitados (ex.: 56 0D).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8: Docklight — painel Send Sequences com os comandos cadastrados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Painel Send Sequences com as 11 sequências da Tabela 3.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 (tecla F2, Figura 4), criar um arquivo de registro identificando a unidade (ex.: TESTE_PTU-D300E_&lt;nº de série&gt;_&lt;data&gt;).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9: Docklight — início do registro (log) da comunicação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Start Communication Logging com a pasta e o nome do arquivo.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na seta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10: Docklight — comunicação iniciada e resposta ao comando V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10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Janela principal com a comunicação aberta (botão Start Communication) e a aba ASCII mostrando o envio de V e a resposta "*" do PTU.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900"/>
        <w:gridCol w:w="33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BYTES (HEX)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50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54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Le_TP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31 30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35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Le_RPS, 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 e Le_TP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Le_PP,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Le_PP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Le_TP,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Le_TP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 (F3),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02c80ef2ad08b949ab4bbf74fa900a2c30d28c.png"/><Relationship Id="rId10" Type="http://schemas.openxmlformats.org/officeDocument/2006/relationships/image" Target="media/fe2d5a698da3513a3f1415f126040be6db09be42.png"/><Relationship Id="rId11" Type="http://schemas.openxmlformats.org/officeDocument/2006/relationships/image" Target="media/ed1750c58967aff8fa54648ba1561f7bfe7abac9.png"/><Relationship Id="rId12" Type="http://schemas.openxmlformats.org/officeDocument/2006/relationships/image" Target="media/a66ca2923ad1688cc737056e2efdcdfcadcd11f2.png"/><Relationship Id="rId13" Type="http://schemas.openxmlformats.org/officeDocument/2006/relationships/image" Target="media/ed39f71350e999f8424d83beddb800d47f1128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2026-10-29T12:16:30.781Z</dcterms:created>
  <dcterms:modified xsi:type="dcterms:W3CDTF">2026-10-29T12:16:30.783Z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