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spacing w:after="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keepNext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1. OBJETIVO</w:t>
      </w:r>
    </w:p>
    <w:p>
      <w:pPr>
        <w:keepNext w:val="false"/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Este procedimento estabelece a sequência de atividades para o teste funcional do posicionador pan-tilt FLIR PTU-D300E após a configuração das velocidades de reset em 500 posições por segundo (comandos RPS e RTS, gravados com DS). O teste verifica, pela interface RS-485 com o software Docklight num notebook com Windows: a comunicação com a unidade, os valores programados, a sua permanência após desligar e religar, a execução do ciclo de reset e a movimentação dos dois eixos.</w:t>
      </w:r>
    </w:p>
    <w:p>
      <w:pPr>
        <w:keepNext w:val="false"/>
        <w:spacing w:after="120" w:before="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ATENÇÃO: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ao ser energizado e ao receber o comando R, o PTU move os dois eixos até os limites de curso sem aviso. Durante todo o teste, manter o curso livre de pessoas e obstáculos.</w:t>
      </w:r>
    </w:p>
    <w:p>
      <w:pPr>
        <w:keepNext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2. EQUIPAMENTOS UTILIZADOS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Tabela 1: Equipamentos utilizados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038"/>
        <w:gridCol w:w="1100"/>
        <w:gridCol w:w="1800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ITEM</w:t>
            </w:r>
          </w:p>
        </w:tc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QUANT.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CÓDIGO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Fonte de alimentação CC Keysight, modelo N5766A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Notebook com Windows e o software Docklight instalado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Conversor USB/RS-485 Black Box, modelo SP390A-R2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</w:tbl>
    <w:p>
      <w:pPr>
        <w:keepNext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3. MONTAGEM DO DISPOSITIVO E CABLAGEM DE TESTE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Fixação.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Fixar a base do PTU-D300E numa bancada ou suporte firme, nivelado e capaz de suportar o peso da unidade e da carga, com os furos de fixação da base. Se houver carga (payload) montada, conferir a sua fixação; se não houver, conferir que nada está preso aos eixos.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Curso livre.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Girar visualmente o curso completo do pan e do tilt e retirar qualquer obstáculo, cabo solto ou objeto no raio de movimento.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Comunicação.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Com o PTU desligado, ligar o cabo RS-485 entre o conversor Black Box SP390A-R2 e a porta host do PTU conforme a Tabela 2, preenchida com a pinagem dos manuais do PTU e do conversor. Ligar o conversor numa porta USB do notebook; se o Windows não o reconhecer, instalar o driver do fabricante.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Alimentação.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Ligar a fonte Keysight N5766A com a saída desabilitada (OUTPUT OFF) e ajustar a tensão de saída e o limite de corrente conforme o manual do PTU-D300E. Desligar a fonte, ligar os cabos de alimentação aos terminais de saída da fonte e ao PTU, conferindo a polaridade (+ e −). Não energizar ainda.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1: Diagrama em blocos da montagem de teste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000"/>
        <w:gridCol w:w="1900"/>
        <w:gridCol w:w="1200"/>
        <w:gridCol w:w="1500"/>
        <w:gridCol w:w="400"/>
        <w:gridCol w:w="1838"/>
      </w:tblGrid>
      <w:tr>
        <w:trPr>
          <w:cantSplit/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Notebook Windows (Docklight)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USB →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Conversor Black Box SP390A-R2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A, B, GND →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Cabo de par trançado</w:t>
            </w:r>
          </w:p>
        </w:tc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PTU-D300E (porta host) + fonte Keysight N5766A</w:t>
            </w:r>
          </w:p>
        </w:tc>
      </w:tr>
    </w:tbl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Tabela 2: Cablagem RS-485 (preencher com a pinagem do manual)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cantSplit/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SINAL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CONVERSOR SP390A-R2 (TERMINAL)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PTU-D300E (CONECTOR HOST — PINO)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Dados + (B / D+)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Dados − (A / D−)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Terra de referência (GND)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</w:tbl>
    <w:p>
      <w:pPr>
        <w:keepNext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4. PROCEDIMENTO DE TESTE</w:t>
      </w:r>
    </w:p>
    <w:p>
      <w:pPr>
        <w:keepNext/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4.1. SETUP DE TESTE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No Gerenciador de Dispositivos do Windows (tecla Windows + X), em "Portas (COM e LPT)", anotar a porta COM do conversor (ex.: COM5).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2: Porta COM do conversor SP390A-R2 no Gerenciador de Dispositivos</w:t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</w:tblGrid>
      <w:tr>
        <w:trPr>
          <w:cantSplit/>
          <w:trHeight w:val="2600" w:hRule="atLeast"/>
        </w:trPr>
        <w:tc>
          <w:tcPr>
            <w:tcW w:type="dxa" w:w="700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INSERIR CAPTURA DE TELA — FIGURA 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7"/>
                <w:szCs w:val="17"/>
              </w:rPr>
              <w:t xml:space="preserve">Gerenciador de Dispositivos com "Portas (COM e LPT)" expandido, mostrando o SP390A-R2 e o número da COM.</w:t>
            </w:r>
          </w:p>
        </w:tc>
      </w:tr>
    </w:tbl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Ligar a fonte Keysight N5766A, conferir no display a tensão ajustada e habilitar a saída (OUTPUT ON) para energizar o PTU. Aguardar os eixos pararem (fim do ciclo de reset da energização).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Abrir o Docklight com um projeto em branco. Em Tools → Project Settings…: Communication Mode = Send/Receive; porta = a COM anotada; 9600 bps; Parity = None; Data Bits = 8; Stop Bits = 1; Flow Control = Off. Confirmar com OK.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3: Docklight — janela principal com projeto em branco (porta ainda fechada; na barra de status, a porta e os parâmetros seriais em uso)</w:t>
      </w:r>
    </w:p>
    <w:p>
      <w:pPr>
        <w:keepNext/>
        <w:spacing w:line="240" w:lineRule="auto"/>
        <w:jc w:val="center"/>
      </w:pPr>
      <w:r>
        <w:drawing>
          <wp:inline distT="0" distB="0" distL="0" distR="0">
            <wp:extent cx="6000750" cy="3219450"/>
            <wp:effectExtent t="0" r="0" b="0" l="0"/>
            <wp:docPr id="1" name="fig3" descr="Docklight — janela principal com projeto em branco (porta ainda fechada; na barra de status, a porta e os parâmetros seriais em uso)" title="Docklight — janela principal com projeto em branco (porta ainda fechada; na barra de status, a porta e os parâmetros seriais em uso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4: Docklight — Project Settings, aba Communication</w:t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</w:tblGrid>
      <w:tr>
        <w:trPr>
          <w:cantSplit/>
          <w:trHeight w:val="2600" w:hRule="atLeast"/>
        </w:trPr>
        <w:tc>
          <w:tcPr>
            <w:tcW w:type="dxa" w:w="700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INSERIR CAPTURA DE TELA — FIGURA 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7"/>
                <w:szCs w:val="17"/>
              </w:rPr>
              <w:t xml:space="preserve">Aba Communication preenchida: Send/Receive, COM do conversor, 9600, None, 8, 1.</w:t>
            </w:r>
          </w:p>
        </w:tc>
      </w:tr>
    </w:tbl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5: Docklight — Project Settings, aba Flow Control</w:t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</w:tblGrid>
      <w:tr>
        <w:trPr>
          <w:cantSplit/>
          <w:trHeight w:val="2600" w:hRule="atLeast"/>
        </w:trPr>
        <w:tc>
          <w:tcPr>
            <w:tcW w:type="dxa" w:w="700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INSERIR CAPTURA DE TELA — FIGURA 5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7"/>
                <w:szCs w:val="17"/>
              </w:rPr>
              <w:t xml:space="preserve">Aba Flow Control com Flow Control Support = Off.</w:t>
            </w:r>
          </w:p>
        </w:tc>
      </w:tr>
    </w:tbl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No painel Send Sequences, dar duplo clique numa linha vazia e cadastrar cada comando da Tabela 3: digitar o nome, selecionar Edit Mode = HEX e digitar os bytes (o 0D final é o Enter/CR, obrigatório).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6: Docklight — Edit Send Sequence em modo HEX</w:t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</w:tblGrid>
      <w:tr>
        <w:trPr>
          <w:cantSplit/>
          <w:trHeight w:val="2600" w:hRule="atLeast"/>
        </w:trPr>
        <w:tc>
          <w:tcPr>
            <w:tcW w:type="dxa" w:w="700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INSERIR CAPTURA DE TELA — FIGURA 6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7"/>
                <w:szCs w:val="17"/>
              </w:rPr>
              <w:t xml:space="preserve">Diálogo Edit Send Sequence com Name = Versao, Edit Mode = HEX e os bytes digitados (ex.: 56 0D).</w:t>
            </w:r>
          </w:p>
        </w:tc>
      </w:tr>
    </w:tbl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7: Docklight — painel Send Sequences com os comandos cadastrados</w:t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</w:tblGrid>
      <w:tr>
        <w:trPr>
          <w:cantSplit/>
          <w:trHeight w:val="2600" w:hRule="atLeast"/>
        </w:trPr>
        <w:tc>
          <w:tcPr>
            <w:tcW w:type="dxa" w:w="700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INSERIR CAPTURA DE TELA — FIGURA 7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7"/>
                <w:szCs w:val="17"/>
              </w:rPr>
              <w:t xml:space="preserve">Painel Send Sequences com as 11 sequências da Tabela 3.</w:t>
            </w:r>
          </w:p>
        </w:tc>
      </w:tr>
    </w:tbl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Em Tools → Start Communication Logging…, criar um arquivo de registro identificando a unidade (ex.: TESTE_PTU-D300E_&lt;nº de série&gt;_&lt;data&gt;).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8: Docklight — início do registro (log) da comunicação</w:t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</w:tblGrid>
      <w:tr>
        <w:trPr>
          <w:cantSplit/>
          <w:trHeight w:val="2600" w:hRule="atLeast"/>
        </w:trPr>
        <w:tc>
          <w:tcPr>
            <w:tcW w:type="dxa" w:w="700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INSERIR CAPTURA DE TELA — FIGURA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7"/>
                <w:szCs w:val="17"/>
              </w:rPr>
              <w:t xml:space="preserve">Diálogo Start Communication Logging com a pasta e o nome do arquivo.</w:t>
            </w:r>
          </w:p>
        </w:tc>
      </w:tr>
    </w:tbl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Clicar em Start Communication (ícone de "play"). Para enviar um comando, clicar na seta à esquerda do seu nome; enviar um de cada vez e conferir a resposta na aba ASCII antes do próximo. Respostas iniciadas por "*" indicam comando aceito; por "!", erro.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9: Docklight — comunicação iniciada e resposta ao comando V</w:t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</w:tblGrid>
      <w:tr>
        <w:trPr>
          <w:cantSplit/>
          <w:trHeight w:val="2600" w:hRule="atLeast"/>
        </w:trPr>
        <w:tc>
          <w:tcPr>
            <w:tcW w:type="dxa" w:w="700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INSERIR CAPTURA DE TELA — FIGURA 9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7"/>
                <w:szCs w:val="17"/>
              </w:rPr>
              <w:t xml:space="preserve">Janela principal com a comunicação aberta (botão Start Communication) e a aba ASCII mostrando o envio de V e a resposta "*" do PTU.</w:t>
            </w:r>
          </w:p>
        </w:tc>
      </w:tr>
    </w:tbl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Tabela 3: Comandos a cadastrar no Docklight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900"/>
        <w:gridCol w:w="2900"/>
        <w:gridCol w:w="3338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NOME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COMANDO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BYTES (HEX)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FUNÇÃO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Versao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56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Identificação e versão do firmware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Le_RPS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RPS&lt;CR&gt;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52 50 53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Lê a velocidade de reset do pan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Le_RTS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RTS&lt;CR&gt;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52 54 53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Lê a velocidade de reset do tilt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Reset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52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Executa o ciclo de reset dos dois eixos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Le_PP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PP&lt;CR&gt;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50 50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Lê a posição atual do pan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Le_TP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TP&lt;CR&gt;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54 50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Lê a posição atual do tilt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PP1000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PP1000&lt;CR&gt;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50 50 31 30 30 30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Move o pan para a posição 1000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PP0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PP0&lt;CR&gt;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50 50 30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Retorna o pan à posição 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TP500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TP500&lt;CR&gt;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54 50 35 30 30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Move o tilt para a posição 500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TP0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TP0&lt;CR&gt;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54 50 30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Retorna o tilt à posição 0</w:t>
            </w:r>
          </w:p>
        </w:tc>
      </w:tr>
    </w:tbl>
    <w:p>
      <w:pPr>
        <w:keepNext w:val="false"/>
        <w:spacing w:after="120" w:before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As posições 1000 (pan) e 500 (tilt) correspondem a poucos graus nas resoluções usuais do PTU-D300E. Antes do primeiro teste, conferir no manual da unidade que estão dentro dos limites de curso (comandos PN/PX e TN/TX).</w:t>
      </w:r>
    </w:p>
    <w:p>
      <w:pPr>
        <w:keepNext/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4.2. EXECUÇÃO DO TESTE FUNCIONAL</w:t>
      </w:r>
    </w:p>
    <w:p>
      <w:pPr>
        <w:keepNext w:val="false"/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Executar os testes na ordem da Tabela 4 e registrar o resultado de cada um. Um teste reprovado interrompe a sequência: corrigir a causa e repetir desde o teste 1.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Tabela 4: Execução e registro do teste funcional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100"/>
        <w:gridCol w:w="1800"/>
        <w:gridCol w:w="2738"/>
        <w:gridCol w:w="1600"/>
        <w:gridCol w:w="800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Nº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ENVIAR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CRITÉRIO DE ACEITAÇÃO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RESULTADO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OK?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Comunicação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Versao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Resposta "*" com a identificação e a versão do firmware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Versão: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Velocidade de reset do pan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Le_RPS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Valor = 500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Velocidade de reset do tilt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Le_RTS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Valor = 500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Permanência após desligar a saída da fonte por 10 s e religar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Religar; Le_RPS, Le_RTS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Os dois valores continuam = 500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Ciclo de reset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Reset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Resposta "*"; os dois eixos completam o reset com movimento contínuo, sem trancos nem ruído anormal, e param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Posição após o reset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Le_PP e Le_TP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Resposta "*" com as posições (registrar)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Pan:  Tilt: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Movimento do pan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PP1000, Le_PP, PP0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pan vai até 1000 e volta a 0; Le_PP indica 1000 após o primeiro movimento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Movimento do tilt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TP500, Le_TP, TP0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tilt vai até 500 e volta a 0; Le_TP indica 500 após o primeiro movimento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Comunicação após os testes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Versao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Resposta "*", sem erros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</w:tbl>
    <w:p>
      <w:pPr>
        <w:keepNext w:val="false"/>
        <w:spacing w:after="120" w:before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Ao final, clicar em Stop Communication e em Tools → Stop Communication Logging, desenergizar o PTU e guardar o arquivo de registro junto com este formulário.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Tabela 5: Resultado do teste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cantSplit/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Nº DE SÉRIE DO PTU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RESULTADO (APROVADO / REPROVADO)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EXECUTADO POR / DATA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 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 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 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2268" w:right="1134" w:bottom="1700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410"/>
      <w:gridCol w:w="2410"/>
      <w:gridCol w:w="2410"/>
      <w:gridCol w:w="2408"/>
    </w:tblGrid>
    <w:tr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00"/>
            <w:jc w:val="left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18"/>
              <w:szCs w:val="18"/>
            </w:rPr>
            <w:t xml:space="preserve">FEITO POR</w:t>
          </w:r>
        </w:p>
        <w:p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00"/>
            <w:jc w:val="left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18"/>
              <w:szCs w:val="18"/>
            </w:rPr>
            <w:t xml:space="preserve">APROVADO POR</w:t>
          </w:r>
        </w:p>
        <w:p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00"/>
            <w:jc w:val="left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18"/>
              <w:szCs w:val="18"/>
            </w:rPr>
            <w:t xml:space="preserve">PROJETO/CONTRATO</w:t>
          </w:r>
        </w:p>
        <w:p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8"/>
              <w:szCs w:val="18"/>
            </w:rPr>
            <w:t xml:space="preserve">Pan-tilt FLIR PTU-D300E — Avibras Aeroco</w:t>
          </w:r>
        </w:p>
      </w:tc>
      <w:tc>
        <w:tcPr>
          <w:tcW w:type="dxa" w:w="2408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  <w:vAlign w:val="center"/>
        </w:tcPr>
        <w:p>
          <w:pPr>
            <w:spacing w:after="4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18"/>
              <w:szCs w:val="18"/>
            </w:rPr>
            <w:t xml:space="preserve">PÁGINA</w:t>
          </w:r>
        </w:p>
        <w:p>
          <w:pPr>
            <w:jc w:val="center"/>
          </w:pP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  <w:t xml:space="preserve"> / </w:t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4252"/>
      <w:gridCol w:w="1795"/>
      <w:gridCol w:w="1795"/>
      <w:gridCol w:w="1796"/>
    </w:tblGrid>
    <w:tr>
      <w:tc>
        <w:tcPr>
          <w:tcW w:type="dxa" w:w="425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/>
          </w:r>
        </w:p>
      </w:tc>
      <w:tc>
        <w:tcPr>
          <w:tcW w:type="dxa" w:w="5386"/>
          <w:gridSpan w:val="3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19"/>
              <w:szCs w:val="19"/>
            </w:rPr>
            <w:t xml:space="preserve">TÍTULO: PROCEDIMENTO DE TESTE FUNCIONAL DO PAN-TILT FLIR PTU-D300E (VELOCIDADE DE RESET 500 POSIÇÕES/S)</w:t>
          </w:r>
        </w:p>
      </w:tc>
    </w:tr>
    <w:tr>
      <w:tc>
        <w:tcPr>
          <w:tcW w:type="dxa" w:w="425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/>
          </w:r>
        </w:p>
      </w:tc>
      <w:tc>
        <w:tcPr>
          <w:tcW w:type="dxa" w:w="1795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>TIPO: PTE</w:t>
          </w:r>
        </w:p>
      </w:tc>
      <w:tc>
        <w:tcPr>
          <w:tcW w:type="dxa" w:w="1795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>REVISÃO: 00</w:t>
          </w:r>
        </w:p>
      </w:tc>
      <w:tc>
        <w:tcPr>
          <w:tcW w:type="dxa" w:w="1796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>FOLHA:</w:t>
          </w:r>
        </w:p>
      </w:tc>
    </w:tr>
    <w:tr>
      <w:tc>
        <w:tcPr>
          <w:tcW w:type="dxa" w:w="425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/>
          </w:r>
        </w:p>
      </w:tc>
      <w:tc>
        <w:tcPr>
          <w:tcW w:type="dxa" w:w="3590"/>
          <w:gridSpan w:val="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>CÓDIGO:</w:t>
          </w:r>
        </w:p>
      </w:tc>
      <w:tc>
        <w:tcPr>
          <w:tcW w:type="dxa" w:w="1796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>PN:</w:t>
          </w:r>
        </w:p>
      </w:tc>
    </w:tr>
  </w:tbl>
  <w:p>
    <w:pPr>
      <w:spacing w:after="0"/>
    </w:pPr>
    <w:r>
      <w:rPr>
        <w:rFonts w:ascii="Arial" w:cs="Arial" w:eastAsia="Arial" w:hAnsi="Arial"/>
        <w:b w:val="false"/>
        <w:bCs w:val="false"/>
        <w:i w:val="false"/>
        <w:iCs w:val="false"/>
        <w:sz w:val="8"/>
        <w:szCs w:val="8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e2d5a698da3513a3f1415f126040be6db09be4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Procedimento de teste funcional do PTU-D300E</dc:title>
  <dc:creator>[NOME DO AUTOR]</dc:creator>
  <cp:lastModifiedBy>Un-named</cp:lastModifiedBy>
  <cp:revision>1</cp:revision>
  <dcterms:created xsi:type="dcterms:W3CDTF">2026-10-29T12:03:36.912Z</dcterms:created>
  <dcterms:modified xsi:type="dcterms:W3CDTF">2026-10-29T12:03:36.912Z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