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24E5" w14:textId="45A1EE1B" w:rsidR="00095A4D" w:rsidRDefault="000E0E88">
      <w:pPr>
        <w:spacing w:after="0" w:line="360" w:lineRule="auto"/>
        <w:jc w:val="center"/>
        <w:rPr>
          <w:rFonts w:ascii="Times New Roman" w:hAnsi="Times New Roman" w:cs="Times New Roman"/>
          <w:b/>
          <w:bCs/>
        </w:rPr>
      </w:pPr>
      <w:r>
        <w:rPr>
          <w:rFonts w:ascii="Times New Roman" w:hAnsi="Times New Roman" w:cs="Times New Roman"/>
          <w:b/>
          <w:bCs/>
        </w:rPr>
        <w:t>PARECER CONSULTIVO Nº 002/2016 DA CORTE AFRICANA DOS DIREITOS HUMANOS E DOS POVOS, SOLICITADO PELA ASSOCIATION AFRICAINE DE DÉFENSE DES DROITS DE L'HOMME (2017)</w:t>
      </w:r>
    </w:p>
    <w:p w14:paraId="4B8D3224" w14:textId="77777777" w:rsidR="00095A4D" w:rsidRDefault="00095A4D">
      <w:pPr>
        <w:spacing w:after="0" w:line="360" w:lineRule="auto"/>
        <w:jc w:val="both"/>
        <w:rPr>
          <w:rFonts w:ascii="Times New Roman" w:hAnsi="Times New Roman" w:cs="Times New Roman"/>
        </w:rPr>
      </w:pPr>
    </w:p>
    <w:p w14:paraId="2ECAC34D" w14:textId="77777777" w:rsidR="000E0E88" w:rsidRDefault="000E0E88">
      <w:pPr>
        <w:spacing w:after="0" w:line="360" w:lineRule="auto"/>
        <w:jc w:val="both"/>
        <w:rPr>
          <w:rFonts w:ascii="Times New Roman" w:hAnsi="Times New Roman" w:cs="Times New Roman"/>
        </w:rPr>
      </w:pPr>
    </w:p>
    <w:p w14:paraId="02C97DD4" w14:textId="3B4926D3" w:rsidR="00095A4D" w:rsidRDefault="008C2DE9">
      <w:pPr>
        <w:spacing w:after="0" w:line="360" w:lineRule="auto"/>
        <w:jc w:val="right"/>
        <w:rPr>
          <w:rFonts w:ascii="Times New Roman" w:hAnsi="Times New Roman" w:cs="Times New Roman"/>
        </w:rPr>
      </w:pPr>
      <w:r>
        <w:rPr>
          <w:rFonts w:ascii="Times New Roman" w:hAnsi="Times New Roman" w:cs="Times New Roman"/>
        </w:rPr>
        <w:t>Willian Barbosa Fil</w:t>
      </w:r>
      <w:r w:rsidR="00910044">
        <w:rPr>
          <w:rFonts w:ascii="Times New Roman" w:hAnsi="Times New Roman" w:cs="Times New Roman"/>
        </w:rPr>
        <w:t>ho</w:t>
      </w:r>
      <w:r w:rsidR="001A3814">
        <w:rPr>
          <w:rFonts w:ascii="Times New Roman" w:hAnsi="Times New Roman" w:cs="Times New Roman"/>
          <w:vertAlign w:val="superscript"/>
        </w:rPr>
        <w:footnoteReference w:id="1"/>
      </w:r>
    </w:p>
    <w:p w14:paraId="457FD3E2" w14:textId="77777777" w:rsidR="00095A4D" w:rsidRDefault="00095A4D">
      <w:pPr>
        <w:spacing w:after="0" w:line="360" w:lineRule="auto"/>
        <w:jc w:val="both"/>
        <w:rPr>
          <w:rFonts w:ascii="Times New Roman" w:hAnsi="Times New Roman" w:cs="Times New Roman"/>
        </w:rPr>
      </w:pPr>
    </w:p>
    <w:p w14:paraId="3A57E10D" w14:textId="77777777" w:rsidR="000E0E88" w:rsidRDefault="000E0E88">
      <w:pPr>
        <w:spacing w:after="0" w:line="360" w:lineRule="auto"/>
        <w:jc w:val="both"/>
        <w:rPr>
          <w:rFonts w:ascii="Times New Roman" w:hAnsi="Times New Roman" w:cs="Times New Roman"/>
        </w:rPr>
      </w:pPr>
    </w:p>
    <w:p w14:paraId="53F05FC1" w14:textId="2B03ACBC" w:rsidR="00095A4D" w:rsidRDefault="001A3814" w:rsidP="000E0E88">
      <w:pPr>
        <w:pStyle w:val="PargrafodaLista"/>
        <w:keepNext/>
        <w:numPr>
          <w:ilvl w:val="0"/>
          <w:numId w:val="1"/>
        </w:numPr>
        <w:tabs>
          <w:tab w:val="left" w:pos="284"/>
        </w:tabs>
        <w:spacing w:line="360" w:lineRule="auto"/>
        <w:ind w:left="0" w:firstLine="0"/>
        <w:jc w:val="both"/>
        <w:rPr>
          <w:rFonts w:ascii="Times New Roman" w:hAnsi="Times New Roman" w:cs="Times New Roman"/>
          <w:b/>
          <w:bCs/>
        </w:rPr>
      </w:pPr>
      <w:r>
        <w:rPr>
          <w:rFonts w:ascii="Times New Roman" w:hAnsi="Times New Roman" w:cs="Times New Roman"/>
          <w:b/>
          <w:bCs/>
        </w:rPr>
        <w:t xml:space="preserve">Identificação do </w:t>
      </w:r>
      <w:r w:rsidR="00C41DB6">
        <w:rPr>
          <w:rFonts w:ascii="Times New Roman" w:hAnsi="Times New Roman" w:cs="Times New Roman"/>
          <w:b/>
          <w:bCs/>
        </w:rPr>
        <w:t>caso.</w:t>
      </w:r>
    </w:p>
    <w:p w14:paraId="07E010A8" w14:textId="0E94CD2E" w:rsidR="00513F63"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O Parecer Consultivo nº 002/2016</w:t>
      </w:r>
      <w:r w:rsidR="00C051F0">
        <w:rPr>
          <w:rFonts w:ascii="Times New Roman" w:hAnsi="Times New Roman" w:cs="Times New Roman"/>
        </w:rPr>
        <w:t xml:space="preserve"> se tornou um </w:t>
      </w:r>
      <w:r w:rsidR="004F25DC">
        <w:rPr>
          <w:rFonts w:ascii="Times New Roman" w:hAnsi="Times New Roman" w:cs="Times New Roman"/>
        </w:rPr>
        <w:t xml:space="preserve">caso emblemático na literatura jurídica sobre os limites </w:t>
      </w:r>
      <w:r w:rsidR="00887E23">
        <w:rPr>
          <w:rFonts w:ascii="Times New Roman" w:hAnsi="Times New Roman" w:cs="Times New Roman"/>
        </w:rPr>
        <w:t xml:space="preserve">e barreiras institucionais </w:t>
      </w:r>
      <w:r w:rsidR="003C40EA">
        <w:rPr>
          <w:rFonts w:ascii="Times New Roman" w:hAnsi="Times New Roman" w:cs="Times New Roman"/>
        </w:rPr>
        <w:t xml:space="preserve">de acesso ao Tribunal Africano de Direitos dos Homens e dos </w:t>
      </w:r>
      <w:r w:rsidR="00C41DB6">
        <w:rPr>
          <w:rFonts w:ascii="Times New Roman" w:hAnsi="Times New Roman" w:cs="Times New Roman"/>
        </w:rPr>
        <w:t xml:space="preserve">Povos </w:t>
      </w:r>
      <w:r w:rsidR="003C40EA">
        <w:rPr>
          <w:rFonts w:ascii="Times New Roman" w:hAnsi="Times New Roman" w:cs="Times New Roman"/>
        </w:rPr>
        <w:t>Ele foi</w:t>
      </w:r>
      <w:r>
        <w:rPr>
          <w:rFonts w:ascii="Times New Roman" w:hAnsi="Times New Roman" w:cs="Times New Roman"/>
        </w:rPr>
        <w:t xml:space="preserve"> proferido pela Corte </w:t>
      </w:r>
      <w:r>
        <w:rPr>
          <w:rFonts w:ascii="Times New Roman" w:hAnsi="Times New Roman" w:cs="Times New Roman"/>
        </w:rPr>
        <w:t xml:space="preserve">Africana dos Direitos Humanos e dos Povos </w:t>
      </w:r>
      <w:r>
        <w:rPr>
          <w:rFonts w:ascii="Times New Roman" w:hAnsi="Times New Roman" w:cs="Times New Roman"/>
        </w:rPr>
        <w:t xml:space="preserve">em 28 de setembro de 2017, em Arusha, na Tanzânia. Quem </w:t>
      </w:r>
      <w:r w:rsidR="0063374A">
        <w:rPr>
          <w:rFonts w:ascii="Times New Roman" w:hAnsi="Times New Roman" w:cs="Times New Roman"/>
        </w:rPr>
        <w:t>submeteu</w:t>
      </w:r>
      <w:r w:rsidR="00906E5B">
        <w:rPr>
          <w:rFonts w:ascii="Times New Roman" w:hAnsi="Times New Roman" w:cs="Times New Roman"/>
        </w:rPr>
        <w:t xml:space="preserve"> o pedido foi </w:t>
      </w:r>
      <w:r>
        <w:rPr>
          <w:rFonts w:ascii="Times New Roman" w:hAnsi="Times New Roman" w:cs="Times New Roman"/>
        </w:rPr>
        <w:t>a Association Africaine de Défense des Droits de l'Homme (ASADHO)</w:t>
      </w:r>
      <w:r>
        <w:rPr>
          <w:rFonts w:ascii="Times New Roman" w:hAnsi="Times New Roman" w:cs="Times New Roman"/>
        </w:rPr>
        <w:t>, organização não governamental sediada na República Democrática do Congo</w:t>
      </w:r>
      <w:r w:rsidR="001066EC">
        <w:rPr>
          <w:rFonts w:ascii="Times New Roman" w:hAnsi="Times New Roman" w:cs="Times New Roman"/>
        </w:rPr>
        <w:t xml:space="preserve"> (RDC)</w:t>
      </w:r>
      <w:r w:rsidR="001F3EF6">
        <w:rPr>
          <w:rFonts w:ascii="Times New Roman" w:hAnsi="Times New Roman" w:cs="Times New Roman"/>
        </w:rPr>
        <w:t xml:space="preserve">, </w:t>
      </w:r>
      <w:r w:rsidR="001F3EF6">
        <w:rPr>
          <w:rFonts w:ascii="Times New Roman" w:hAnsi="Times New Roman" w:cs="Times New Roman"/>
        </w:rPr>
        <w:t>fundada em 1991</w:t>
      </w:r>
      <w:r>
        <w:rPr>
          <w:rFonts w:ascii="Times New Roman" w:hAnsi="Times New Roman" w:cs="Times New Roman"/>
        </w:rPr>
        <w:t>.</w:t>
      </w:r>
      <w:r w:rsidR="00822C4D">
        <w:rPr>
          <w:rFonts w:ascii="Times New Roman" w:hAnsi="Times New Roman" w:cs="Times New Roman"/>
        </w:rPr>
        <w:t xml:space="preserve"> Esta organização participou de</w:t>
      </w:r>
      <w:r w:rsidR="00513F63">
        <w:rPr>
          <w:rFonts w:ascii="Times New Roman" w:hAnsi="Times New Roman" w:cs="Times New Roman"/>
        </w:rPr>
        <w:t xml:space="preserve"> v</w:t>
      </w:r>
      <w:r w:rsidR="009B2DDA">
        <w:rPr>
          <w:rFonts w:ascii="Times New Roman" w:hAnsi="Times New Roman" w:cs="Times New Roman"/>
        </w:rPr>
        <w:t>ários</w:t>
      </w:r>
      <w:r w:rsidR="00822C4D">
        <w:rPr>
          <w:rFonts w:ascii="Times New Roman" w:hAnsi="Times New Roman" w:cs="Times New Roman"/>
        </w:rPr>
        <w:t xml:space="preserve"> estudos de </w:t>
      </w:r>
      <w:r w:rsidR="00C41DB6">
        <w:rPr>
          <w:rFonts w:ascii="Times New Roman" w:hAnsi="Times New Roman" w:cs="Times New Roman"/>
        </w:rPr>
        <w:t>caso</w:t>
      </w:r>
      <w:r w:rsidR="00E8408A">
        <w:rPr>
          <w:rFonts w:ascii="Times New Roman" w:hAnsi="Times New Roman" w:cs="Times New Roman"/>
        </w:rPr>
        <w:t xml:space="preserve"> sobre o impacto da indústria extrativista</w:t>
      </w:r>
      <w:r w:rsidR="00776A4B">
        <w:rPr>
          <w:rFonts w:ascii="Times New Roman" w:hAnsi="Times New Roman" w:cs="Times New Roman"/>
        </w:rPr>
        <w:t xml:space="preserve"> em diversas comunidades locais de países</w:t>
      </w:r>
      <w:r w:rsidR="009B2DDA">
        <w:rPr>
          <w:rFonts w:ascii="Times New Roman" w:hAnsi="Times New Roman" w:cs="Times New Roman"/>
        </w:rPr>
        <w:t xml:space="preserve"> africanos</w:t>
      </w:r>
      <w:r w:rsidR="00E90BC1">
        <w:rPr>
          <w:rFonts w:ascii="Times New Roman" w:hAnsi="Times New Roman" w:cs="Times New Roman"/>
        </w:rPr>
        <w:t>.</w:t>
      </w:r>
      <w:r w:rsidR="00776A4B">
        <w:rPr>
          <w:rFonts w:ascii="Times New Roman" w:hAnsi="Times New Roman" w:cs="Times New Roman"/>
        </w:rPr>
        <w:t xml:space="preserve"> </w:t>
      </w:r>
    </w:p>
    <w:p w14:paraId="479657CA" w14:textId="13A935C8" w:rsidR="00095A4D" w:rsidRDefault="00776A4B">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 </w:t>
      </w:r>
      <w:r w:rsidR="001A3814">
        <w:rPr>
          <w:rFonts w:ascii="Times New Roman" w:hAnsi="Times New Roman" w:cs="Times New Roman"/>
        </w:rPr>
        <w:t xml:space="preserve">No </w:t>
      </w:r>
      <w:r w:rsidR="00E90BC1">
        <w:rPr>
          <w:rFonts w:ascii="Times New Roman" w:hAnsi="Times New Roman" w:cs="Times New Roman"/>
        </w:rPr>
        <w:t>requerimento</w:t>
      </w:r>
      <w:r w:rsidR="001A3814">
        <w:rPr>
          <w:rFonts w:ascii="Times New Roman" w:hAnsi="Times New Roman" w:cs="Times New Roman"/>
        </w:rPr>
        <w:t xml:space="preserve">, datado de 10 de maio de 2016 e recebido pela Secretaria da Corte em 8 de julho do mesmo ano, a entidade </w:t>
      </w:r>
      <w:r w:rsidR="00DE4BC1">
        <w:rPr>
          <w:rFonts w:ascii="Times New Roman" w:hAnsi="Times New Roman" w:cs="Times New Roman"/>
        </w:rPr>
        <w:t>solicitou</w:t>
      </w:r>
      <w:r w:rsidR="001A3814">
        <w:rPr>
          <w:rFonts w:ascii="Times New Roman" w:hAnsi="Times New Roman" w:cs="Times New Roman"/>
        </w:rPr>
        <w:t xml:space="preserve"> que o tribunal declarasse o </w:t>
      </w:r>
      <w:r w:rsidR="001A3814">
        <w:rPr>
          <w:rFonts w:ascii="Times New Roman" w:hAnsi="Times New Roman" w:cs="Times New Roman"/>
        </w:rPr>
        <w:t>Projeto de Lei-Modelo sobre Mineração em Terras Comunitárias na África (</w:t>
      </w:r>
      <w:r w:rsidR="001A3814">
        <w:rPr>
          <w:rFonts w:ascii="Times New Roman" w:hAnsi="Times New Roman" w:cs="Times New Roman"/>
          <w:i/>
          <w:iCs/>
        </w:rPr>
        <w:t>Draft Model Law on Mining on Community Land in Africa</w:t>
      </w:r>
      <w:r w:rsidR="001A3814">
        <w:rPr>
          <w:rFonts w:ascii="Times New Roman" w:hAnsi="Times New Roman" w:cs="Times New Roman"/>
        </w:rPr>
        <w:t xml:space="preserve">) compatível com a Carta Africana dos Direitos Humanos e dos </w:t>
      </w:r>
      <w:r w:rsidR="00C41DB6">
        <w:rPr>
          <w:rFonts w:ascii="Times New Roman" w:hAnsi="Times New Roman" w:cs="Times New Roman"/>
        </w:rPr>
        <w:t>Povos,</w:t>
      </w:r>
      <w:r w:rsidR="006E6AA8">
        <w:rPr>
          <w:rFonts w:ascii="Times New Roman" w:hAnsi="Times New Roman" w:cs="Times New Roman"/>
        </w:rPr>
        <w:t xml:space="preserve"> com</w:t>
      </w:r>
      <w:r w:rsidR="00641F94">
        <w:rPr>
          <w:rFonts w:ascii="Times New Roman" w:hAnsi="Times New Roman" w:cs="Times New Roman"/>
        </w:rPr>
        <w:t xml:space="preserve"> </w:t>
      </w:r>
      <w:r w:rsidR="00C41DB6">
        <w:rPr>
          <w:rFonts w:ascii="Times New Roman" w:hAnsi="Times New Roman" w:cs="Times New Roman"/>
        </w:rPr>
        <w:t>o intuito</w:t>
      </w:r>
      <w:r w:rsidR="00641F94">
        <w:rPr>
          <w:rFonts w:ascii="Times New Roman" w:hAnsi="Times New Roman" w:cs="Times New Roman"/>
        </w:rPr>
        <w:t xml:space="preserve"> de harmonizar a lei e garantir a proteção a</w:t>
      </w:r>
      <w:r w:rsidR="00A55FC6">
        <w:rPr>
          <w:rFonts w:ascii="Times New Roman" w:hAnsi="Times New Roman" w:cs="Times New Roman"/>
        </w:rPr>
        <w:t xml:space="preserve">os direitos das comunidades diretamente atingidas pela </w:t>
      </w:r>
      <w:r w:rsidR="00B136BA">
        <w:rPr>
          <w:rFonts w:ascii="Times New Roman" w:hAnsi="Times New Roman" w:cs="Times New Roman"/>
        </w:rPr>
        <w:t>atividade de mineração</w:t>
      </w:r>
      <w:r w:rsidR="00A55FC6">
        <w:rPr>
          <w:rFonts w:ascii="Times New Roman" w:hAnsi="Times New Roman" w:cs="Times New Roman"/>
        </w:rPr>
        <w:t xml:space="preserve"> </w:t>
      </w:r>
      <w:r w:rsidR="001A3814">
        <w:rPr>
          <w:rFonts w:ascii="Times New Roman" w:hAnsi="Times New Roman" w:cs="Times New Roman"/>
        </w:rPr>
        <w:t xml:space="preserve">(Corte Africana dos Direitos Humanos e dos Povos, 2017, p. 2, par. 1-5). </w:t>
      </w:r>
    </w:p>
    <w:p w14:paraId="533AAFD1" w14:textId="7C62A558" w:rsidR="00486B83" w:rsidRDefault="001A3814" w:rsidP="00E432A7">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Como se trata de </w:t>
      </w:r>
      <w:r>
        <w:rPr>
          <w:rFonts w:ascii="Times New Roman" w:hAnsi="Times New Roman" w:cs="Times New Roman"/>
        </w:rPr>
        <w:t>procedimento</w:t>
      </w:r>
      <w:r>
        <w:rPr>
          <w:rFonts w:ascii="Times New Roman" w:hAnsi="Times New Roman" w:cs="Times New Roman"/>
        </w:rPr>
        <w:t xml:space="preserve"> consultivo, não existem partes litigantes nem Estado demandado. De um lado está a requerente, a ASADHO, entidade sem fins lucrativos registrada pelo </w:t>
      </w:r>
      <w:r w:rsidR="00C41DB6">
        <w:rPr>
          <w:rFonts w:ascii="Times New Roman" w:hAnsi="Times New Roman" w:cs="Times New Roman"/>
        </w:rPr>
        <w:t>Edito</w:t>
      </w:r>
      <w:r>
        <w:rPr>
          <w:rFonts w:ascii="Times New Roman" w:hAnsi="Times New Roman" w:cs="Times New Roman"/>
        </w:rPr>
        <w:t xml:space="preserve"> Ministerial nº 370/CAB/MIN/J&amp;DH/2010, de 7 de agosto de 2010, que tem como objetivo principal a defesa e a promoção dos direitos humanos (Corte Africana dos Direitos Humanos e dos Povos, 2017, p. 2, par. 1</w:t>
      </w:r>
      <w:r w:rsidR="00C41DB6">
        <w:rPr>
          <w:rFonts w:ascii="Times New Roman" w:hAnsi="Times New Roman" w:cs="Times New Roman"/>
        </w:rPr>
        <w:t>),</w:t>
      </w:r>
      <w:r w:rsidR="009644AF">
        <w:rPr>
          <w:rFonts w:ascii="Times New Roman" w:hAnsi="Times New Roman" w:cs="Times New Roman"/>
        </w:rPr>
        <w:t xml:space="preserve"> buscava decis</w:t>
      </w:r>
      <w:r w:rsidR="000A1FD5">
        <w:rPr>
          <w:rFonts w:ascii="Times New Roman" w:hAnsi="Times New Roman" w:cs="Times New Roman"/>
        </w:rPr>
        <w:t xml:space="preserve">ão </w:t>
      </w:r>
      <w:r w:rsidR="00FC0B44">
        <w:rPr>
          <w:rFonts w:ascii="Times New Roman" w:hAnsi="Times New Roman" w:cs="Times New Roman"/>
        </w:rPr>
        <w:lastRenderedPageBreak/>
        <w:t>do Tribunal sobre a consist</w:t>
      </w:r>
      <w:r w:rsidR="00305DF6">
        <w:rPr>
          <w:rFonts w:ascii="Times New Roman" w:hAnsi="Times New Roman" w:cs="Times New Roman"/>
        </w:rPr>
        <w:t xml:space="preserve">ência do Projeto de Lei Modelo de Mineração </w:t>
      </w:r>
      <w:r w:rsidR="005237D4">
        <w:rPr>
          <w:rFonts w:ascii="Times New Roman" w:hAnsi="Times New Roman" w:cs="Times New Roman"/>
        </w:rPr>
        <w:t xml:space="preserve">com as disposições da </w:t>
      </w:r>
      <w:r w:rsidR="006310BD">
        <w:rPr>
          <w:rFonts w:ascii="Times New Roman" w:hAnsi="Times New Roman" w:cs="Times New Roman"/>
        </w:rPr>
        <w:t>C</w:t>
      </w:r>
      <w:r w:rsidR="005237D4">
        <w:rPr>
          <w:rFonts w:ascii="Times New Roman" w:hAnsi="Times New Roman" w:cs="Times New Roman"/>
        </w:rPr>
        <w:t xml:space="preserve">arta </w:t>
      </w:r>
      <w:r w:rsidR="006310BD">
        <w:rPr>
          <w:rFonts w:ascii="Times New Roman" w:hAnsi="Times New Roman" w:cs="Times New Roman"/>
        </w:rPr>
        <w:t>A</w:t>
      </w:r>
      <w:r w:rsidR="005237D4">
        <w:rPr>
          <w:rFonts w:ascii="Times New Roman" w:hAnsi="Times New Roman" w:cs="Times New Roman"/>
        </w:rPr>
        <w:t>fricana</w:t>
      </w:r>
      <w:r w:rsidR="006310BD">
        <w:rPr>
          <w:rFonts w:ascii="Times New Roman" w:hAnsi="Times New Roman" w:cs="Times New Roman"/>
        </w:rPr>
        <w:t xml:space="preserve"> dos Direitos Humanos e dos Povos</w:t>
      </w:r>
      <w:r w:rsidR="00E432A7">
        <w:rPr>
          <w:rFonts w:ascii="Times New Roman" w:hAnsi="Times New Roman" w:cs="Times New Roman"/>
        </w:rPr>
        <w:t xml:space="preserve"> </w:t>
      </w:r>
      <w:r w:rsidR="00E432A7" w:rsidRPr="00E432A7">
        <w:rPr>
          <w:rFonts w:ascii="Times New Roman" w:hAnsi="Times New Roman" w:cs="Times New Roman"/>
        </w:rPr>
        <w:t>(ORGANIZAÇÃO DA UNIDADE AFRICANA, 1981).</w:t>
      </w:r>
      <w:r w:rsidR="005237D4">
        <w:rPr>
          <w:rFonts w:ascii="Times New Roman" w:hAnsi="Times New Roman" w:cs="Times New Roman"/>
        </w:rPr>
        <w:t xml:space="preserve"> </w:t>
      </w:r>
      <w:r>
        <w:rPr>
          <w:rFonts w:ascii="Times New Roman" w:hAnsi="Times New Roman" w:cs="Times New Roman"/>
        </w:rPr>
        <w:t xml:space="preserve">Do outro, a Corte, </w:t>
      </w:r>
      <w:r w:rsidR="00C41DB6">
        <w:rPr>
          <w:rFonts w:ascii="Times New Roman" w:hAnsi="Times New Roman" w:cs="Times New Roman"/>
        </w:rPr>
        <w:t>que,</w:t>
      </w:r>
      <w:r>
        <w:rPr>
          <w:rFonts w:ascii="Times New Roman" w:hAnsi="Times New Roman" w:cs="Times New Roman"/>
        </w:rPr>
        <w:t xml:space="preserve"> segundo o </w:t>
      </w:r>
      <w:r w:rsidR="00E432A7">
        <w:rPr>
          <w:rFonts w:ascii="Times New Roman" w:hAnsi="Times New Roman" w:cs="Times New Roman"/>
        </w:rPr>
        <w:t>cabeçalho</w:t>
      </w:r>
      <w:r>
        <w:rPr>
          <w:rFonts w:ascii="Times New Roman" w:hAnsi="Times New Roman" w:cs="Times New Roman"/>
        </w:rPr>
        <w:t xml:space="preserve"> do </w:t>
      </w:r>
      <w:r w:rsidR="00C41DB6">
        <w:rPr>
          <w:rFonts w:ascii="Times New Roman" w:hAnsi="Times New Roman" w:cs="Times New Roman"/>
        </w:rPr>
        <w:t>parecer,</w:t>
      </w:r>
      <w:r>
        <w:rPr>
          <w:rFonts w:ascii="Times New Roman" w:hAnsi="Times New Roman" w:cs="Times New Roman"/>
        </w:rPr>
        <w:t xml:space="preserve"> era composta pelos juízes Sylvain Oré (Presidente), Ben Kioko (Vice-Presidente), Gérard Niyungeko, El Hadji Guissé, Rafâa Ben Achour, Solomy B. Bossa, Angelo V. Matusse, Ntyam S. O. Mengue, Marie-Thérèse Mukamulisa, Tujilane R. Chizumila e Chafika Bensaoula, com Robert Eno como Secretário (Corte Africana dos Direitos Humanos e dos Povos, 2017, p. 2). </w:t>
      </w:r>
    </w:p>
    <w:p w14:paraId="4AC170C4" w14:textId="081E617C" w:rsidR="00426849" w:rsidRDefault="001A3814" w:rsidP="00426849">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A Comissão Africana dos Direitos Humanos e dos Povos também aparece no procedimento, de forma </w:t>
      </w:r>
      <w:r w:rsidR="00067DB2">
        <w:rPr>
          <w:rFonts w:ascii="Times New Roman" w:hAnsi="Times New Roman" w:cs="Times New Roman"/>
        </w:rPr>
        <w:t>secundária</w:t>
      </w:r>
      <w:r w:rsidR="008F7880">
        <w:rPr>
          <w:rFonts w:ascii="Times New Roman" w:hAnsi="Times New Roman" w:cs="Times New Roman"/>
        </w:rPr>
        <w:t xml:space="preserve">. </w:t>
      </w:r>
      <w:r>
        <w:rPr>
          <w:rFonts w:ascii="Times New Roman" w:hAnsi="Times New Roman" w:cs="Times New Roman"/>
        </w:rPr>
        <w:t xml:space="preserve"> </w:t>
      </w:r>
      <w:r w:rsidR="008F7880">
        <w:rPr>
          <w:rFonts w:ascii="Times New Roman" w:hAnsi="Times New Roman" w:cs="Times New Roman"/>
        </w:rPr>
        <w:t>A</w:t>
      </w:r>
      <w:r>
        <w:rPr>
          <w:rFonts w:ascii="Times New Roman" w:hAnsi="Times New Roman" w:cs="Times New Roman"/>
        </w:rPr>
        <w:t xml:space="preserve"> Secretaria da Corte a consultou sobre o estatuto de observador da requerente e sobre a possível pendência do mesmo assunto perante aquele órgão (Corte Africana dos Direitos Humanos e dos Povos, 2017, p. 2, par. 7-8).</w:t>
      </w:r>
      <w:r w:rsidR="00426849">
        <w:rPr>
          <w:rFonts w:ascii="Times New Roman" w:hAnsi="Times New Roman" w:cs="Times New Roman"/>
        </w:rPr>
        <w:t xml:space="preserve"> </w:t>
      </w:r>
    </w:p>
    <w:p w14:paraId="7B31DECD" w14:textId="69B4738A" w:rsidR="00095A4D" w:rsidRDefault="001A3814" w:rsidP="00426849">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Segundo a requerente, a lei-modelo nasceu de estudos feitos no âmbito de uma plataforma de organizações não governamentais africanas do setor de recursos naturais, a International Alliance on Natural Resources in Africa (IANRA). Esses estudos examinaram o impacto das indústrias extrativas sobre comunidades locais de Angola, República Democrática do Congo, Quênia, África do Sul e Zimbábue (Corte Africana dos Direitos Humanos e dos Povos, 2017, p. 2, par. 2). Um dos casos relatados envolve a Ruashi Mining PLC</w:t>
      </w:r>
      <w:r>
        <w:rPr>
          <w:rFonts w:ascii="Times New Roman" w:hAnsi="Times New Roman" w:cs="Times New Roman"/>
        </w:rPr>
        <w:t>, mineradora que atua na República Democrática do Congo e cujas atividades teriam afetado a população da comuna de Ruashi (Corte Africana dos Direitos Humanos e dos Povos, 2017, p. 4-5, par. 19-20).</w:t>
      </w:r>
    </w:p>
    <w:p w14:paraId="7E4534E7" w14:textId="77777777" w:rsidR="008B043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Quanto aos direitos em discussão, a ASADHO sustentou que os efeitos negativos da mineração equivaleriam a violações de direitos garantidos pela Carta Africana e </w:t>
      </w:r>
      <w:r w:rsidR="00F63B65">
        <w:rPr>
          <w:rFonts w:ascii="Times New Roman" w:hAnsi="Times New Roman" w:cs="Times New Roman"/>
        </w:rPr>
        <w:t>alegou</w:t>
      </w:r>
      <w:r>
        <w:rPr>
          <w:rFonts w:ascii="Times New Roman" w:hAnsi="Times New Roman" w:cs="Times New Roman"/>
        </w:rPr>
        <w:t xml:space="preserve"> expressamente os direitos à vida, à saúde, à segurança, a um meio ambiente saudável, à integridade física, à justiça e ao trabalho (Corte Africana dos Direitos Humanos e dos Povos, 2017, p. 5, par. 21). </w:t>
      </w:r>
    </w:p>
    <w:p w14:paraId="433D5097" w14:textId="68DF7BDB"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Invocou também a Declaração Universal dos Direitos Humanos, o Pacto Internacional sobre Direitos Civis e Políticos e o Pacto Internacional sobre Direitos Econômicos, Sociais e Culturais (Corte Africana dos Direitos Humanos e dos Povos, 2017, p. 4, par. 17). A Corte não chegou a examinar nenhum desses direitos. O debate ficou restrito a </w:t>
      </w:r>
      <w:r w:rsidR="008B043D">
        <w:rPr>
          <w:rFonts w:ascii="Times New Roman" w:hAnsi="Times New Roman" w:cs="Times New Roman"/>
        </w:rPr>
        <w:t>um exame preliminar d</w:t>
      </w:r>
      <w:r w:rsidR="002C6E3A">
        <w:rPr>
          <w:rFonts w:ascii="Times New Roman" w:hAnsi="Times New Roman" w:cs="Times New Roman"/>
        </w:rPr>
        <w:t>e sua jurisdição para analisar o caso, ou seja,</w:t>
      </w:r>
      <w:r>
        <w:rPr>
          <w:rFonts w:ascii="Times New Roman" w:hAnsi="Times New Roman" w:cs="Times New Roman"/>
        </w:rPr>
        <w:t xml:space="preserve"> saber se a requerente estava entre as entidades que podem pedir parecer consultivo com base no artigo 4(1) do Protocolo à Carta Africana sobre o Estabelecimento de uma Corte Africana </w:t>
      </w:r>
      <w:r>
        <w:rPr>
          <w:rFonts w:ascii="Times New Roman" w:hAnsi="Times New Roman" w:cs="Times New Roman"/>
        </w:rPr>
        <w:lastRenderedPageBreak/>
        <w:t>dos Direitos Humanos e dos Povos (Corte Africana dos Direitos Humanos e dos Povos, 2017, p. 3, par. 14).</w:t>
      </w:r>
    </w:p>
    <w:p w14:paraId="12DD2F6E" w14:textId="1919DFFA" w:rsidR="00D0667C"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A resposta foi negativa. Por unanimidade, a Corte concluiu que não estava em condições de emitir o parecer, porque a ASADHO, embora pudesse ser considerada uma </w:t>
      </w:r>
      <w:r>
        <w:rPr>
          <w:rFonts w:ascii="Times New Roman" w:hAnsi="Times New Roman" w:cs="Times New Roman"/>
        </w:rPr>
        <w:t>organização africana</w:t>
      </w:r>
      <w:r>
        <w:rPr>
          <w:rFonts w:ascii="Times New Roman" w:hAnsi="Times New Roman" w:cs="Times New Roman"/>
        </w:rPr>
        <w:t>,</w:t>
      </w:r>
      <w:r w:rsidR="00BF016D">
        <w:rPr>
          <w:rFonts w:ascii="Times New Roman" w:hAnsi="Times New Roman" w:cs="Times New Roman"/>
        </w:rPr>
        <w:t xml:space="preserve"> já </w:t>
      </w:r>
      <w:r w:rsidR="002E60A5">
        <w:rPr>
          <w:rFonts w:ascii="Times New Roman" w:hAnsi="Times New Roman" w:cs="Times New Roman"/>
        </w:rPr>
        <w:t>que está registrada em um país</w:t>
      </w:r>
      <w:r w:rsidR="00121795">
        <w:rPr>
          <w:rFonts w:ascii="Times New Roman" w:hAnsi="Times New Roman" w:cs="Times New Roman"/>
        </w:rPr>
        <w:t xml:space="preserve"> africano e </w:t>
      </w:r>
      <w:r w:rsidR="00C41DB6">
        <w:rPr>
          <w:rFonts w:ascii="Times New Roman" w:hAnsi="Times New Roman" w:cs="Times New Roman"/>
        </w:rPr>
        <w:t>atua</w:t>
      </w:r>
      <w:r w:rsidR="00121795">
        <w:rPr>
          <w:rFonts w:ascii="Times New Roman" w:hAnsi="Times New Roman" w:cs="Times New Roman"/>
        </w:rPr>
        <w:t xml:space="preserve"> além das suas fronteiras em nível regional e continental, não</w:t>
      </w:r>
      <w:r>
        <w:rPr>
          <w:rFonts w:ascii="Times New Roman" w:hAnsi="Times New Roman" w:cs="Times New Roman"/>
        </w:rPr>
        <w:t xml:space="preserve"> demonstrou ser </w:t>
      </w:r>
      <w:r>
        <w:rPr>
          <w:rFonts w:ascii="Times New Roman" w:hAnsi="Times New Roman" w:cs="Times New Roman"/>
        </w:rPr>
        <w:t>reconhecida pela União Africana</w:t>
      </w:r>
      <w:r>
        <w:rPr>
          <w:rFonts w:ascii="Times New Roman" w:hAnsi="Times New Roman" w:cs="Times New Roman"/>
        </w:rPr>
        <w:t>, segundo requisito do artigo 4(1) do Protocolo (Corte Africana dos Direitos Humanos e dos Povos, 2017, p. 8, par. 35-36</w:t>
      </w:r>
      <w:r w:rsidR="00C41DB6">
        <w:rPr>
          <w:rFonts w:ascii="Times New Roman" w:hAnsi="Times New Roman" w:cs="Times New Roman"/>
        </w:rPr>
        <w:t>),</w:t>
      </w:r>
      <w:r w:rsidR="00085E6E">
        <w:rPr>
          <w:rFonts w:ascii="Times New Roman" w:hAnsi="Times New Roman" w:cs="Times New Roman"/>
        </w:rPr>
        <w:t xml:space="preserve"> que prevê a concessão do </w:t>
      </w:r>
      <w:r w:rsidR="00300A5F">
        <w:rPr>
          <w:rFonts w:ascii="Times New Roman" w:hAnsi="Times New Roman" w:cs="Times New Roman"/>
        </w:rPr>
        <w:t>estatuto</w:t>
      </w:r>
      <w:r w:rsidR="00085E6E">
        <w:rPr>
          <w:rFonts w:ascii="Times New Roman" w:hAnsi="Times New Roman" w:cs="Times New Roman"/>
        </w:rPr>
        <w:t xml:space="preserve"> de observador</w:t>
      </w:r>
      <w:r w:rsidR="00D56DA9">
        <w:rPr>
          <w:rFonts w:ascii="Times New Roman" w:hAnsi="Times New Roman" w:cs="Times New Roman"/>
        </w:rPr>
        <w:t xml:space="preserve"> </w:t>
      </w:r>
      <w:r w:rsidR="007D19F0">
        <w:rPr>
          <w:rFonts w:ascii="Times New Roman" w:hAnsi="Times New Roman" w:cs="Times New Roman"/>
        </w:rPr>
        <w:t>ou m</w:t>
      </w:r>
      <w:r w:rsidR="007D19F0" w:rsidRPr="007D19F0">
        <w:rPr>
          <w:rFonts w:ascii="Times New Roman" w:hAnsi="Times New Roman" w:cs="Times New Roman"/>
        </w:rPr>
        <w:t xml:space="preserve">emorando de </w:t>
      </w:r>
      <w:r w:rsidR="007D19F0">
        <w:rPr>
          <w:rFonts w:ascii="Times New Roman" w:hAnsi="Times New Roman" w:cs="Times New Roman"/>
        </w:rPr>
        <w:t>e</w:t>
      </w:r>
      <w:r w:rsidR="007D19F0" w:rsidRPr="007D19F0">
        <w:rPr>
          <w:rFonts w:ascii="Times New Roman" w:hAnsi="Times New Roman" w:cs="Times New Roman"/>
        </w:rPr>
        <w:t>ntendimento</w:t>
      </w:r>
      <w:r w:rsidR="007D19F0">
        <w:rPr>
          <w:rFonts w:ascii="Times New Roman" w:hAnsi="Times New Roman" w:cs="Times New Roman"/>
        </w:rPr>
        <w:t xml:space="preserve"> </w:t>
      </w:r>
      <w:r w:rsidR="00D0667C">
        <w:rPr>
          <w:rFonts w:ascii="Times New Roman" w:hAnsi="Times New Roman" w:cs="Times New Roman"/>
        </w:rPr>
        <w:t xml:space="preserve">como condição para </w:t>
      </w:r>
      <w:r w:rsidR="007D19F0">
        <w:rPr>
          <w:rFonts w:ascii="Times New Roman" w:hAnsi="Times New Roman" w:cs="Times New Roman"/>
        </w:rPr>
        <w:t>ser reconhecida pela União Africana</w:t>
      </w:r>
      <w:r>
        <w:rPr>
          <w:rFonts w:ascii="Times New Roman" w:hAnsi="Times New Roman" w:cs="Times New Roman"/>
        </w:rPr>
        <w:t>.</w:t>
      </w:r>
    </w:p>
    <w:p w14:paraId="22497CE9" w14:textId="774352CE"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 O parecer registra ainda que foram anexadas as opiniões separadas dos juízes Rafâa Ben Achour e Angelo V. Matusse, com base no artigo 28(7) do Protocolo e na Regra 60(5) do Regulamento da Corte (Corte Africana dos Direitos Humanos e dos Povos, 2017, p. 9). Como essas opiniões não fazem parte do </w:t>
      </w:r>
      <w:r w:rsidR="00DD743F" w:rsidRPr="00DD743F">
        <w:rPr>
          <w:rFonts w:ascii="Times New Roman" w:hAnsi="Times New Roman" w:cs="Times New Roman"/>
        </w:rPr>
        <w:t xml:space="preserve">Parecer Consultivo </w:t>
      </w:r>
      <w:r w:rsidR="00C41DB6">
        <w:rPr>
          <w:rFonts w:ascii="Times New Roman" w:hAnsi="Times New Roman" w:cs="Times New Roman"/>
        </w:rPr>
        <w:t>n.º</w:t>
      </w:r>
      <w:r w:rsidR="00DD743F" w:rsidRPr="00DD743F">
        <w:rPr>
          <w:rFonts w:ascii="Times New Roman" w:hAnsi="Times New Roman" w:cs="Times New Roman"/>
        </w:rPr>
        <w:t xml:space="preserve"> 002/2016</w:t>
      </w:r>
      <w:r w:rsidR="0050128F">
        <w:rPr>
          <w:rFonts w:ascii="Times New Roman" w:hAnsi="Times New Roman" w:cs="Times New Roman"/>
        </w:rPr>
        <w:t xml:space="preserve"> analisado</w:t>
      </w:r>
      <w:r>
        <w:rPr>
          <w:rFonts w:ascii="Times New Roman" w:hAnsi="Times New Roman" w:cs="Times New Roman"/>
        </w:rPr>
        <w:t>, não trato do seu conteúdo neste capítulo.</w:t>
      </w:r>
    </w:p>
    <w:p w14:paraId="7849B821" w14:textId="141E7EAE"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Sobre mineração e direitos humanos, a Corte não </w:t>
      </w:r>
      <w:r w:rsidR="004E71AB">
        <w:rPr>
          <w:rFonts w:ascii="Times New Roman" w:hAnsi="Times New Roman" w:cs="Times New Roman"/>
        </w:rPr>
        <w:t>apresentou</w:t>
      </w:r>
      <w:r>
        <w:rPr>
          <w:rFonts w:ascii="Times New Roman" w:hAnsi="Times New Roman" w:cs="Times New Roman"/>
        </w:rPr>
        <w:t xml:space="preserve"> tese alguma. O caso </w:t>
      </w:r>
      <w:r w:rsidR="00772EBD">
        <w:rPr>
          <w:rFonts w:ascii="Times New Roman" w:hAnsi="Times New Roman" w:cs="Times New Roman"/>
        </w:rPr>
        <w:t xml:space="preserve">se tornou </w:t>
      </w:r>
      <w:r w:rsidR="0004549E">
        <w:rPr>
          <w:rFonts w:ascii="Times New Roman" w:hAnsi="Times New Roman" w:cs="Times New Roman"/>
        </w:rPr>
        <w:t>referência jurídica</w:t>
      </w:r>
      <w:r>
        <w:rPr>
          <w:rFonts w:ascii="Times New Roman" w:hAnsi="Times New Roman" w:cs="Times New Roman"/>
        </w:rPr>
        <w:t xml:space="preserve"> pelo modo restritivo como o tribunal aplicou as regras de acesso da sociedade civil à sua função consultiva e pela pergunta que ficou sem </w:t>
      </w:r>
      <w:r w:rsidR="00861F3C">
        <w:rPr>
          <w:rFonts w:ascii="Times New Roman" w:hAnsi="Times New Roman" w:cs="Times New Roman"/>
        </w:rPr>
        <w:t>resposta</w:t>
      </w:r>
      <w:r w:rsidR="00C41DB6">
        <w:rPr>
          <w:rFonts w:ascii="Times New Roman" w:hAnsi="Times New Roman" w:cs="Times New Roman"/>
        </w:rPr>
        <w:t>:</w:t>
      </w:r>
      <w:r w:rsidR="00861F3C">
        <w:rPr>
          <w:rFonts w:ascii="Times New Roman" w:hAnsi="Times New Roman" w:cs="Times New Roman"/>
        </w:rPr>
        <w:t xml:space="preserve"> que</w:t>
      </w:r>
      <w:r>
        <w:rPr>
          <w:rFonts w:ascii="Times New Roman" w:hAnsi="Times New Roman" w:cs="Times New Roman"/>
        </w:rPr>
        <w:t xml:space="preserve"> </w:t>
      </w:r>
      <w:r w:rsidR="00861F3C">
        <w:rPr>
          <w:rFonts w:ascii="Times New Roman" w:hAnsi="Times New Roman" w:cs="Times New Roman"/>
        </w:rPr>
        <w:t>garantias</w:t>
      </w:r>
      <w:r>
        <w:rPr>
          <w:rFonts w:ascii="Times New Roman" w:hAnsi="Times New Roman" w:cs="Times New Roman"/>
        </w:rPr>
        <w:t xml:space="preserve"> uma lei de mineração deve oferecer às comunidades que vivem em territórios disputados pela atividade extrativa? É uma pergunta que também se coloca no Brasil e no Maranhão, como </w:t>
      </w:r>
      <w:r w:rsidR="00861F3C">
        <w:rPr>
          <w:rFonts w:ascii="Times New Roman" w:hAnsi="Times New Roman" w:cs="Times New Roman"/>
        </w:rPr>
        <w:t xml:space="preserve">será </w:t>
      </w:r>
      <w:r w:rsidR="00C41DB6">
        <w:rPr>
          <w:rFonts w:ascii="Times New Roman" w:hAnsi="Times New Roman" w:cs="Times New Roman"/>
        </w:rPr>
        <w:t>discutido</w:t>
      </w:r>
      <w:r>
        <w:rPr>
          <w:rFonts w:ascii="Times New Roman" w:hAnsi="Times New Roman" w:cs="Times New Roman"/>
        </w:rPr>
        <w:t xml:space="preserve"> na última seção.</w:t>
      </w:r>
    </w:p>
    <w:p w14:paraId="3F29C0C0" w14:textId="77777777" w:rsidR="00095A4D" w:rsidRPr="006F2996" w:rsidRDefault="00095A4D" w:rsidP="006F2996">
      <w:pPr>
        <w:spacing w:after="0" w:line="360" w:lineRule="auto"/>
        <w:jc w:val="both"/>
        <w:rPr>
          <w:rFonts w:ascii="Times New Roman" w:hAnsi="Times New Roman" w:cs="Times New Roman"/>
        </w:rPr>
      </w:pPr>
    </w:p>
    <w:p w14:paraId="3FD45BD8" w14:textId="0EC27DA2" w:rsidR="00095A4D" w:rsidRDefault="001A3814" w:rsidP="0004549E">
      <w:pPr>
        <w:pStyle w:val="PargrafodaLista"/>
        <w:keepNext/>
        <w:numPr>
          <w:ilvl w:val="0"/>
          <w:numId w:val="1"/>
        </w:numPr>
        <w:tabs>
          <w:tab w:val="left" w:pos="284"/>
        </w:tabs>
        <w:spacing w:after="0" w:line="360" w:lineRule="auto"/>
        <w:ind w:left="0" w:firstLine="0"/>
        <w:jc w:val="both"/>
        <w:rPr>
          <w:rFonts w:ascii="Times New Roman" w:hAnsi="Times New Roman" w:cs="Times New Roman"/>
          <w:b/>
          <w:bCs/>
        </w:rPr>
      </w:pPr>
      <w:r>
        <w:rPr>
          <w:rFonts w:ascii="Times New Roman" w:hAnsi="Times New Roman" w:cs="Times New Roman"/>
          <w:b/>
          <w:bCs/>
        </w:rPr>
        <w:t>A</w:t>
      </w:r>
      <w:r>
        <w:rPr>
          <w:rFonts w:ascii="Times New Roman" w:hAnsi="Times New Roman" w:cs="Times New Roman"/>
          <w:b/>
          <w:bCs/>
        </w:rPr>
        <w:t xml:space="preserve">nálise da situação </w:t>
      </w:r>
      <w:r w:rsidR="00C41DB6">
        <w:rPr>
          <w:rFonts w:ascii="Times New Roman" w:hAnsi="Times New Roman" w:cs="Times New Roman"/>
          <w:b/>
          <w:bCs/>
        </w:rPr>
        <w:t>fática.</w:t>
      </w:r>
    </w:p>
    <w:p w14:paraId="50D43BFE" w14:textId="48BE99DC"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Antes de </w:t>
      </w:r>
      <w:r w:rsidR="00C55B5E">
        <w:rPr>
          <w:rFonts w:ascii="Times New Roman" w:hAnsi="Times New Roman" w:cs="Times New Roman"/>
        </w:rPr>
        <w:t>resgatar</w:t>
      </w:r>
      <w:r>
        <w:rPr>
          <w:rFonts w:ascii="Times New Roman" w:hAnsi="Times New Roman" w:cs="Times New Roman"/>
        </w:rPr>
        <w:t xml:space="preserve"> os fatos, é </w:t>
      </w:r>
      <w:r w:rsidR="0015683A">
        <w:rPr>
          <w:rFonts w:ascii="Times New Roman" w:hAnsi="Times New Roman" w:cs="Times New Roman"/>
        </w:rPr>
        <w:t>necessário</w:t>
      </w:r>
      <w:r>
        <w:rPr>
          <w:rFonts w:ascii="Times New Roman" w:hAnsi="Times New Roman" w:cs="Times New Roman"/>
        </w:rPr>
        <w:t xml:space="preserve"> fazer uma ressalva de método. Em procedimento consultivo, a Corte não </w:t>
      </w:r>
      <w:r w:rsidR="0015683A">
        <w:rPr>
          <w:rFonts w:ascii="Times New Roman" w:hAnsi="Times New Roman" w:cs="Times New Roman"/>
        </w:rPr>
        <w:t>examina os</w:t>
      </w:r>
      <w:r>
        <w:rPr>
          <w:rFonts w:ascii="Times New Roman" w:hAnsi="Times New Roman" w:cs="Times New Roman"/>
        </w:rPr>
        <w:t xml:space="preserve"> fatos</w:t>
      </w:r>
      <w:r w:rsidR="0015683A">
        <w:rPr>
          <w:rFonts w:ascii="Times New Roman" w:hAnsi="Times New Roman" w:cs="Times New Roman"/>
        </w:rPr>
        <w:t>,</w:t>
      </w:r>
      <w:r>
        <w:rPr>
          <w:rFonts w:ascii="Times New Roman" w:hAnsi="Times New Roman" w:cs="Times New Roman"/>
        </w:rPr>
        <w:t xml:space="preserve"> nem atribui responsabilidade a Estados ou empresas; os fatos narrados servem apenas para justificar a pergunta jurídica. Neste caso, como o tribunal nem sequer chegou a</w:t>
      </w:r>
      <w:r w:rsidR="00645BE1">
        <w:rPr>
          <w:rFonts w:ascii="Times New Roman" w:hAnsi="Times New Roman" w:cs="Times New Roman"/>
        </w:rPr>
        <w:t xml:space="preserve"> apreciar o</w:t>
      </w:r>
      <w:r>
        <w:rPr>
          <w:rFonts w:ascii="Times New Roman" w:hAnsi="Times New Roman" w:cs="Times New Roman"/>
        </w:rPr>
        <w:t xml:space="preserve"> mérito, tudo o que se sabe sobre os impactos da mineração vem das </w:t>
      </w:r>
      <w:r w:rsidR="004F2F7B">
        <w:rPr>
          <w:rFonts w:ascii="Times New Roman" w:hAnsi="Times New Roman" w:cs="Times New Roman"/>
        </w:rPr>
        <w:t>argumentações</w:t>
      </w:r>
      <w:r>
        <w:rPr>
          <w:rFonts w:ascii="Times New Roman" w:hAnsi="Times New Roman" w:cs="Times New Roman"/>
        </w:rPr>
        <w:t xml:space="preserve"> da requerente, na forma resumida pelo </w:t>
      </w:r>
      <w:r w:rsidR="004F2F7B">
        <w:rPr>
          <w:rFonts w:ascii="Times New Roman" w:hAnsi="Times New Roman" w:cs="Times New Roman"/>
        </w:rPr>
        <w:t xml:space="preserve">referido </w:t>
      </w:r>
      <w:r>
        <w:rPr>
          <w:rFonts w:ascii="Times New Roman" w:hAnsi="Times New Roman" w:cs="Times New Roman"/>
        </w:rPr>
        <w:t>parecer. Em nenhum momento a Corte se manifesta sobre a veracidade d</w:t>
      </w:r>
      <w:r w:rsidR="00907D74">
        <w:rPr>
          <w:rFonts w:ascii="Times New Roman" w:hAnsi="Times New Roman" w:cs="Times New Roman"/>
        </w:rPr>
        <w:t>as</w:t>
      </w:r>
      <w:r>
        <w:rPr>
          <w:rFonts w:ascii="Times New Roman" w:hAnsi="Times New Roman" w:cs="Times New Roman"/>
        </w:rPr>
        <w:t xml:space="preserve"> alegações (Corte Africana dos Direitos Humanos e dos Povos, 2017, p. 4-5, par. 17-22).</w:t>
      </w:r>
    </w:p>
    <w:p w14:paraId="4B15C131" w14:textId="656A9622" w:rsidR="00FC0B98" w:rsidRDefault="00F52D47">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Com isso</w:t>
      </w:r>
      <w:r w:rsidR="001A3814">
        <w:rPr>
          <w:rFonts w:ascii="Times New Roman" w:hAnsi="Times New Roman" w:cs="Times New Roman"/>
        </w:rPr>
        <w:t xml:space="preserve">, </w:t>
      </w:r>
      <w:r w:rsidR="005A696C">
        <w:rPr>
          <w:rFonts w:ascii="Times New Roman" w:hAnsi="Times New Roman" w:cs="Times New Roman"/>
        </w:rPr>
        <w:t xml:space="preserve">os </w:t>
      </w:r>
      <w:r>
        <w:rPr>
          <w:rFonts w:ascii="Times New Roman" w:hAnsi="Times New Roman" w:cs="Times New Roman"/>
        </w:rPr>
        <w:t>fatos podem</w:t>
      </w:r>
      <w:r w:rsidR="001A3814">
        <w:rPr>
          <w:rFonts w:ascii="Times New Roman" w:hAnsi="Times New Roman" w:cs="Times New Roman"/>
        </w:rPr>
        <w:t xml:space="preserve"> </w:t>
      </w:r>
      <w:r w:rsidR="00DF4FA8">
        <w:rPr>
          <w:rFonts w:ascii="Times New Roman" w:hAnsi="Times New Roman" w:cs="Times New Roman"/>
        </w:rPr>
        <w:t xml:space="preserve">ser </w:t>
      </w:r>
      <w:r w:rsidR="00AC6A81">
        <w:rPr>
          <w:rFonts w:ascii="Times New Roman" w:hAnsi="Times New Roman" w:cs="Times New Roman"/>
        </w:rPr>
        <w:t>lidos</w:t>
      </w:r>
      <w:r w:rsidR="00DF4FA8">
        <w:rPr>
          <w:rFonts w:ascii="Times New Roman" w:hAnsi="Times New Roman" w:cs="Times New Roman"/>
        </w:rPr>
        <w:t xml:space="preserve"> </w:t>
      </w:r>
      <w:r w:rsidR="00054E2A">
        <w:rPr>
          <w:rFonts w:ascii="Times New Roman" w:hAnsi="Times New Roman" w:cs="Times New Roman"/>
        </w:rPr>
        <w:t xml:space="preserve">de </w:t>
      </w:r>
      <w:r w:rsidR="001A3814">
        <w:rPr>
          <w:rFonts w:ascii="Times New Roman" w:hAnsi="Times New Roman" w:cs="Times New Roman"/>
        </w:rPr>
        <w:t xml:space="preserve">três </w:t>
      </w:r>
      <w:r w:rsidR="005A696C">
        <w:rPr>
          <w:rFonts w:ascii="Times New Roman" w:hAnsi="Times New Roman" w:cs="Times New Roman"/>
        </w:rPr>
        <w:t>formas</w:t>
      </w:r>
      <w:r w:rsidR="00AC6A81">
        <w:rPr>
          <w:rFonts w:ascii="Times New Roman" w:hAnsi="Times New Roman" w:cs="Times New Roman"/>
        </w:rPr>
        <w:t xml:space="preserve"> com </w:t>
      </w:r>
      <w:r w:rsidR="00C41DB6">
        <w:rPr>
          <w:rFonts w:ascii="Times New Roman" w:hAnsi="Times New Roman" w:cs="Times New Roman"/>
        </w:rPr>
        <w:t>o objetivo</w:t>
      </w:r>
      <w:r w:rsidR="00AC6A81">
        <w:rPr>
          <w:rFonts w:ascii="Times New Roman" w:hAnsi="Times New Roman" w:cs="Times New Roman"/>
        </w:rPr>
        <w:t xml:space="preserve"> de estabelecer </w:t>
      </w:r>
      <w:r w:rsidR="00291DC0">
        <w:rPr>
          <w:rFonts w:ascii="Times New Roman" w:hAnsi="Times New Roman" w:cs="Times New Roman"/>
        </w:rPr>
        <w:t>com clareza o nexo causal</w:t>
      </w:r>
      <w:r w:rsidR="006E3B89">
        <w:rPr>
          <w:rFonts w:ascii="Times New Roman" w:hAnsi="Times New Roman" w:cs="Times New Roman"/>
        </w:rPr>
        <w:t xml:space="preserve"> entre as evidências apresentadas</w:t>
      </w:r>
      <w:r w:rsidR="00053E5E">
        <w:rPr>
          <w:rFonts w:ascii="Times New Roman" w:hAnsi="Times New Roman" w:cs="Times New Roman"/>
        </w:rPr>
        <w:t xml:space="preserve"> e </w:t>
      </w:r>
      <w:r w:rsidR="00FC0B98">
        <w:rPr>
          <w:rFonts w:ascii="Times New Roman" w:hAnsi="Times New Roman" w:cs="Times New Roman"/>
        </w:rPr>
        <w:t>os impactos negativos</w:t>
      </w:r>
      <w:r w:rsidR="006E3B89">
        <w:rPr>
          <w:rFonts w:ascii="Times New Roman" w:hAnsi="Times New Roman" w:cs="Times New Roman"/>
        </w:rPr>
        <w:t xml:space="preserve"> e separar dados</w:t>
      </w:r>
      <w:r w:rsidR="00FE4450">
        <w:rPr>
          <w:rFonts w:ascii="Times New Roman" w:hAnsi="Times New Roman" w:cs="Times New Roman"/>
        </w:rPr>
        <w:t xml:space="preserve"> institucionais</w:t>
      </w:r>
      <w:r w:rsidR="006E3B89">
        <w:rPr>
          <w:rFonts w:ascii="Times New Roman" w:hAnsi="Times New Roman" w:cs="Times New Roman"/>
        </w:rPr>
        <w:t xml:space="preserve"> de inte</w:t>
      </w:r>
      <w:r w:rsidR="00FE4450">
        <w:rPr>
          <w:rFonts w:ascii="Times New Roman" w:hAnsi="Times New Roman" w:cs="Times New Roman"/>
        </w:rPr>
        <w:t>rpretação jurídica</w:t>
      </w:r>
      <w:r w:rsidR="001A3814">
        <w:rPr>
          <w:rFonts w:ascii="Times New Roman" w:hAnsi="Times New Roman" w:cs="Times New Roman"/>
        </w:rPr>
        <w:t>. A primeira</w:t>
      </w:r>
      <w:r w:rsidR="00FC0B98">
        <w:rPr>
          <w:rFonts w:ascii="Times New Roman" w:hAnsi="Times New Roman" w:cs="Times New Roman"/>
        </w:rPr>
        <w:t xml:space="preserve"> forma</w:t>
      </w:r>
      <w:r w:rsidR="001A3814">
        <w:rPr>
          <w:rFonts w:ascii="Times New Roman" w:hAnsi="Times New Roman" w:cs="Times New Roman"/>
        </w:rPr>
        <w:t xml:space="preserve"> é </w:t>
      </w:r>
      <w:r w:rsidR="001A3814">
        <w:rPr>
          <w:rFonts w:ascii="Times New Roman" w:hAnsi="Times New Roman" w:cs="Times New Roman"/>
        </w:rPr>
        <w:lastRenderedPageBreak/>
        <w:t>institucional. A ASADHO afirma ter participado, pela plataforma IANRA, de estudos de caso sobre os efeitos das indústrias extrativas em comunidades locais de cinco países africanos (Corte Africana dos Direitos Humanos e dos Povos, 2017, p. 2, par. 2).</w:t>
      </w:r>
    </w:p>
    <w:p w14:paraId="790E66E5" w14:textId="4F933F8D" w:rsidR="00095A4D" w:rsidRPr="002F5066" w:rsidRDefault="001A3814" w:rsidP="00FC0B98">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 Esses estudos teriam identificado vários impactos negativos da mineração que </w:t>
      </w:r>
      <w:r w:rsidR="00F52D47">
        <w:rPr>
          <w:rFonts w:ascii="Times New Roman" w:hAnsi="Times New Roman" w:cs="Times New Roman"/>
        </w:rPr>
        <w:t>corresponderiam a</w:t>
      </w:r>
      <w:r>
        <w:rPr>
          <w:rFonts w:ascii="Times New Roman" w:hAnsi="Times New Roman" w:cs="Times New Roman"/>
        </w:rPr>
        <w:t xml:space="preserve"> violações dos direitos fundamentais dos membros das comunidades afetadas, garantidos pela Carta Africana (Corte Africana dos Direitos Humanos e dos Povos, 2017, p. 2, par. 3</w:t>
      </w:r>
      <w:r w:rsidRPr="002F5066">
        <w:rPr>
          <w:rFonts w:ascii="Times New Roman" w:hAnsi="Times New Roman" w:cs="Times New Roman"/>
        </w:rPr>
        <w:t>)</w:t>
      </w:r>
      <w:r w:rsidRPr="005F5E49">
        <w:rPr>
          <w:rFonts w:ascii="Times New Roman" w:hAnsi="Times New Roman" w:cs="Times New Roman"/>
          <w:color w:val="EE0000"/>
        </w:rPr>
        <w:t xml:space="preserve">. </w:t>
      </w:r>
      <w:r w:rsidR="00FC0B98" w:rsidRPr="005F5E49">
        <w:rPr>
          <w:rFonts w:ascii="Times New Roman" w:hAnsi="Times New Roman" w:cs="Times New Roman"/>
          <w:color w:val="EE0000"/>
        </w:rPr>
        <w:t xml:space="preserve"> </w:t>
      </w:r>
      <w:r w:rsidRPr="002F5066">
        <w:rPr>
          <w:rFonts w:ascii="Times New Roman" w:hAnsi="Times New Roman" w:cs="Times New Roman"/>
        </w:rPr>
        <w:t xml:space="preserve">Foi nesse contexto que se </w:t>
      </w:r>
      <w:r w:rsidR="0082173C">
        <w:rPr>
          <w:rFonts w:ascii="Times New Roman" w:hAnsi="Times New Roman" w:cs="Times New Roman"/>
        </w:rPr>
        <w:t>elabo</w:t>
      </w:r>
      <w:r w:rsidR="0002369D">
        <w:rPr>
          <w:rFonts w:ascii="Times New Roman" w:hAnsi="Times New Roman" w:cs="Times New Roman"/>
        </w:rPr>
        <w:t>rou</w:t>
      </w:r>
      <w:r w:rsidRPr="002F5066">
        <w:rPr>
          <w:rFonts w:ascii="Times New Roman" w:hAnsi="Times New Roman" w:cs="Times New Roman"/>
        </w:rPr>
        <w:t xml:space="preserve"> </w:t>
      </w:r>
      <w:r w:rsidR="0002369D">
        <w:rPr>
          <w:rFonts w:ascii="Times New Roman" w:hAnsi="Times New Roman" w:cs="Times New Roman"/>
        </w:rPr>
        <w:t>o modelo de lei</w:t>
      </w:r>
      <w:r w:rsidRPr="002F5066">
        <w:rPr>
          <w:rFonts w:ascii="Times New Roman" w:hAnsi="Times New Roman" w:cs="Times New Roman"/>
        </w:rPr>
        <w:t xml:space="preserve">, que </w:t>
      </w:r>
      <w:r w:rsidR="002F5066" w:rsidRPr="002F5066">
        <w:rPr>
          <w:rFonts w:ascii="Times New Roman" w:hAnsi="Times New Roman" w:cs="Times New Roman"/>
        </w:rPr>
        <w:t>ASADHO</w:t>
      </w:r>
      <w:r w:rsidRPr="002F5066">
        <w:rPr>
          <w:rFonts w:ascii="Times New Roman" w:hAnsi="Times New Roman" w:cs="Times New Roman"/>
        </w:rPr>
        <w:t xml:space="preserve"> pretendia</w:t>
      </w:r>
      <w:r w:rsidRPr="002F5066">
        <w:rPr>
          <w:rFonts w:ascii="Times New Roman" w:hAnsi="Times New Roman" w:cs="Times New Roman"/>
        </w:rPr>
        <w:t xml:space="preserve"> apresentar aos Estados-membros da União Africana para </w:t>
      </w:r>
      <w:r w:rsidRPr="002F5066">
        <w:rPr>
          <w:rFonts w:ascii="Times New Roman" w:hAnsi="Times New Roman" w:cs="Times New Roman"/>
        </w:rPr>
        <w:t>harmonizar</w:t>
      </w:r>
      <w:r w:rsidRPr="002F5066">
        <w:rPr>
          <w:rFonts w:ascii="Times New Roman" w:hAnsi="Times New Roman" w:cs="Times New Roman"/>
        </w:rPr>
        <w:t xml:space="preserve"> as legislações minerárias e reforçar a proteção das comunidades afetadas (Corte Africana dos Direitos Humanos e dos Povos, 2017, p. 2, par. 4).</w:t>
      </w:r>
    </w:p>
    <w:p w14:paraId="454C41AE" w14:textId="77777777" w:rsidR="00040EBC"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A segunda </w:t>
      </w:r>
      <w:r w:rsidR="00514421">
        <w:rPr>
          <w:rFonts w:ascii="Times New Roman" w:hAnsi="Times New Roman" w:cs="Times New Roman"/>
        </w:rPr>
        <w:t>forma</w:t>
      </w:r>
      <w:r>
        <w:rPr>
          <w:rFonts w:ascii="Times New Roman" w:hAnsi="Times New Roman" w:cs="Times New Roman"/>
        </w:rPr>
        <w:t xml:space="preserve"> é empírica e gira em torno da Ruashi Mining PLC. No documento de implementação da lei-modelo, a requerente relatou que a empresa “não gerou </w:t>
      </w:r>
      <w:r w:rsidR="00FC0B98">
        <w:rPr>
          <w:rFonts w:ascii="Times New Roman" w:hAnsi="Times New Roman" w:cs="Times New Roman"/>
        </w:rPr>
        <w:t>empregos</w:t>
      </w:r>
      <w:r>
        <w:rPr>
          <w:rFonts w:ascii="Times New Roman" w:hAnsi="Times New Roman" w:cs="Times New Roman"/>
        </w:rPr>
        <w:t xml:space="preserve"> para a população (habitantes) da comuna de Ruashi</w:t>
      </w:r>
      <w:r>
        <w:rPr>
          <w:rFonts w:ascii="Times New Roman" w:hAnsi="Times New Roman" w:cs="Times New Roman"/>
        </w:rPr>
        <w:t>”</w:t>
      </w:r>
      <w:r>
        <w:rPr>
          <w:rFonts w:ascii="Times New Roman" w:hAnsi="Times New Roman" w:cs="Times New Roman"/>
        </w:rPr>
        <w:t xml:space="preserve">, o que teria levado a “banditismo urbano, aumento da pobreza da população da comuna, insegurança, aumento de roubos, prostituição e evasão escolar de crianças”, esta última </w:t>
      </w:r>
      <w:r w:rsidR="007213D1">
        <w:rPr>
          <w:rFonts w:ascii="Times New Roman" w:hAnsi="Times New Roman" w:cs="Times New Roman"/>
        </w:rPr>
        <w:t>relacionada</w:t>
      </w:r>
      <w:r>
        <w:rPr>
          <w:rFonts w:ascii="Times New Roman" w:hAnsi="Times New Roman" w:cs="Times New Roman"/>
        </w:rPr>
        <w:t xml:space="preserve"> ao alto custo dos estudos para a maior parte da população (Corte Africana dos Direitos Humanos e dos Povos, 2017, p. 4-5, par. 19, tradução nossa). Alegou ainda que a realocação da população ocorreu “sem que a empresa Ruashi Mining consultasse os serviços especializados da administração municipal”, como exigiriam os procedimentos aplicáveis (Corte Africana dos Direitos Humanos e dos Povos, 2017, p. 5, par. 20, tradução nossa). </w:t>
      </w:r>
    </w:p>
    <w:p w14:paraId="388E6769" w14:textId="614FB65A"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A partir desses elementos, a ASADHO defendeu </w:t>
      </w:r>
      <w:r w:rsidR="00040EBC">
        <w:rPr>
          <w:rFonts w:ascii="Times New Roman" w:hAnsi="Times New Roman" w:cs="Times New Roman"/>
        </w:rPr>
        <w:t>existir</w:t>
      </w:r>
      <w:r>
        <w:rPr>
          <w:rFonts w:ascii="Times New Roman" w:hAnsi="Times New Roman" w:cs="Times New Roman"/>
        </w:rPr>
        <w:t xml:space="preserve"> um nexo entre os impactos negativos da mineração e os direitos humanos protegidos pela Carta (Corte Africana dos Direitos Humanos e dos Povos, 2017, p. 5, par. 21).</w:t>
      </w:r>
    </w:p>
    <w:p w14:paraId="4A2209AD" w14:textId="784A87E9" w:rsidR="00095A4D" w:rsidRDefault="00827E6B">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Nesse aspecto, convém d</w:t>
      </w:r>
      <w:r w:rsidR="001A3814">
        <w:rPr>
          <w:rFonts w:ascii="Times New Roman" w:hAnsi="Times New Roman" w:cs="Times New Roman"/>
        </w:rPr>
        <w:t>istinguir, nesses relatos, três tipos de dano. O primeiro é socioeconômico</w:t>
      </w:r>
      <w:r w:rsidR="00C41DB6">
        <w:rPr>
          <w:rFonts w:ascii="Times New Roman" w:hAnsi="Times New Roman" w:cs="Times New Roman"/>
        </w:rPr>
        <w:t>:</w:t>
      </w:r>
      <w:r w:rsidR="001A3814">
        <w:rPr>
          <w:rFonts w:ascii="Times New Roman" w:hAnsi="Times New Roman" w:cs="Times New Roman"/>
        </w:rPr>
        <w:t xml:space="preserve"> sem empregos locais e com o aumento da pobreza, a comunidade </w:t>
      </w:r>
      <w:r w:rsidR="00633CA5">
        <w:rPr>
          <w:rFonts w:ascii="Times New Roman" w:hAnsi="Times New Roman" w:cs="Times New Roman"/>
        </w:rPr>
        <w:t>sofre</w:t>
      </w:r>
      <w:r w:rsidR="001A3814">
        <w:rPr>
          <w:rFonts w:ascii="Times New Roman" w:hAnsi="Times New Roman" w:cs="Times New Roman"/>
        </w:rPr>
        <w:t xml:space="preserve"> com os custos do empreendimento sem participar de seus benefícios. O segundo é territorial e </w:t>
      </w:r>
      <w:r w:rsidR="00633CA5">
        <w:rPr>
          <w:rFonts w:ascii="Times New Roman" w:hAnsi="Times New Roman" w:cs="Times New Roman"/>
        </w:rPr>
        <w:t>refere-se</w:t>
      </w:r>
      <w:r w:rsidR="001A3814">
        <w:rPr>
          <w:rFonts w:ascii="Times New Roman" w:hAnsi="Times New Roman" w:cs="Times New Roman"/>
        </w:rPr>
        <w:t xml:space="preserve"> ao deslocamento da população. O terceiro diz respeito à forma como esse deslocamento </w:t>
      </w:r>
      <w:r w:rsidR="00633CA5">
        <w:rPr>
          <w:rFonts w:ascii="Times New Roman" w:hAnsi="Times New Roman" w:cs="Times New Roman"/>
        </w:rPr>
        <w:t>se deu</w:t>
      </w:r>
      <w:r w:rsidR="001A3814">
        <w:rPr>
          <w:rFonts w:ascii="Times New Roman" w:hAnsi="Times New Roman" w:cs="Times New Roman"/>
        </w:rPr>
        <w:t>, à margem dos procedimentos administrativos. A eles se somam</w:t>
      </w:r>
      <w:r w:rsidR="00BA651C">
        <w:rPr>
          <w:rFonts w:ascii="Times New Roman" w:hAnsi="Times New Roman" w:cs="Times New Roman"/>
        </w:rPr>
        <w:t xml:space="preserve"> outros</w:t>
      </w:r>
      <w:r w:rsidR="001A3814">
        <w:rPr>
          <w:rFonts w:ascii="Times New Roman" w:hAnsi="Times New Roman" w:cs="Times New Roman"/>
        </w:rPr>
        <w:t xml:space="preserve"> efeitos sociais</w:t>
      </w:r>
      <w:r w:rsidR="001A3814">
        <w:rPr>
          <w:rFonts w:ascii="Times New Roman" w:hAnsi="Times New Roman" w:cs="Times New Roman"/>
        </w:rPr>
        <w:t xml:space="preserve">, como insegurança, prostituição e evasão escolar, que recaem sobre grupos vulneráveis, sobretudo crianças. A classificação </w:t>
      </w:r>
      <w:r w:rsidR="0054298C">
        <w:rPr>
          <w:rFonts w:ascii="Times New Roman" w:hAnsi="Times New Roman" w:cs="Times New Roman"/>
        </w:rPr>
        <w:t xml:space="preserve">dos fatos, </w:t>
      </w:r>
      <w:r w:rsidR="001A3814">
        <w:rPr>
          <w:rFonts w:ascii="Times New Roman" w:hAnsi="Times New Roman" w:cs="Times New Roman"/>
        </w:rPr>
        <w:t>feita a partir das alegações resumidas no parecer</w:t>
      </w:r>
      <w:r w:rsidR="00C41DB6">
        <w:rPr>
          <w:rFonts w:ascii="Times New Roman" w:hAnsi="Times New Roman" w:cs="Times New Roman"/>
        </w:rPr>
        <w:t>,</w:t>
      </w:r>
      <w:r w:rsidR="001A3814">
        <w:rPr>
          <w:rFonts w:ascii="Times New Roman" w:hAnsi="Times New Roman" w:cs="Times New Roman"/>
        </w:rPr>
        <w:t xml:space="preserve"> </w:t>
      </w:r>
      <w:r w:rsidR="00B17C03">
        <w:rPr>
          <w:rFonts w:ascii="Times New Roman" w:hAnsi="Times New Roman" w:cs="Times New Roman"/>
        </w:rPr>
        <w:t xml:space="preserve">não </w:t>
      </w:r>
      <w:r w:rsidR="00C41DB6">
        <w:rPr>
          <w:rFonts w:ascii="Times New Roman" w:hAnsi="Times New Roman" w:cs="Times New Roman"/>
        </w:rPr>
        <w:t>foi reconhecida</w:t>
      </w:r>
      <w:r w:rsidR="00B17C03">
        <w:rPr>
          <w:rFonts w:ascii="Times New Roman" w:hAnsi="Times New Roman" w:cs="Times New Roman"/>
        </w:rPr>
        <w:t xml:space="preserve"> pela</w:t>
      </w:r>
      <w:r w:rsidR="001A3814">
        <w:rPr>
          <w:rFonts w:ascii="Times New Roman" w:hAnsi="Times New Roman" w:cs="Times New Roman"/>
        </w:rPr>
        <w:t xml:space="preserve"> Corte</w:t>
      </w:r>
      <w:r w:rsidR="001A3814">
        <w:rPr>
          <w:rFonts w:ascii="Times New Roman" w:hAnsi="Times New Roman" w:cs="Times New Roman"/>
        </w:rPr>
        <w:t>.</w:t>
      </w:r>
    </w:p>
    <w:p w14:paraId="16DA0638" w14:textId="6E6FF5DA"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A </w:t>
      </w:r>
      <w:r w:rsidR="0067643E">
        <w:rPr>
          <w:rFonts w:ascii="Times New Roman" w:hAnsi="Times New Roman" w:cs="Times New Roman"/>
        </w:rPr>
        <w:t>reclamação</w:t>
      </w:r>
      <w:r>
        <w:rPr>
          <w:rFonts w:ascii="Times New Roman" w:hAnsi="Times New Roman" w:cs="Times New Roman"/>
        </w:rPr>
        <w:t xml:space="preserve"> sobre a realocação, tal como o parecer a resume, tem um alvo </w:t>
      </w:r>
      <w:r w:rsidR="00C41DB6">
        <w:rPr>
          <w:rFonts w:ascii="Times New Roman" w:hAnsi="Times New Roman" w:cs="Times New Roman"/>
        </w:rPr>
        <w:t>específico</w:t>
      </w:r>
      <w:r>
        <w:rPr>
          <w:rFonts w:ascii="Times New Roman" w:hAnsi="Times New Roman" w:cs="Times New Roman"/>
        </w:rPr>
        <w:t xml:space="preserve">: a falta de consulta aos serviços especializados da administração municipal, e </w:t>
      </w:r>
      <w:r>
        <w:rPr>
          <w:rFonts w:ascii="Times New Roman" w:hAnsi="Times New Roman" w:cs="Times New Roman"/>
        </w:rPr>
        <w:lastRenderedPageBreak/>
        <w:t xml:space="preserve">não à falta de consulta à própria comunidade deslocada. O documento não diz se a comunidade foi ouvida, </w:t>
      </w:r>
      <w:r>
        <w:rPr>
          <w:rFonts w:ascii="Times New Roman" w:hAnsi="Times New Roman" w:cs="Times New Roman"/>
        </w:rPr>
        <w:t>porque, como se verá adiante, as normas mais exigentes sobre deslocamento de comunidades tradicionais se preocupam menos com a regularidade burocrática e mais com a participação e o consentimento de quem é afetado.</w:t>
      </w:r>
    </w:p>
    <w:p w14:paraId="4D5A6C44" w14:textId="77777777" w:rsidR="00EC5BC1"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A terceira </w:t>
      </w:r>
      <w:r w:rsidR="00C41DB6">
        <w:rPr>
          <w:rFonts w:ascii="Times New Roman" w:hAnsi="Times New Roman" w:cs="Times New Roman"/>
        </w:rPr>
        <w:t>forma</w:t>
      </w:r>
      <w:r>
        <w:rPr>
          <w:rFonts w:ascii="Times New Roman" w:hAnsi="Times New Roman" w:cs="Times New Roman"/>
        </w:rPr>
        <w:t xml:space="preserve"> é a da própria lei-modelo, que o parecer quase não descreve. Ele não reproduz o texto do projeto nem seus dispositivos; informa apenas o título, a finalidade de harmonização legislativa e o fato de que o documento de implementação foi elaborado exclusivamente para a requerente, com apoio financeiro da União Europeia (Corte Africana dos Direitos Humanos e dos Povos, 2017, p. 4, nota 1). </w:t>
      </w:r>
    </w:p>
    <w:p w14:paraId="452D5A0D" w14:textId="369D588A"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Segundo a ASADHO, a lei-modelo não se limitava à República Democrática do Congo e alcançava comunidades de outros países, como Angola, Quênia, África do Sul e Zimbábue, que teriam participado dos estudos (Corte Africana dos Direitos Humanos e dos Povos, 2017, p. 4, par. 18). O parecer grafa a sigla da plataforma de duas formas, IANRA e IARNA (Corte Africana dos Direitos Humanos e dos Povos, 2017, p. 2, par. 2; p. 4, par. 18), deslize de redação que não compromete a compreensão do caso.</w:t>
      </w:r>
    </w:p>
    <w:p w14:paraId="068F6D93" w14:textId="77777777" w:rsidR="001472D1"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Foi a</w:t>
      </w:r>
      <w:r w:rsidR="002A2802">
        <w:rPr>
          <w:rFonts w:ascii="Times New Roman" w:hAnsi="Times New Roman" w:cs="Times New Roman"/>
        </w:rPr>
        <w:t xml:space="preserve"> forma</w:t>
      </w:r>
      <w:r w:rsidR="00D56737">
        <w:rPr>
          <w:rFonts w:ascii="Times New Roman" w:hAnsi="Times New Roman" w:cs="Times New Roman"/>
        </w:rPr>
        <w:t>,</w:t>
      </w:r>
      <w:r>
        <w:rPr>
          <w:rFonts w:ascii="Times New Roman" w:hAnsi="Times New Roman" w:cs="Times New Roman"/>
        </w:rPr>
        <w:t xml:space="preserve"> parte procedimental </w:t>
      </w:r>
      <w:r w:rsidR="00D56737">
        <w:rPr>
          <w:rFonts w:ascii="Times New Roman" w:hAnsi="Times New Roman" w:cs="Times New Roman"/>
        </w:rPr>
        <w:t>de admissibilidade</w:t>
      </w:r>
      <w:r w:rsidR="001472D1">
        <w:rPr>
          <w:rFonts w:ascii="Times New Roman" w:hAnsi="Times New Roman" w:cs="Times New Roman"/>
        </w:rPr>
        <w:t xml:space="preserve"> e jurisdição, que</w:t>
      </w:r>
      <w:r>
        <w:rPr>
          <w:rFonts w:ascii="Times New Roman" w:hAnsi="Times New Roman" w:cs="Times New Roman"/>
        </w:rPr>
        <w:t xml:space="preserve"> acabou decidindo o caso. Recebido o pedido, a Secretaria enviou carta à Comissão Africana em 12 de agosto de 2016, perguntando se a requerente tinha estatuto de observador perante aquele órgão e se o objeto do pedido dizia respeito a algum assunto ali pendente (Corte Africana dos Direitos Humanos e dos Povos, 2017, p. 2, par. 7).</w:t>
      </w:r>
    </w:p>
    <w:p w14:paraId="77E4780A" w14:textId="3D4476D4"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 Em 16 de setembro de 2016, por correio eletrônico, a Comissão respondeu que a requerente não tinha estatuto de observador, mas nada disse sobre a pendência de assunto idêntico (Corte Africana dos Direitos Humanos e dos Povos, 2017, p. 2, par. 8). Em 8 de dezembro de 2016, por instrução da Corte, que realizava sua 43ª Sessão Ordinária entre 31 de outubro e 18 de novembro daquele ano, a Secretaria pediu à requerente documentos que esclarecessem o pedido. Em 7 de março de 2017, a ASADHO apresentou documentos </w:t>
      </w:r>
      <w:r>
        <w:rPr>
          <w:rFonts w:ascii="Times New Roman" w:hAnsi="Times New Roman" w:cs="Times New Roman"/>
        </w:rPr>
        <w:t>que comprovariam sua participação nos estudos que deram origem à lei-modelo (Corte Africana dos Direitos Humanos e dos Povos, 2017, p. 3, par. 9-10).</w:t>
      </w:r>
    </w:p>
    <w:p w14:paraId="26769641" w14:textId="77777777" w:rsidR="003B592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O parecer não enfrenta de forma </w:t>
      </w:r>
      <w:r w:rsidR="005C73F3">
        <w:rPr>
          <w:rFonts w:ascii="Times New Roman" w:hAnsi="Times New Roman" w:cs="Times New Roman"/>
        </w:rPr>
        <w:t>explicita uma</w:t>
      </w:r>
      <w:r>
        <w:rPr>
          <w:rFonts w:ascii="Times New Roman" w:hAnsi="Times New Roman" w:cs="Times New Roman"/>
        </w:rPr>
        <w:t xml:space="preserve"> contradição desse histórico. A requerente disse ter estatuto de observador perante a Comissão Africana e </w:t>
      </w:r>
      <w:r w:rsidR="005C73F3">
        <w:rPr>
          <w:rFonts w:ascii="Times New Roman" w:hAnsi="Times New Roman" w:cs="Times New Roman"/>
        </w:rPr>
        <w:t>justificou daí</w:t>
      </w:r>
      <w:r>
        <w:rPr>
          <w:rFonts w:ascii="Times New Roman" w:hAnsi="Times New Roman" w:cs="Times New Roman"/>
        </w:rPr>
        <w:t xml:space="preserve"> sua condição de organização africana legitimada a pedir pareceres (Corte Africana dos Direitos Humanos e dos Povos, 2017, p. 4, par. 16; p. 5, par. 22). A Comissão informou que </w:t>
      </w:r>
      <w:r w:rsidR="00D5628B">
        <w:rPr>
          <w:rFonts w:ascii="Times New Roman" w:hAnsi="Times New Roman" w:cs="Times New Roman"/>
        </w:rPr>
        <w:t>a or</w:t>
      </w:r>
      <w:r w:rsidR="001F7CEB">
        <w:rPr>
          <w:rFonts w:ascii="Times New Roman" w:hAnsi="Times New Roman" w:cs="Times New Roman"/>
        </w:rPr>
        <w:t xml:space="preserve">ganização não conseguiu provar </w:t>
      </w:r>
      <w:r w:rsidR="0085126A">
        <w:rPr>
          <w:rFonts w:ascii="Times New Roman" w:hAnsi="Times New Roman" w:cs="Times New Roman"/>
        </w:rPr>
        <w:t>esse</w:t>
      </w:r>
      <w:r w:rsidR="001F7CEB">
        <w:rPr>
          <w:rFonts w:ascii="Times New Roman" w:hAnsi="Times New Roman" w:cs="Times New Roman"/>
        </w:rPr>
        <w:t xml:space="preserve"> </w:t>
      </w:r>
      <w:r w:rsidR="00D53BC2">
        <w:rPr>
          <w:rFonts w:ascii="Times New Roman" w:hAnsi="Times New Roman" w:cs="Times New Roman"/>
        </w:rPr>
        <w:t>e</w:t>
      </w:r>
      <w:r w:rsidR="001F7CEB">
        <w:rPr>
          <w:rFonts w:ascii="Times New Roman" w:hAnsi="Times New Roman" w:cs="Times New Roman"/>
        </w:rPr>
        <w:t xml:space="preserve">statuto </w:t>
      </w:r>
      <w:r>
        <w:rPr>
          <w:rFonts w:ascii="Times New Roman" w:hAnsi="Times New Roman" w:cs="Times New Roman"/>
        </w:rPr>
        <w:t xml:space="preserve">(Corte Africana dos Direitos Humanos e dos Povos, 2017, p. 2, par. 8). </w:t>
      </w:r>
    </w:p>
    <w:p w14:paraId="12DE173D" w14:textId="01BB7F58"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lastRenderedPageBreak/>
        <w:t xml:space="preserve">A Corte não se ocupou da divergência porque, ainda que o estatuto existisse, </w:t>
      </w:r>
      <w:r>
        <w:rPr>
          <w:rFonts w:ascii="Times New Roman" w:hAnsi="Times New Roman" w:cs="Times New Roman"/>
        </w:rPr>
        <w:t>não seria suficiente</w:t>
      </w:r>
      <w:r w:rsidR="003B592D">
        <w:rPr>
          <w:rFonts w:ascii="Times New Roman" w:hAnsi="Times New Roman" w:cs="Times New Roman"/>
        </w:rPr>
        <w:t>, pois,</w:t>
      </w:r>
      <w:r>
        <w:rPr>
          <w:rFonts w:ascii="Times New Roman" w:hAnsi="Times New Roman" w:cs="Times New Roman"/>
        </w:rPr>
        <w:t xml:space="preserve"> para o tribunal</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 xml:space="preserve">ser </w:t>
      </w:r>
      <w:r>
        <w:rPr>
          <w:rFonts w:ascii="Times New Roman" w:hAnsi="Times New Roman" w:cs="Times New Roman"/>
        </w:rPr>
        <w:t xml:space="preserve">observador perante um órgão da União Africana </w:t>
      </w:r>
      <w:r>
        <w:rPr>
          <w:rFonts w:ascii="Times New Roman" w:hAnsi="Times New Roman" w:cs="Times New Roman"/>
        </w:rPr>
        <w:t>não equivale a ser reconhecido pela própria União</w:t>
      </w:r>
      <w:r w:rsidR="003B592D">
        <w:rPr>
          <w:rFonts w:ascii="Times New Roman" w:hAnsi="Times New Roman" w:cs="Times New Roman"/>
        </w:rPr>
        <w:t xml:space="preserve"> A</w:t>
      </w:r>
      <w:r w:rsidR="00015E55">
        <w:rPr>
          <w:rFonts w:ascii="Times New Roman" w:hAnsi="Times New Roman" w:cs="Times New Roman"/>
        </w:rPr>
        <w:t>fricana</w:t>
      </w:r>
      <w:r>
        <w:rPr>
          <w:rFonts w:ascii="Times New Roman" w:hAnsi="Times New Roman" w:cs="Times New Roman"/>
        </w:rPr>
        <w:t xml:space="preserve"> </w:t>
      </w:r>
      <w:r>
        <w:rPr>
          <w:rFonts w:ascii="Times New Roman" w:hAnsi="Times New Roman" w:cs="Times New Roman"/>
        </w:rPr>
        <w:t xml:space="preserve">(Corte Africana dos Direitos Humanos e dos Povos, 2017, p. 7, par. 32). A divergência perdeu </w:t>
      </w:r>
      <w:r w:rsidR="00015E55">
        <w:rPr>
          <w:rFonts w:ascii="Times New Roman" w:hAnsi="Times New Roman" w:cs="Times New Roman"/>
        </w:rPr>
        <w:t>importância</w:t>
      </w:r>
      <w:r>
        <w:rPr>
          <w:rFonts w:ascii="Times New Roman" w:hAnsi="Times New Roman" w:cs="Times New Roman"/>
        </w:rPr>
        <w:t xml:space="preserve"> para o resultado, mas sugere que o pedido foi mal instruído.</w:t>
      </w:r>
    </w:p>
    <w:p w14:paraId="5A5258CA" w14:textId="77777777" w:rsidR="001F28EC"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Há no caso um</w:t>
      </w:r>
      <w:r w:rsidR="003008D0">
        <w:rPr>
          <w:rFonts w:ascii="Times New Roman" w:hAnsi="Times New Roman" w:cs="Times New Roman"/>
        </w:rPr>
        <w:t xml:space="preserve">a disparidade </w:t>
      </w:r>
      <w:r>
        <w:rPr>
          <w:rFonts w:ascii="Times New Roman" w:hAnsi="Times New Roman" w:cs="Times New Roman"/>
        </w:rPr>
        <w:t xml:space="preserve">entre a gravidade dos danos alegados e o instrumento escolhido. A ASADHO </w:t>
      </w:r>
      <w:r w:rsidR="00BF1D60">
        <w:rPr>
          <w:rFonts w:ascii="Times New Roman" w:hAnsi="Times New Roman" w:cs="Times New Roman"/>
        </w:rPr>
        <w:t>descreveu</w:t>
      </w:r>
      <w:r>
        <w:rPr>
          <w:rFonts w:ascii="Times New Roman" w:hAnsi="Times New Roman" w:cs="Times New Roman"/>
        </w:rPr>
        <w:t xml:space="preserve"> violações concretas, situadas num lugar e atribuídas a uma empresa determinada, mas não pediu que a Corte as examinasse. Pediu que o tribunal atestasse a compatibilidade com a Carta Africana de um texto normativo que nenhum Estado havia adotado. </w:t>
      </w:r>
    </w:p>
    <w:p w14:paraId="6D2E3F85" w14:textId="7D209E87" w:rsidR="00095A4D" w:rsidRDefault="001A3814" w:rsidP="00E25751">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O caso Ruashi </w:t>
      </w:r>
      <w:r w:rsidR="00EA307F">
        <w:rPr>
          <w:rFonts w:ascii="Times New Roman" w:hAnsi="Times New Roman" w:cs="Times New Roman"/>
        </w:rPr>
        <w:t xml:space="preserve">consolidou-se como </w:t>
      </w:r>
      <w:r w:rsidR="002740C4">
        <w:rPr>
          <w:rFonts w:ascii="Times New Roman" w:hAnsi="Times New Roman" w:cs="Times New Roman"/>
        </w:rPr>
        <w:t xml:space="preserve">uma decisão racional </w:t>
      </w:r>
      <w:r w:rsidR="008D6222">
        <w:rPr>
          <w:rFonts w:ascii="Times New Roman" w:hAnsi="Times New Roman" w:cs="Times New Roman"/>
        </w:rPr>
        <w:t>normativa</w:t>
      </w:r>
      <w:r>
        <w:rPr>
          <w:rFonts w:ascii="Times New Roman" w:hAnsi="Times New Roman" w:cs="Times New Roman"/>
        </w:rPr>
        <w:t xml:space="preserve"> da necessidade da lei-modelo,</w:t>
      </w:r>
      <w:r w:rsidR="00E64B69">
        <w:rPr>
          <w:rFonts w:ascii="Times New Roman" w:hAnsi="Times New Roman" w:cs="Times New Roman"/>
        </w:rPr>
        <w:t xml:space="preserve"> não como uma premissa fática de violações </w:t>
      </w:r>
      <w:r w:rsidR="00BB40CB">
        <w:rPr>
          <w:rFonts w:ascii="Times New Roman" w:hAnsi="Times New Roman" w:cs="Times New Roman"/>
        </w:rPr>
        <w:t>aos direitos das comunidades locais.</w:t>
      </w:r>
      <w:r>
        <w:rPr>
          <w:rFonts w:ascii="Times New Roman" w:hAnsi="Times New Roman" w:cs="Times New Roman"/>
        </w:rPr>
        <w:t xml:space="preserve"> </w:t>
      </w:r>
      <w:r w:rsidR="00E45AFB">
        <w:rPr>
          <w:rFonts w:ascii="Times New Roman" w:hAnsi="Times New Roman" w:cs="Times New Roman"/>
        </w:rPr>
        <w:t>Nesse sentido</w:t>
      </w:r>
      <w:r>
        <w:rPr>
          <w:rFonts w:ascii="Times New Roman" w:hAnsi="Times New Roman" w:cs="Times New Roman"/>
        </w:rPr>
        <w:t xml:space="preserve">, </w:t>
      </w:r>
      <w:r w:rsidR="002801FC">
        <w:rPr>
          <w:rFonts w:ascii="Times New Roman" w:hAnsi="Times New Roman" w:cs="Times New Roman"/>
        </w:rPr>
        <w:t xml:space="preserve">o fato </w:t>
      </w:r>
      <w:r w:rsidR="00E25751">
        <w:rPr>
          <w:rFonts w:ascii="Times New Roman" w:hAnsi="Times New Roman" w:cs="Times New Roman"/>
        </w:rPr>
        <w:t>de o</w:t>
      </w:r>
      <w:r w:rsidR="002801FC">
        <w:rPr>
          <w:rFonts w:ascii="Times New Roman" w:hAnsi="Times New Roman" w:cs="Times New Roman"/>
        </w:rPr>
        <w:t xml:space="preserve"> tribunal ter barrado o pedido, </w:t>
      </w:r>
      <w:r w:rsidR="00E25751">
        <w:rPr>
          <w:rFonts w:ascii="Times New Roman" w:hAnsi="Times New Roman" w:cs="Times New Roman"/>
        </w:rPr>
        <w:t xml:space="preserve">com base em </w:t>
      </w:r>
      <w:r w:rsidR="00E25751">
        <w:rPr>
          <w:rFonts w:ascii="Times New Roman" w:hAnsi="Times New Roman" w:cs="Times New Roman"/>
        </w:rPr>
        <w:t>um filtro de legitimidade que a requerente não conseguiu ultrapassar</w:t>
      </w:r>
      <w:r w:rsidR="00E25751">
        <w:rPr>
          <w:rFonts w:ascii="Times New Roman" w:hAnsi="Times New Roman" w:cs="Times New Roman"/>
        </w:rPr>
        <w:t xml:space="preserve">, </w:t>
      </w:r>
      <w:r w:rsidR="00802776">
        <w:rPr>
          <w:rFonts w:ascii="Times New Roman" w:hAnsi="Times New Roman" w:cs="Times New Roman"/>
        </w:rPr>
        <w:t xml:space="preserve">impediu </w:t>
      </w:r>
      <w:r w:rsidR="006B0A88">
        <w:rPr>
          <w:rFonts w:ascii="Times New Roman" w:hAnsi="Times New Roman" w:cs="Times New Roman"/>
        </w:rPr>
        <w:t xml:space="preserve">a </w:t>
      </w:r>
      <w:r w:rsidR="00802776">
        <w:rPr>
          <w:rFonts w:ascii="Times New Roman" w:hAnsi="Times New Roman" w:cs="Times New Roman"/>
        </w:rPr>
        <w:t>análise jurídica</w:t>
      </w:r>
      <w:r>
        <w:rPr>
          <w:rFonts w:ascii="Times New Roman" w:hAnsi="Times New Roman" w:cs="Times New Roman"/>
        </w:rPr>
        <w:t xml:space="preserve"> </w:t>
      </w:r>
      <w:r w:rsidR="00802776">
        <w:rPr>
          <w:rFonts w:ascii="Times New Roman" w:hAnsi="Times New Roman" w:cs="Times New Roman"/>
        </w:rPr>
        <w:t>d</w:t>
      </w:r>
      <w:r>
        <w:rPr>
          <w:rFonts w:ascii="Times New Roman" w:hAnsi="Times New Roman" w:cs="Times New Roman"/>
        </w:rPr>
        <w:t xml:space="preserve">o projeto </w:t>
      </w:r>
      <w:r w:rsidR="00802776">
        <w:rPr>
          <w:rFonts w:ascii="Times New Roman" w:hAnsi="Times New Roman" w:cs="Times New Roman"/>
        </w:rPr>
        <w:t>que</w:t>
      </w:r>
      <w:r>
        <w:rPr>
          <w:rFonts w:ascii="Times New Roman" w:hAnsi="Times New Roman" w:cs="Times New Roman"/>
        </w:rPr>
        <w:t xml:space="preserve"> </w:t>
      </w:r>
      <w:r w:rsidR="006B0A88">
        <w:rPr>
          <w:rFonts w:ascii="Times New Roman" w:hAnsi="Times New Roman" w:cs="Times New Roman"/>
        </w:rPr>
        <w:t>permitiria</w:t>
      </w:r>
      <w:r>
        <w:rPr>
          <w:rFonts w:ascii="Times New Roman" w:hAnsi="Times New Roman" w:cs="Times New Roman"/>
        </w:rPr>
        <w:t xml:space="preserve"> sua difusão entre os Estados</w:t>
      </w:r>
      <w:r w:rsidR="006B0A88">
        <w:rPr>
          <w:rFonts w:ascii="Times New Roman" w:hAnsi="Times New Roman" w:cs="Times New Roman"/>
        </w:rPr>
        <w:t xml:space="preserve"> Africanos</w:t>
      </w:r>
      <w:r w:rsidR="00EC7FD0">
        <w:rPr>
          <w:rFonts w:ascii="Times New Roman" w:hAnsi="Times New Roman" w:cs="Times New Roman"/>
        </w:rPr>
        <w:t>.</w:t>
      </w:r>
    </w:p>
    <w:p w14:paraId="2247D2A5" w14:textId="77777777" w:rsidR="00095A4D" w:rsidRPr="006F2996" w:rsidRDefault="00095A4D" w:rsidP="006F2996">
      <w:pPr>
        <w:spacing w:after="0" w:line="360" w:lineRule="auto"/>
        <w:jc w:val="both"/>
        <w:rPr>
          <w:rFonts w:ascii="Times New Roman" w:hAnsi="Times New Roman" w:cs="Times New Roman"/>
        </w:rPr>
      </w:pPr>
    </w:p>
    <w:p w14:paraId="3868CB33" w14:textId="77777777" w:rsidR="00095A4D" w:rsidRDefault="001A3814" w:rsidP="003665BA">
      <w:pPr>
        <w:pStyle w:val="PargrafodaLista"/>
        <w:keepNext/>
        <w:numPr>
          <w:ilvl w:val="0"/>
          <w:numId w:val="1"/>
        </w:numPr>
        <w:tabs>
          <w:tab w:val="left" w:pos="284"/>
        </w:tabs>
        <w:spacing w:after="0" w:line="360" w:lineRule="auto"/>
        <w:ind w:left="0" w:firstLine="0"/>
        <w:jc w:val="both"/>
        <w:rPr>
          <w:rFonts w:ascii="Times New Roman" w:hAnsi="Times New Roman" w:cs="Times New Roman"/>
          <w:b/>
          <w:bCs/>
        </w:rPr>
      </w:pPr>
      <w:r>
        <w:rPr>
          <w:rFonts w:ascii="Times New Roman" w:hAnsi="Times New Roman" w:cs="Times New Roman"/>
          <w:b/>
          <w:bCs/>
        </w:rPr>
        <w:t>D</w:t>
      </w:r>
      <w:r>
        <w:rPr>
          <w:rFonts w:ascii="Times New Roman" w:hAnsi="Times New Roman" w:cs="Times New Roman"/>
          <w:b/>
          <w:bCs/>
        </w:rPr>
        <w:t>eterminações da Corte</w:t>
      </w:r>
    </w:p>
    <w:p w14:paraId="27483367" w14:textId="77777777"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O dispositivo é curto. Depois de expor os fundamentos, a Corte declarou: “A Corte, por unanimidade, conclui que não está em condições de emitir o parecer consultivo que lhe foi solicitado” (Corte Africana dos Direitos Humanos e dos Povos, 2017, p. 8, par. 36, tradução nossa). Não há ordens dirigidas a Estados, recomendações à União Africana ou à Comissão, nem qualquer palavra sobre a compatibilidade da lei-modelo com a Carta Africana.</w:t>
      </w:r>
    </w:p>
    <w:p w14:paraId="17E8C206" w14:textId="77777777"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O caminho até ele passou por três decisões intermediárias. De início, a Corte tratou do procedimento: com base na Regra 72 do Regulamento, a Corte afirmou que aplica </w:t>
      </w:r>
      <w:r>
        <w:rPr>
          <w:rFonts w:ascii="Times New Roman" w:hAnsi="Times New Roman" w:cs="Times New Roman"/>
          <w:i/>
          <w:iCs/>
        </w:rPr>
        <w:t>mutatis mutandis</w:t>
      </w:r>
      <w:r>
        <w:rPr>
          <w:rFonts w:ascii="Times New Roman" w:hAnsi="Times New Roman" w:cs="Times New Roman"/>
        </w:rPr>
        <w:t xml:space="preserve"> ao procedimento consultivo as disposições da Parte IV do Regulamento, na medida em que as considere apropriadas; e, com base na Regra 39(1), que deve fazer um exame preliminar de sua jurisdição. Daí o dever de verificar, antes de qualquer outra coisa, se tinha jurisdição para apreciar o pedido (Corte Africana dos Direitos Humanos e dos Povos, 2017, p. 3, par. 11-13).</w:t>
      </w:r>
    </w:p>
    <w:p w14:paraId="57681E38" w14:textId="77777777"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Em seguida, reconheceu que a ASADHO é uma organização africana na acepção do artigo 4 do Protocolo (Corte Africana dos Direitos Humanos e dos Povos, 2017, p. 7, segundo par. 29). Nesse ponto a requerente saiu vitoriosa, pois ficou afastada a objeção de que sua atuação seria apenas nacional.</w:t>
      </w:r>
    </w:p>
    <w:p w14:paraId="505C3378" w14:textId="77777777"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lastRenderedPageBreak/>
        <w:t>O caso foi resolvido na etapa seguinte, quando a Corte constatou que a requerente não alegou nem provou ter estatuto de observador perante a União Africana, nem ter assinado memorando de entendimento com a organização (Corte Africana dos Direitos Humanos e dos Povos, 2017, p. 7, par. 34). Concluiu que, embora fosse uma organização africana, a ASADHO não preenchia a segunda condição exigida pelo artigo 4(1) do Protocolo como base para a jurisdição da Corte, isto é, ser “reconhecida pela União Africana” (Cort</w:t>
      </w:r>
      <w:r>
        <w:rPr>
          <w:rFonts w:ascii="Times New Roman" w:hAnsi="Times New Roman" w:cs="Times New Roman"/>
        </w:rPr>
        <w:t>e Africana dos Direitos Humanos e dos Povos, 2017, p. 8, par. 35).</w:t>
      </w:r>
    </w:p>
    <w:p w14:paraId="7C2F565C" w14:textId="77777777"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Quanto aos efeitos, a decisão é estritamente processual. A Corte não disse que a lei-modelo é incompatível com a Carta nem que as alegações de violação são infundadas, e a questão de mérito continua aberta. Em tese, o mesmo tema poderia voltar ao tribunal pelas mãos de um dos sujeitos legitimados pelo artigo 4(1) do Protocolo, como um Estado-membro da União Africana ou um de seus órgãos (Corte Africana dos Direitos Humanos e dos Povos, 2017, p. 5, par. 23). Registro que essa é uma inferência minha a partir </w:t>
      </w:r>
      <w:r>
        <w:rPr>
          <w:rFonts w:ascii="Times New Roman" w:hAnsi="Times New Roman" w:cs="Times New Roman"/>
        </w:rPr>
        <w:t>do dispositivo citado no parecer; a Corte não fez essa afirmação.</w:t>
      </w:r>
    </w:p>
    <w:p w14:paraId="3F110A79" w14:textId="77777777" w:rsidR="00095A4D" w:rsidRDefault="001A3814">
      <w:pPr>
        <w:pStyle w:val="PargrafodaLista"/>
        <w:spacing w:after="0" w:line="360" w:lineRule="auto"/>
        <w:ind w:left="0" w:firstLine="1134"/>
        <w:jc w:val="both"/>
        <w:rPr>
          <w:rFonts w:ascii="Times New Roman" w:hAnsi="Times New Roman" w:cs="Times New Roman"/>
        </w:rPr>
      </w:pPr>
      <w:r>
        <w:rPr>
          <w:rFonts w:ascii="Times New Roman" w:hAnsi="Times New Roman" w:cs="Times New Roman"/>
        </w:rPr>
        <w:t xml:space="preserve">A decisão foi unânime, mas veio acompanhada das opiniões separadas dos juízes Rafâa Ben Achour e Angelo V. Matusse (Corte Africana dos Direitos Humanos e dos Povos, 2017, p. 9). Concordar com o resultado não implica concordar com os fundamentos, e, sem acesso ao conteúdo dessas opiniões, não é possível dizer onde se afastam do raciocínio majoritário. A página de assinaturas da versão consultada traz o nome de nove dos onze juízes listados no cabeçalho (Corte Africana dos Direitos Humanos e dos Povos, 2017, </w:t>
      </w:r>
      <w:r>
        <w:rPr>
          <w:rFonts w:ascii="Times New Roman" w:hAnsi="Times New Roman" w:cs="Times New Roman"/>
        </w:rPr>
        <w:t>p. 2, p. 9). O parecer não explica a diferença, e qualquer conclusão sobre ela seria especulativa.</w:t>
      </w:r>
    </w:p>
    <w:p w14:paraId="0BCB91F6" w14:textId="77777777" w:rsidR="00095A4D" w:rsidRDefault="00095A4D">
      <w:pPr>
        <w:pStyle w:val="PargrafodaLista"/>
        <w:spacing w:after="0" w:line="360" w:lineRule="auto"/>
        <w:ind w:left="0" w:firstLine="1134"/>
        <w:jc w:val="both"/>
        <w:rPr>
          <w:rFonts w:ascii="Times New Roman" w:hAnsi="Times New Roman" w:cs="Times New Roman"/>
        </w:rPr>
      </w:pPr>
    </w:p>
    <w:p w14:paraId="1BAB4138" w14:textId="77777777" w:rsidR="00095A4D" w:rsidRDefault="001A3814" w:rsidP="00014F67">
      <w:pPr>
        <w:pStyle w:val="PargrafodaLista"/>
        <w:keepNext/>
        <w:numPr>
          <w:ilvl w:val="0"/>
          <w:numId w:val="1"/>
        </w:numPr>
        <w:tabs>
          <w:tab w:val="left" w:pos="284"/>
        </w:tabs>
        <w:spacing w:after="0" w:line="360" w:lineRule="auto"/>
        <w:ind w:left="0" w:firstLine="0"/>
        <w:jc w:val="both"/>
        <w:rPr>
          <w:rFonts w:ascii="Times New Roman" w:hAnsi="Times New Roman" w:cs="Times New Roman"/>
          <w:b/>
          <w:bCs/>
        </w:rPr>
      </w:pPr>
      <w:r>
        <w:rPr>
          <w:rFonts w:ascii="Times New Roman" w:hAnsi="Times New Roman" w:cs="Times New Roman"/>
          <w:b/>
          <w:bCs/>
        </w:rPr>
        <w:t>Fundamentação da Corte</w:t>
      </w:r>
    </w:p>
    <w:p w14:paraId="13F1B353"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A fundamentação se apoia no artigo 4(1) do Protocolo, segundo o qual, a pedido de um Estado-membro da União Africana, de qualquer de seus órgãos ou de qualquer organização africana reconhecida pela União Africana, a Corte pode emitir parecer sobre qualquer questão jurídica relativa à Carta ou a outro instrumento relevante de direitos humanos (Corte Africana dos Direitos Humanos e dos Povos, 2017, p. 5, par. 23). A Corte considerou incontroverso que a requerente não se enquadrava nas três primeiras categoria</w:t>
      </w:r>
      <w:r w:rsidRPr="00646AB0">
        <w:rPr>
          <w:rFonts w:ascii="Times New Roman" w:hAnsi="Times New Roman" w:cs="Times New Roman"/>
          <w:color w:val="EE0000"/>
        </w:rPr>
        <w:t>s de legitimados e passou a verificar se ela cabia na quarta (Corte Africana dos Direitos Humanos e dos Povos, 2017, p. 6, par. 24-25).</w:t>
      </w:r>
    </w:p>
    <w:p w14:paraId="3A79308C"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 xml:space="preserve">Para isso, dividiu a expressão “organização africana reconhecida pela União Africana” em dois requisitos cumulativos: ser organização africana e ser reconhecida pela </w:t>
      </w:r>
      <w:r w:rsidRPr="00646AB0">
        <w:rPr>
          <w:rFonts w:ascii="Times New Roman" w:hAnsi="Times New Roman" w:cs="Times New Roman"/>
          <w:color w:val="EE0000"/>
        </w:rPr>
        <w:lastRenderedPageBreak/>
        <w:t>União Africana. Nos dois pontos, apoiou-se quase por completo no Parecer Consultivo nº 001/2013, pedido pela Socio-Economic Rights and Accountability Project (SERAP) e proferido em 26 de maio de 2017, cerca de quatro meses antes do parecer aqui estudado, conforme a referência feita pela própria Corte (Corte Africana dos Direitos Humanos e dos Povos, 2017, p. 6, nota 4).</w:t>
      </w:r>
    </w:p>
    <w:p w14:paraId="564849F1"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Sobre o primeiro requisito, a Corte lembrou que, conforme o precedente SERAP, o termo “organização” do artigo 4(1) abrange tanto organizações não governamentais quanto intergovernamentais (Corte Africana dos Direitos Humanos e dos Povos, 2017, p. 6, par. 26). Já o qualificativo “africana” se aplica à organização registrada em um país africano, com ramificações nos níveis sub-regional, regional ou continental e com atividades que ultrapassem o país de registro (Corte Africana dos Direitos Humanos e dos Povos</w:t>
      </w:r>
      <w:r w:rsidRPr="00646AB0">
        <w:rPr>
          <w:rFonts w:ascii="Times New Roman" w:hAnsi="Times New Roman" w:cs="Times New Roman"/>
          <w:color w:val="EE0000"/>
        </w:rPr>
        <w:t>, 2017, p. 6, par. 27).</w:t>
      </w:r>
    </w:p>
    <w:p w14:paraId="2E498FA6"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Aplicados esses critérios, a Corte observou que a ASADHO está registrada na República Democrática do Congo e atua nos níveis sub-regional e continental, apoiando-se nos estatutos da entidade: o artigo 28 prevê a assistência e a representação voluntária de vítimas de violações, presos de consciência e objetores de consciência; o artigo 30, a atuação junto à imprensa para promover e difundir os direitos humanos e denunciar suas violações; e o artigo 31, escritórios de representação, definidos como ramificaçõe</w:t>
      </w:r>
      <w:r w:rsidRPr="00646AB0">
        <w:rPr>
          <w:rFonts w:ascii="Times New Roman" w:hAnsi="Times New Roman" w:cs="Times New Roman"/>
          <w:color w:val="EE0000"/>
        </w:rPr>
        <w:t>s da associação sediadas fora do país (Corte Africana dos Direitos Humanos e dos Povos, 2017, p. 6, par. 28). A Corte concluiu que a requerente atua não só na República Democrática do Congo, mas também na África Central e em boa parte do continente. Como prova, citou o fato de que os estudos que levaram à lei-modelo receberam contribuições de vários Estados africanos, todos membros da União Africana (Corte Africana dos Direitos Humanos e dos Povos, 2017, p. 7, primeiro par. 29). Daí a conclusão de que a ASA</w:t>
      </w:r>
      <w:r w:rsidRPr="00646AB0">
        <w:rPr>
          <w:rFonts w:ascii="Times New Roman" w:hAnsi="Times New Roman" w:cs="Times New Roman"/>
          <w:color w:val="EE0000"/>
        </w:rPr>
        <w:t>DHO é organização africana na acepção do artigo 4 do Protocolo (Corte Africana dos Direitos Humanos e dos Povos, 2017, p. 7, segundo par. 29).</w:t>
      </w:r>
    </w:p>
    <w:p w14:paraId="571898C3"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Faço duas ressalvas a essa parte do raciocínio. A primeira diz respeito à prova. A atuação continental foi deduzida sobretudo de previsões estatutárias, que indicam o que a entidade pode fazer, não o que de fato faz; prever escritórios no exterior não comprova que eles existam. A segunda é conceitual. Dizer que os estudos foram “contribuições de vários Estados africanos” parece confundir os países onde os estudos de caso foram feitos com Estados que deles teriam participado institucionalmente. Pelo que o pr</w:t>
      </w:r>
      <w:r w:rsidRPr="00646AB0">
        <w:rPr>
          <w:rFonts w:ascii="Times New Roman" w:hAnsi="Times New Roman" w:cs="Times New Roman"/>
          <w:color w:val="EE0000"/>
        </w:rPr>
        <w:t xml:space="preserve">óprio parecer informa, os estudos foram conduzidos por uma plataforma de organizações não governamentais, não por Estados. Nenhuma dessas fragilidades alterou o resultado, </w:t>
      </w:r>
      <w:r w:rsidRPr="00646AB0">
        <w:rPr>
          <w:rFonts w:ascii="Times New Roman" w:hAnsi="Times New Roman" w:cs="Times New Roman"/>
          <w:color w:val="EE0000"/>
        </w:rPr>
        <w:lastRenderedPageBreak/>
        <w:t>porque a conclusão favorável à requerente nesse ponto foi anulada pelo segundo requisito. Há ainda falhas de edição na versão em inglês, que tem dois parágrafos numerados como 29 e repete, no primeiro deles, a mesma frase sobre as contribuições dos Estados, sem prejuízo do sentido.</w:t>
      </w:r>
    </w:p>
    <w:p w14:paraId="65A9594A"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O segundo requisito, o reconhecimento pela União Africana, decidiu o caso. A requerente sustentou que seu estatuto de observador perante a Comissão Africana fazia dela uma organização africana habilitada a pedir parecer sobre qualquer matéria no campo de aplicação da Carta (Corte Africana dos Direitos Humanos e dos Povos, 2017, p. 5, par. 22; p. 7, par. 31). A Corte rejeitou o argumento com base no precedente SERAP, em que havia firmado que o estatuto de observador perante qualquer órgão da União Africana n</w:t>
      </w:r>
      <w:r w:rsidRPr="00646AB0">
        <w:rPr>
          <w:rFonts w:ascii="Times New Roman" w:hAnsi="Times New Roman" w:cs="Times New Roman"/>
          <w:color w:val="EE0000"/>
        </w:rPr>
        <w:t>ão equivale a reconhecimento pela União, de modo que o artigo 4(1) do Protocolo só alcança as organizações não governamentais africanas reconhecidas pela própria União Africana (Corte Africana dos Direitos Humanos e dos Povos, 2017, p. 7, par. 32). Acrescentou que esse reconhecimento se dá pela concessão de estatuto de observador junto à União Africana ou pela assinatura de memorando de entendimento e cooperação entre a União e a organização (Corte Africana dos Direitos Humanos e dos Povos, 2017, p. 7, par.</w:t>
      </w:r>
      <w:r w:rsidRPr="00646AB0">
        <w:rPr>
          <w:rFonts w:ascii="Times New Roman" w:hAnsi="Times New Roman" w:cs="Times New Roman"/>
          <w:color w:val="EE0000"/>
        </w:rPr>
        <w:t xml:space="preserve"> 33).</w:t>
      </w:r>
    </w:p>
    <w:p w14:paraId="2CD34DAA"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Como a requerente não alegou nem comprovou nenhuma dessas formas de reconhecimento (Corte Africana dos Direitos Humanos e dos Povos, 2017, p. 7, par. 34), a Corte concluiu que lhe faltava jurisdição pessoal. O raciocínio é linear: a legitimidade consultiva de organizações exige reconhecimento pela União Africana; esse reconhecimento se faz por estatuto de observador junto à União ou por memorando de entendimento; a requerente não demonstrou nenhum dos dois; logo, a Corte não pode emitir o parecer.</w:t>
      </w:r>
    </w:p>
    <w:p w14:paraId="41574E2C"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O raciocínio da Corte é coerente com a jurisprudência recente do tribunal, o que torna previsível o caminho para as organizações que pretendam usar a via consultiva. Também respeita o texto do Protocolo, que separa a organização africana da organização africana reconhecida pela União Africana; se qualquer vínculo com qualquer órgão do sistema bastasse, a expressão “reconhecida pela União Africana” ficaria sem função. Preserva, ainda, a lógica institucional segundo a qual cabe à União Africana, como organiza</w:t>
      </w:r>
      <w:r w:rsidRPr="00646AB0">
        <w:rPr>
          <w:rFonts w:ascii="Times New Roman" w:hAnsi="Times New Roman" w:cs="Times New Roman"/>
          <w:color w:val="EE0000"/>
        </w:rPr>
        <w:t>ção intergovernamental, decidir quais entidades da sociedade civil reconhece como interlocutoras formais.</w:t>
      </w:r>
    </w:p>
    <w:p w14:paraId="4D5EB88A"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 xml:space="preserve">A objeção mais forte diz respeito à coerência interna do sistema africano. Os artigos 5(3) e 34(6) do Protocolo permitem que organizações não governamentais com estatuto de observador perante a Comissão Africana levem casos contenciosos </w:t>
      </w:r>
      <w:r w:rsidRPr="00646AB0">
        <w:rPr>
          <w:rFonts w:ascii="Times New Roman" w:hAnsi="Times New Roman" w:cs="Times New Roman"/>
          <w:color w:val="EE0000"/>
        </w:rPr>
        <w:lastRenderedPageBreak/>
        <w:t>diretamente à Corte contra Estados que tenham declarado aceitar essa competência (Organização da Unidade Africana, 1998). Assim, o estatuto de observador perante a Comissão basta para que uma organização processe um Estado, mas não para que faça uma pergunta abstrata, sem réu, sobre a interpretação da Carta. A via consultiva, que em princípio menos tensiona a soberania estatal, acaba sendo a mais fechada à sociedade civil. O parecer não enfrenta esse contraste e se limita a aplicar o precedente SERAP.</w:t>
      </w:r>
    </w:p>
    <w:p w14:paraId="45DA55B5"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Outra objeção parte da finalidade da função consultiva: esclarecer o conteúdo das obrigações de direitos humanos e prevenir violações. Num continente em que a maior parte das organizações da sociedade civil não tem estatuto de observador junto à União Africana nem memorando de entendimento com ela, uma leitura estrita do requisito de reconhecimento transforma a função consultiva em instrumento acessível quase só a Estados e órgãos intergovernamentais. A Corte poderia ter examinado, por exemplo, se o estatut</w:t>
      </w:r>
      <w:r w:rsidRPr="00646AB0">
        <w:rPr>
          <w:rFonts w:ascii="Times New Roman" w:hAnsi="Times New Roman" w:cs="Times New Roman"/>
          <w:color w:val="EE0000"/>
        </w:rPr>
        <w:t>o de observador perante a Comissão Africana, criada pela própria Carta, não seria uma forma de reconhecimento indireto pela União. Não o fez, e a leitura restritiva veio sem justificativa substantiva própria, apenas com a remissão ao precedente.</w:t>
      </w:r>
    </w:p>
    <w:p w14:paraId="6416D6D8"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 xml:space="preserve">Há bons argumentos, de todo modo, a favor da posição da Corte. Abrir sem limites a legitimidade consultiva poderia converter o tribunal em instância de certificação de projetos privados, e este caso ilustra o risco. A requerente não pedia a interpretação de um dispositivo da Carta; pedia que a Corte declarasse compatível com ela um projeto de lei-modelo elaborado por organizações não governamentais e financiado por um ator de fora do continente. Um parecer favorável daria autoridade judicial a um texto que </w:t>
      </w:r>
      <w:r w:rsidRPr="00646AB0">
        <w:rPr>
          <w:rFonts w:ascii="Times New Roman" w:hAnsi="Times New Roman" w:cs="Times New Roman"/>
          <w:color w:val="EE0000"/>
        </w:rPr>
        <w:t>nenhum Estado adotou e que não passou por processo legislativo algum. Nessa leitura, o filtro do reconhecimento pela União Africana serve para controlar a representatividade de quem aciona a Corte e para proteger o tribunal contra o uso estratégico de sua autoridade.</w:t>
      </w:r>
    </w:p>
    <w:p w14:paraId="5B3D115B"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t>A Corte também deixou intocada outra questão: se a requerente fosse legitimada, o pedido seria admissível em razão da matéria? O artigo 4(1) do Protocolo fala em “qualquer questão jurídica relativa à Carta” (Corte Africana dos Direitos Humanos e dos Povos, 2017, p. 5, par. 23). Não é óbvio que a compatibilidade de um projeto normativo privado, ainda não adotado, com a Carta seja uma questão jurídica nesse sentido. O parecer não precisou resolver o problema, porque o exame terminou na jurisdição pessoal. Pel</w:t>
      </w:r>
      <w:r w:rsidRPr="00646AB0">
        <w:rPr>
          <w:rFonts w:ascii="Times New Roman" w:hAnsi="Times New Roman" w:cs="Times New Roman"/>
          <w:color w:val="EE0000"/>
        </w:rPr>
        <w:t>a mesma razão, a Corte não verificou se o objeto do pedido se referia a assunto pendente perante a Comissão, ponto que ela própria havia perguntado à Comissão sem obter resposta (Corte Africana dos Direitos Humanos e dos Povos, 2017, p. 2, par. 7-8). Nos dois casos, prevaleceu a economia processual.</w:t>
      </w:r>
    </w:p>
    <w:p w14:paraId="50CFB7AF" w14:textId="77777777" w:rsidR="00095A4D" w:rsidRPr="00646AB0" w:rsidRDefault="001A3814">
      <w:pPr>
        <w:pStyle w:val="PargrafodaLista"/>
        <w:spacing w:after="0" w:line="360" w:lineRule="auto"/>
        <w:ind w:left="0" w:firstLine="1134"/>
        <w:jc w:val="both"/>
        <w:rPr>
          <w:rFonts w:ascii="Times New Roman" w:hAnsi="Times New Roman" w:cs="Times New Roman"/>
          <w:color w:val="EE0000"/>
        </w:rPr>
      </w:pPr>
      <w:r w:rsidRPr="00646AB0">
        <w:rPr>
          <w:rFonts w:ascii="Times New Roman" w:hAnsi="Times New Roman" w:cs="Times New Roman"/>
          <w:color w:val="EE0000"/>
        </w:rPr>
        <w:lastRenderedPageBreak/>
        <w:t>A fundamentação não tem falhas técnicas evidentes, mas nada diz sobre o que sua interpretação significa para o acesso da sociedade civil à jurisdição consultiva. Na prática, uma pergunta sobre mineração, comunidades e direitos humanos, levada por uma entidade que atua no terreno, ficou sem resposta por razões apenas formais.</w:t>
      </w:r>
    </w:p>
    <w:p w14:paraId="3A5B39E2" w14:textId="77777777" w:rsidR="00095A4D" w:rsidRPr="000113AB" w:rsidRDefault="00095A4D" w:rsidP="000113AB">
      <w:pPr>
        <w:spacing w:after="0" w:line="360" w:lineRule="auto"/>
        <w:jc w:val="both"/>
        <w:rPr>
          <w:rFonts w:ascii="Times New Roman" w:hAnsi="Times New Roman" w:cs="Times New Roman"/>
        </w:rPr>
      </w:pPr>
    </w:p>
    <w:p w14:paraId="58C85F14" w14:textId="77777777" w:rsidR="00095A4D" w:rsidRDefault="001A3814" w:rsidP="000113AB">
      <w:pPr>
        <w:pStyle w:val="PargrafodaLista"/>
        <w:keepNext/>
        <w:numPr>
          <w:ilvl w:val="0"/>
          <w:numId w:val="1"/>
        </w:numPr>
        <w:tabs>
          <w:tab w:val="left" w:pos="284"/>
        </w:tabs>
        <w:spacing w:after="0" w:line="360" w:lineRule="auto"/>
        <w:ind w:left="0" w:firstLine="0"/>
        <w:jc w:val="both"/>
        <w:rPr>
          <w:rFonts w:ascii="Times New Roman" w:hAnsi="Times New Roman" w:cs="Times New Roman"/>
          <w:b/>
          <w:bCs/>
        </w:rPr>
      </w:pPr>
      <w:r>
        <w:rPr>
          <w:rFonts w:ascii="Times New Roman" w:hAnsi="Times New Roman" w:cs="Times New Roman"/>
          <w:b/>
          <w:bCs/>
        </w:rPr>
        <w:t>D</w:t>
      </w:r>
      <w:r>
        <w:rPr>
          <w:rFonts w:ascii="Times New Roman" w:hAnsi="Times New Roman" w:cs="Times New Roman"/>
          <w:b/>
          <w:bCs/>
        </w:rPr>
        <w:t>iálogos transatlânticos: reflexões levando em conta a realidade brasileira e maranhense</w:t>
      </w:r>
    </w:p>
    <w:p w14:paraId="19F46327"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Proponho aproximar o parecer da realidade brasileira em dois planos: o processual, que trata do acesso da sociedade civil aos mecanismos de interpretação de normas de direitos humanos, e o substantivo, que trata da proteção de comunidades afetadas pela mineração. Além do parecer, utilizo nesta seção apenas textos normativos brasileiros e interamericanos, sem dados empíricos nem doutrina. Por isso, o que digo sobre o Maranhão deve ser lido como hipótese e agenda de pesquisa, não como diagnóstico.</w:t>
      </w:r>
    </w:p>
    <w:p w14:paraId="4F8C7D53"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No plano processual, convém comparar o caso com o sistema interamericano, ao qual o Brasil está vinculado. A Convenção Americana sobre Direitos Humanos, promulgada no Brasil pelo Decreto nº 678, de 1992, prevê em seu artigo 64 que podem consultar a Corte Interamericana os Estados-membros da Organização dos Estados Americanos e, no que lhes compete, os órgãos enumerados no capítulo próprio da Carta da Organização (Brasil, 1992). As organizações da sociedade civil não estão nesse rol. Nesse aspecto, o Protoco</w:t>
      </w:r>
      <w:r w:rsidRPr="00925975">
        <w:rPr>
          <w:rFonts w:ascii="Times New Roman" w:hAnsi="Times New Roman" w:cs="Times New Roman"/>
          <w:color w:val="C00000"/>
        </w:rPr>
        <w:t>lo africano é mais aberto que a Convenção Americana, já que ao menos admite pedidos de organizações africanas reconhecidas pela União Africana. O parecer mostra, contudo, que a interpretação do requisito de reconhecimento pode estreitar bastante essa abertura.</w:t>
      </w:r>
    </w:p>
    <w:p w14:paraId="5BB0AECB"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Na via contenciosa, ocorre o inverso. O artigo 44 da Convenção Americana permite que qualquer entidade não governamental legalmente reconhecida em um ou mais Estados-membros da Organização apresente à Comissão Interamericana petições com denúncias de violação (Brasil, 1992). No sistema africano, como o próprio parecer deixa claro, o estatuto de observador perante a Comissão não basta para a via consultiva, e o acesso contencioso direto à Corte depende da declaração do Estado prevista no artigo 34(6) do Prot</w:t>
      </w:r>
      <w:r w:rsidRPr="00925975">
        <w:rPr>
          <w:rFonts w:ascii="Times New Roman" w:hAnsi="Times New Roman" w:cs="Times New Roman"/>
          <w:color w:val="C00000"/>
        </w:rPr>
        <w:t xml:space="preserve">ocolo (Organização da Unidade Africana, 1998). No sistema interamericano, a sociedade civil pode denunciar com amplitude perante a Comissão, mas não pode pedir parecer à Corte. Para movimentos e organizações brasileiras e maranhenses, a consequência prática é que a via escolhida, contenciosa ou consultiva, define se haverá </w:t>
      </w:r>
      <w:r w:rsidRPr="00925975">
        <w:rPr>
          <w:rFonts w:ascii="Times New Roman" w:hAnsi="Times New Roman" w:cs="Times New Roman"/>
          <w:color w:val="C00000"/>
        </w:rPr>
        <w:lastRenderedPageBreak/>
        <w:t>ou não pronunciamento. A estratégia da ASADHO, de buscar a chancela abstrata de um projeto, teria ainda menos espaço no sistema interamericano.</w:t>
      </w:r>
    </w:p>
    <w:p w14:paraId="242E9331"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O direito interno brasileiro conhece filtros semelhantes. Ao disciplinar o controle abstrato de constitucionalidade, a Constituição Federal de 1988 legitima, entre outros, as confederações sindicais e as entidades de classe de âmbito nacional (Brasil, 1988, art. 103, IX). A exigência de âmbito nacional tem função parecida com a do requisito de organização “africana” no parecer, que é impedir que entidades de atuação apenas local acionem um mecanismo de efeitos gerais. A comparação, porém, só vai até certo p</w:t>
      </w:r>
      <w:r w:rsidRPr="00925975">
        <w:rPr>
          <w:rFonts w:ascii="Times New Roman" w:hAnsi="Times New Roman" w:cs="Times New Roman"/>
          <w:color w:val="C00000"/>
        </w:rPr>
        <w:t>onto. No Brasil, a legitimidade decorre de critérios previstos na própria Constituição e aferidos pelo Judiciário; no caso africano, o requisito decisivo, o reconhecimento, depende de ato da própria organização intergovernamental, que passa a controlar quem pode provocar a função consultiva da Corte.</w:t>
      </w:r>
    </w:p>
    <w:p w14:paraId="29D1726E"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No plano substantivo, o direito brasileiro já dá respostas normativas à pergunta que a Corte Africana deixou em aberto. A Constituição atribui à União a propriedade dos recursos minerais e condiciona sua pesquisa e lavra a autorização ou concessão federal (Brasil, 1988, art. 176). Obriga quem explora recursos minerais a recuperar o meio ambiente degradado (Brasil, 1988, art. 225, § 2º) e exige estudo prévio de impacto ambiental para obras ou atividades potencialmente causadoras de significativa degradação (</w:t>
      </w:r>
      <w:r w:rsidRPr="00925975">
        <w:rPr>
          <w:rFonts w:ascii="Times New Roman" w:hAnsi="Times New Roman" w:cs="Times New Roman"/>
          <w:color w:val="C00000"/>
        </w:rPr>
        <w:t>Brasil, 1988, art. 225, § 1º, IV). Em terras indígenas, a lavra de riquezas minerais só pode ser efetivada com autorização do Congresso Nacional, ouvidas as comunidades afetadas, assegurada a participação nos resultados (Brasil, 1988, art. 231, § 3º). E aos remanescentes das comunidades dos quilombos que estejam ocupando suas terras é reconhecida a propriedade definitiva (Brasil, 1988, ADCT, art. 68).</w:t>
      </w:r>
    </w:p>
    <w:p w14:paraId="631F9F34"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A Convenção nº 169 da Organização Internacional do Trabalho, hoje consolidada no Decreto nº 10.088, de 2019, acrescenta garantias que dialogam diretamente com os fatos narrados pela ASADHO (Brasil, 2019). O artigo 6º impõe o dever de consultar os povos interessados, por procedimentos apropriados, sempre que se prevejam medidas capazes de afetá-los diretamente. O artigo 15 estabelece que, quando o Estado detém a propriedade dos minérios, deve consultar os povos antes de autorizar programas de prospecção ou e</w:t>
      </w:r>
      <w:r w:rsidRPr="00925975">
        <w:rPr>
          <w:rFonts w:ascii="Times New Roman" w:hAnsi="Times New Roman" w:cs="Times New Roman"/>
          <w:color w:val="C00000"/>
        </w:rPr>
        <w:t>xploração em suas terras, e que esses povos devem, sempre que possível, participar dos benefícios e receber indenização equitativa pelos danos. O artigo 16, por sua vez, proíbe, como regra, a remoção dos povos das terras que ocupam e só admite a transladação em caráter excepcional e, em princípio, com o consentimento livre e esclarecido dos interessados.</w:t>
      </w:r>
    </w:p>
    <w:p w14:paraId="4F2B8567"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lastRenderedPageBreak/>
        <w:t>Essas normas permitem ler o caso Ruashi com mais precisão. Os danos alegados pela ASADHO (falta de emprego local, empobrecimento, realocação irregular) correspondem a problemas que o direito brasileiro tenta enfrentar com a participação nos resultados, o licenciamento ambiental e a consulta prévia. Mas a queixa mira outro alvo. Pelo que consta do parecer, a ASADHO denunciou a realocação por ter sido feita sem consulta aos serviços municipais especializados (Corte Africana dos Direitos Humanos e dos Povos, 2</w:t>
      </w:r>
      <w:r w:rsidRPr="00925975">
        <w:rPr>
          <w:rFonts w:ascii="Times New Roman" w:hAnsi="Times New Roman" w:cs="Times New Roman"/>
          <w:color w:val="C00000"/>
        </w:rPr>
        <w:t>017, p. 5, par. 20). A Convenção nº 169 situa a consulta e o consentimento nas próprias comunidades afetadas. Uma lei-modelo que se contentasse com a regularidade administrativa do deslocamento ficaria aquém do padrão já incorporado ao ordenamento brasileiro. Não se pode afirmar que a lei-modelo africana tenha essa limitação, porque o parecer não traz seu conteúdo.</w:t>
      </w:r>
    </w:p>
    <w:p w14:paraId="53A98F64"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Ter normas protetivas não garante que sejam cumpridas, e o parecer expõe um problema que o Brasil também conhece: a distância entre o reconhecimento formal de direitos e o acesso a instâncias capazes de torná-los exigíveis. Na África, a barreira foi a legitimidade para provocar a Corte. No Brasil, as barreiras podem ser outras, como a demora na titulação de territórios, a fragilidade dos procedimentos de consulta ou a desigualdade de recursos entre comunidades e empreendedores. São hipóteses que, para serem</w:t>
      </w:r>
      <w:r w:rsidRPr="00925975">
        <w:rPr>
          <w:rFonts w:ascii="Times New Roman" w:hAnsi="Times New Roman" w:cs="Times New Roman"/>
          <w:color w:val="C00000"/>
        </w:rPr>
        <w:t xml:space="preserve"> afirmadas com rigor, dependeriam de fontes empíricas que, por opção metodológica, não utilizei neste capítulo.</w:t>
      </w:r>
    </w:p>
    <w:p w14:paraId="2AEEDA67"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 xml:space="preserve">O Maranhão é atravessado pela Estrada de Ferro Carajás, que leva minério de ferro extraído no Pará até os terminais portuários de São Luís, e abriga muitas comunidades tradicionais, entre elas comunidades quilombolas, povos indígenas e quebradeiras de coco babaçu. A situação difere da narrada no parecer, porque aqui o centro do problema não é necessariamente a lavra no próprio território, mas a infraestrutura logística da mineração, que atravessa e reorganiza territórios tradicionais. Isso tem consequência </w:t>
      </w:r>
      <w:r w:rsidRPr="00925975">
        <w:rPr>
          <w:rFonts w:ascii="Times New Roman" w:hAnsi="Times New Roman" w:cs="Times New Roman"/>
          <w:color w:val="C00000"/>
        </w:rPr>
        <w:t>jurídica: algumas garantias constitucionais, como a do artigo 231, § 3º, referem-se especificamente à lavra em terras indígenas, enquanto os impactos de ferrovias, portos e corredores logísticos dependem de outros instrumentos, como o licenciamento ambiental e a consulta prevista na Convenção nº 169.</w:t>
      </w:r>
    </w:p>
    <w:p w14:paraId="283D6A8D" w14:textId="49589470"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 xml:space="preserve">Daí surgem algumas perguntas de pesquisa. Os efeitos descritos no caso Ruashi, como a falta de empregos locais, o empobrecimento e o deslocamento sem participação comunitária, se verificam nas comunidades maranhenses atravessadas pela cadeia da mineração? As consultas da Convenção nº 169 têm sido feitas com comunidades afetadas por </w:t>
      </w:r>
      <w:r w:rsidR="00D95AC6" w:rsidRPr="00925975">
        <w:rPr>
          <w:rFonts w:ascii="Times New Roman" w:hAnsi="Times New Roman" w:cs="Times New Roman"/>
          <w:color w:val="C00000"/>
        </w:rPr>
        <w:t>empreendimento</w:t>
      </w:r>
      <w:r w:rsidRPr="00925975">
        <w:rPr>
          <w:rFonts w:ascii="Times New Roman" w:hAnsi="Times New Roman" w:cs="Times New Roman"/>
          <w:color w:val="C00000"/>
        </w:rPr>
        <w:t xml:space="preserve"> logísticos, e não só por empreendimentos de lavra? Quem, </w:t>
      </w:r>
      <w:r w:rsidRPr="00925975">
        <w:rPr>
          <w:rFonts w:ascii="Times New Roman" w:hAnsi="Times New Roman" w:cs="Times New Roman"/>
          <w:color w:val="C00000"/>
        </w:rPr>
        <w:lastRenderedPageBreak/>
        <w:t>no Maranhão, teria legitimidade e capacidade institucional para levar essas questões a instâncias nacionais ou interamericanas? Responder a essas perguntas exige pesquisa de campo e documental, que pode integrar a agenda do grupo de pesquisa.</w:t>
      </w:r>
    </w:p>
    <w:p w14:paraId="572D617D" w14:textId="77777777" w:rsidR="00095A4D" w:rsidRPr="00925975" w:rsidRDefault="001A3814">
      <w:pPr>
        <w:pStyle w:val="PargrafodaLista"/>
        <w:spacing w:after="0" w:line="360" w:lineRule="auto"/>
        <w:ind w:left="0" w:firstLine="1134"/>
        <w:jc w:val="both"/>
        <w:rPr>
          <w:rFonts w:ascii="Times New Roman" w:hAnsi="Times New Roman" w:cs="Times New Roman"/>
          <w:color w:val="C00000"/>
        </w:rPr>
      </w:pPr>
      <w:r w:rsidRPr="00925975">
        <w:rPr>
          <w:rFonts w:ascii="Times New Roman" w:hAnsi="Times New Roman" w:cs="Times New Roman"/>
          <w:color w:val="C00000"/>
        </w:rPr>
        <w:t>A ASADHO tentou obter uma chancela judicial abstrata para um projeto normativo e esbarrou num requisito formal que poderia ter verificado antes de apresentar o pedido, já que o precedente SERAP havia sido proferido meses antes. Para organizações da sociedade civil brasileiras e maranhenses, o recado é verificar de antemão a legitimidade processual em cada sistema, escolher a via adequada ao objetivo e, quando ela for restrita, buscar alianças com sujeitos legitimados, como Estados, órgãos públicos ou entida</w:t>
      </w:r>
      <w:r w:rsidRPr="00925975">
        <w:rPr>
          <w:rFonts w:ascii="Times New Roman" w:hAnsi="Times New Roman" w:cs="Times New Roman"/>
          <w:color w:val="C00000"/>
        </w:rPr>
        <w:t>des formalmente reconhecidas. A compatibilização entre mineração e direitos das comunidades segue em aberto na África e no Brasil, e o caso da ASADHO mostra que, antes de discutir a resposta, é preciso garantir que alguém legitimado possa fazer a pergunta.</w:t>
      </w:r>
    </w:p>
    <w:p w14:paraId="0301D015" w14:textId="77777777" w:rsidR="00095A4D" w:rsidRDefault="00095A4D">
      <w:pPr>
        <w:pStyle w:val="PargrafodaLista"/>
        <w:spacing w:after="0" w:line="360" w:lineRule="auto"/>
        <w:ind w:left="0" w:firstLine="1134"/>
        <w:jc w:val="both"/>
        <w:rPr>
          <w:rFonts w:ascii="Times New Roman" w:hAnsi="Times New Roman" w:cs="Times New Roman"/>
        </w:rPr>
      </w:pPr>
    </w:p>
    <w:p w14:paraId="779856AB" w14:textId="77777777" w:rsidR="00095A4D" w:rsidRDefault="001A3814" w:rsidP="00925975">
      <w:pPr>
        <w:pStyle w:val="PargrafodaLista"/>
        <w:keepNext/>
        <w:numPr>
          <w:ilvl w:val="0"/>
          <w:numId w:val="1"/>
        </w:numPr>
        <w:tabs>
          <w:tab w:val="left" w:pos="284"/>
        </w:tabs>
        <w:spacing w:after="0" w:line="360" w:lineRule="auto"/>
        <w:ind w:left="0" w:firstLine="0"/>
        <w:jc w:val="both"/>
        <w:rPr>
          <w:rFonts w:ascii="Times New Roman" w:hAnsi="Times New Roman" w:cs="Times New Roman"/>
          <w:b/>
          <w:bCs/>
        </w:rPr>
      </w:pPr>
      <w:r>
        <w:rPr>
          <w:rFonts w:ascii="Times New Roman" w:hAnsi="Times New Roman" w:cs="Times New Roman"/>
          <w:b/>
          <w:bCs/>
        </w:rPr>
        <w:t>Referências</w:t>
      </w:r>
    </w:p>
    <w:p w14:paraId="2A41E24C" w14:textId="77777777" w:rsidR="00095A4D" w:rsidRDefault="001A3814">
      <w:pPr>
        <w:pStyle w:val="PargrafodaLista"/>
        <w:spacing w:after="0" w:line="360" w:lineRule="auto"/>
        <w:ind w:left="0"/>
        <w:rPr>
          <w:rFonts w:ascii="Times New Roman" w:hAnsi="Times New Roman" w:cs="Times New Roman"/>
        </w:rPr>
      </w:pPr>
      <w:r>
        <w:rPr>
          <w:rFonts w:ascii="Times New Roman" w:hAnsi="Times New Roman" w:cs="Times New Roman"/>
        </w:rPr>
        <w:t xml:space="preserve">BRASIL. [Constituição (1988)]. </w:t>
      </w:r>
      <w:r>
        <w:rPr>
          <w:rFonts w:ascii="Times New Roman" w:hAnsi="Times New Roman" w:cs="Times New Roman"/>
          <w:i/>
          <w:iCs/>
        </w:rPr>
        <w:t>Constituição da República Federativa do Brasil de 1988</w:t>
      </w:r>
      <w:r>
        <w:rPr>
          <w:rFonts w:ascii="Times New Roman" w:hAnsi="Times New Roman" w:cs="Times New Roman"/>
        </w:rPr>
        <w:t>. Brasília, DF: Presidência da República, 1988.</w:t>
      </w:r>
    </w:p>
    <w:p w14:paraId="3C93580C" w14:textId="77777777" w:rsidR="00095A4D" w:rsidRDefault="001A3814">
      <w:pPr>
        <w:pStyle w:val="PargrafodaLista"/>
        <w:spacing w:after="0" w:line="360" w:lineRule="auto"/>
        <w:ind w:left="0"/>
        <w:rPr>
          <w:rFonts w:ascii="Times New Roman" w:hAnsi="Times New Roman" w:cs="Times New Roman"/>
        </w:rPr>
      </w:pPr>
      <w:r>
        <w:rPr>
          <w:rFonts w:ascii="Times New Roman" w:hAnsi="Times New Roman" w:cs="Times New Roman"/>
        </w:rPr>
        <w:t xml:space="preserve">BRASIL. Decreto nº 678, de 6 de novembro de 1992. Promulga a Convenção Americana sobre Direitos Humanos (Pacto de São José da Costa Rica), de 22 de novembro de 1969. </w:t>
      </w:r>
      <w:r>
        <w:rPr>
          <w:rFonts w:ascii="Times New Roman" w:hAnsi="Times New Roman" w:cs="Times New Roman"/>
          <w:i/>
          <w:iCs/>
        </w:rPr>
        <w:t>Diário Oficial da União</w:t>
      </w:r>
      <w:r>
        <w:rPr>
          <w:rFonts w:ascii="Times New Roman" w:hAnsi="Times New Roman" w:cs="Times New Roman"/>
        </w:rPr>
        <w:t>: Brasília, DF, 1992.</w:t>
      </w:r>
    </w:p>
    <w:p w14:paraId="7BA5A769" w14:textId="77777777" w:rsidR="00095A4D" w:rsidRDefault="001A3814">
      <w:pPr>
        <w:pStyle w:val="PargrafodaLista"/>
        <w:spacing w:after="0" w:line="360" w:lineRule="auto"/>
        <w:ind w:left="0"/>
        <w:rPr>
          <w:rFonts w:ascii="Times New Roman" w:hAnsi="Times New Roman" w:cs="Times New Roman"/>
        </w:rPr>
      </w:pPr>
      <w:r>
        <w:rPr>
          <w:rFonts w:ascii="Times New Roman" w:hAnsi="Times New Roman" w:cs="Times New Roman"/>
        </w:rPr>
        <w:t xml:space="preserve">BRASIL. Decreto nº 10.088, de 5 de novembro de 2019. Consolida atos normativos editados pelo Poder Executivo Federal que dispõem sobre a promulgação de convenções e recomendações da Organização Internacional do Trabalho - OIT ratificadas pela República Federativa do Brasil. </w:t>
      </w:r>
      <w:r>
        <w:rPr>
          <w:rFonts w:ascii="Times New Roman" w:hAnsi="Times New Roman" w:cs="Times New Roman"/>
          <w:i/>
          <w:iCs/>
        </w:rPr>
        <w:t>Diário Oficial da União</w:t>
      </w:r>
      <w:r>
        <w:rPr>
          <w:rFonts w:ascii="Times New Roman" w:hAnsi="Times New Roman" w:cs="Times New Roman"/>
        </w:rPr>
        <w:t>: Brasília, DF, 2019.</w:t>
      </w:r>
    </w:p>
    <w:p w14:paraId="1D146C4B" w14:textId="77777777" w:rsidR="00095A4D" w:rsidRDefault="001A3814">
      <w:pPr>
        <w:pStyle w:val="PargrafodaLista"/>
        <w:spacing w:after="0" w:line="360" w:lineRule="auto"/>
        <w:ind w:left="0"/>
        <w:rPr>
          <w:rFonts w:ascii="Times New Roman" w:hAnsi="Times New Roman" w:cs="Times New Roman"/>
        </w:rPr>
      </w:pPr>
      <w:r>
        <w:rPr>
          <w:rFonts w:ascii="Times New Roman" w:hAnsi="Times New Roman" w:cs="Times New Roman"/>
        </w:rPr>
        <w:t xml:space="preserve">CORTE AFRICANA DOS DIREITOS HUMANOS E DOS POVOS. </w:t>
      </w:r>
      <w:r>
        <w:rPr>
          <w:rFonts w:ascii="Times New Roman" w:hAnsi="Times New Roman" w:cs="Times New Roman"/>
          <w:i/>
          <w:iCs/>
        </w:rPr>
        <w:t>Request for advisory opinion by l'Association Africaine de Défense des Droits de l'Homme</w:t>
      </w:r>
      <w:r>
        <w:rPr>
          <w:rFonts w:ascii="Times New Roman" w:hAnsi="Times New Roman" w:cs="Times New Roman"/>
        </w:rPr>
        <w:t>: advisory opinion no. 002/2016. Arusha, 28 set. 2017.</w:t>
      </w:r>
    </w:p>
    <w:p w14:paraId="338B4A8B" w14:textId="77777777" w:rsidR="00095A4D" w:rsidRDefault="001A3814">
      <w:pPr>
        <w:pStyle w:val="PargrafodaLista"/>
        <w:spacing w:after="0" w:line="360" w:lineRule="auto"/>
        <w:ind w:left="0"/>
        <w:rPr>
          <w:rFonts w:ascii="Times New Roman" w:hAnsi="Times New Roman" w:cs="Times New Roman"/>
        </w:rPr>
      </w:pPr>
      <w:r>
        <w:rPr>
          <w:rFonts w:ascii="Times New Roman" w:hAnsi="Times New Roman" w:cs="Times New Roman"/>
        </w:rPr>
        <w:t xml:space="preserve">ORGANIZAÇÃO DA UNIDADE AFRICANA. </w:t>
      </w:r>
      <w:r>
        <w:rPr>
          <w:rFonts w:ascii="Times New Roman" w:hAnsi="Times New Roman" w:cs="Times New Roman"/>
          <w:i/>
          <w:iCs/>
        </w:rPr>
        <w:t>Protocolo à Carta Africana dos Direitos Humanos e dos Povos sobre o Estabelecimento de uma Corte Africana dos Direitos Humanos e dos Povos</w:t>
      </w:r>
      <w:r>
        <w:rPr>
          <w:rFonts w:ascii="Times New Roman" w:hAnsi="Times New Roman" w:cs="Times New Roman"/>
        </w:rPr>
        <w:t>. Uagadugu, 1998.</w:t>
      </w:r>
    </w:p>
    <w:p>
      <w:pPr>
        <w:spacing w:before="360" w:after="0" w:line="360" w:lineRule="auto"/>
        <w:jc w:val="left"/>
        <w:rPr>
          <w:rFonts w:ascii="Times New Roman" w:hAnsi="Times New Roman" w:cs="Times New Roman"/>
          <w:b/>
          <w:bCs/>
        </w:rPr>
      </w:pPr>
      <w:r>
        <w:rPr>
          <w:rFonts w:ascii="Times New Roman" w:hAnsi="Times New Roman" w:cs="Times New Roman"/>
          <w:b/>
          <w:bCs/>
        </w:rPr>
        <w:t xml:space="preserve">Declaração de autoria humana (Human-Written Declaration)</w:t>
      </w:r>
    </w:p>
    <w:p>
      <w:pPr>
        <w:spacing w:before="120" w:after="0" w:line="360" w:lineRule="auto"/>
        <w:jc w:val="both"/>
        <w:rPr>
          <w:rFonts w:ascii="Times New Roman" w:hAnsi="Times New Roman" w:cs="Times New Roman"/>
        </w:rPr>
      </w:pPr>
      <w:r>
        <w:rPr>
          <w:rFonts w:ascii="Times New Roman" w:hAnsi="Times New Roman" w:cs="Times New Roman"/>
        </w:rPr>
        <w:t xml:space="preserve">Declaro que este capítulo foi escrito por mim, Willian Barbosa Filho, e que a análise, a argumentação e a redação são de minha autoria. As fontes utilizadas estão citadas e listadas nas referências.</w:t>
      </w:r>
    </w:p>
    <w:sectPr w:rsidR="00095A4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3E1FC" w14:textId="77777777" w:rsidR="001A3814" w:rsidRDefault="001A3814">
      <w:pPr>
        <w:spacing w:after="0" w:line="240" w:lineRule="auto"/>
      </w:pPr>
      <w:r>
        <w:separator/>
      </w:r>
    </w:p>
  </w:endnote>
  <w:endnote w:type="continuationSeparator" w:id="0">
    <w:p w14:paraId="35CCA365" w14:textId="77777777" w:rsidR="001A3814" w:rsidRDefault="001A3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412DF" w14:textId="77777777" w:rsidR="001A3814" w:rsidRDefault="001A3814">
      <w:pPr>
        <w:spacing w:after="0" w:line="240" w:lineRule="auto"/>
      </w:pPr>
      <w:r>
        <w:separator/>
      </w:r>
    </w:p>
  </w:footnote>
  <w:footnote w:type="continuationSeparator" w:id="0">
    <w:p w14:paraId="7FDA4868" w14:textId="77777777" w:rsidR="001A3814" w:rsidRDefault="001A3814">
      <w:pPr>
        <w:spacing w:after="0" w:line="240" w:lineRule="auto"/>
      </w:pPr>
      <w:r>
        <w:continuationSeparator/>
      </w:r>
    </w:p>
  </w:footnote>
  <w:footnote w:id="1">
    <w:p w14:paraId="01B79369" w14:textId="7D14BB65" w:rsidR="00095A4D" w:rsidRDefault="001A3814">
      <w:pPr>
        <w:spacing w:after="0" w:line="240" w:lineRule="auto"/>
        <w:jc w:val="both"/>
        <w:rPr>
          <w:rFonts w:ascii="Times New Roman" w:hAnsi="Times New Roman" w:cs="Times New Roman"/>
          <w:sz w:val="20"/>
          <w:szCs w:val="20"/>
        </w:rPr>
      </w:pPr>
      <w:r>
        <w:rPr>
          <w:rFonts w:ascii="Times New Roman" w:hAnsi="Times New Roman" w:cs="Times New Roman"/>
          <w:sz w:val="20"/>
          <w:vertAlign w:val="superscript"/>
        </w:rPr>
        <w:footnoteRef/>
      </w:r>
      <w:r>
        <w:rPr>
          <w:rFonts w:ascii="Times New Roman" w:hAnsi="Times New Roman" w:cs="Times New Roman"/>
          <w:sz w:val="20"/>
          <w:szCs w:val="20"/>
        </w:rPr>
        <w:t xml:space="preserve"> </w:t>
      </w:r>
      <w:r w:rsidR="00CA7CD1">
        <w:rPr>
          <w:rFonts w:ascii="Times New Roman" w:hAnsi="Times New Roman" w:cs="Times New Roman"/>
          <w:sz w:val="20"/>
          <w:szCs w:val="20"/>
        </w:rPr>
        <w:t xml:space="preserve">Graduando em direito </w:t>
      </w:r>
      <w:r w:rsidR="003F5C2D">
        <w:rPr>
          <w:rFonts w:ascii="Times New Roman" w:hAnsi="Times New Roman" w:cs="Times New Roman"/>
          <w:sz w:val="20"/>
          <w:szCs w:val="20"/>
        </w:rPr>
        <w:t xml:space="preserve">(UFMA, em andamento). </w:t>
      </w:r>
      <w:r w:rsidR="008B1AEE">
        <w:rPr>
          <w:rFonts w:ascii="Times New Roman" w:hAnsi="Times New Roman" w:cs="Times New Roman"/>
          <w:sz w:val="20"/>
          <w:szCs w:val="20"/>
        </w:rPr>
        <w:t>M</w:t>
      </w:r>
      <w:r w:rsidR="00CA7CD1">
        <w:rPr>
          <w:rFonts w:ascii="Times New Roman" w:hAnsi="Times New Roman" w:cs="Times New Roman"/>
          <w:sz w:val="20"/>
          <w:szCs w:val="20"/>
        </w:rPr>
        <w:t>estre em Desenvolvimento Socioespacial e Regional (UEMA)</w:t>
      </w:r>
      <w:r>
        <w:rPr>
          <w:rFonts w:ascii="Times New Roman" w:hAnsi="Times New Roman" w:cs="Times New Roman"/>
          <w:sz w:val="20"/>
          <w:szCs w:val="20"/>
        </w:rPr>
        <w:t xml:space="preserve">. </w:t>
      </w:r>
      <w:r>
        <w:rPr>
          <w:rFonts w:ascii="Times New Roman" w:hAnsi="Times New Roman" w:cs="Times New Roman"/>
          <w:sz w:val="20"/>
          <w:szCs w:val="20"/>
        </w:rPr>
        <w:t xml:space="preserve">Integrante do Grupo de Pesquisa GPDNES. </w:t>
      </w:r>
      <w:r w:rsidR="008E2C30">
        <w:rPr>
          <w:rFonts w:ascii="Times New Roman" w:hAnsi="Times New Roman" w:cs="Times New Roman"/>
          <w:sz w:val="20"/>
          <w:szCs w:val="20"/>
        </w:rPr>
        <w:t xml:space="preserve">E-mail: </w:t>
      </w:r>
      <w:hyperlink r:id="rId1" w:history="1">
        <w:r w:rsidR="008E2C30" w:rsidRPr="00FD23C3">
          <w:rPr>
            <w:rStyle w:val="Hyperlink"/>
            <w:rFonts w:ascii="Times New Roman" w:hAnsi="Times New Roman" w:cs="Times New Roman"/>
            <w:sz w:val="20"/>
            <w:szCs w:val="20"/>
          </w:rPr>
          <w:t>willian.filho@ufma.br</w:t>
        </w:r>
      </w:hyperlink>
      <w:r w:rsidR="008E2C30">
        <w:rPr>
          <w:rFonts w:ascii="Times New Roman" w:hAnsi="Times New Roman" w:cs="Times New Roman"/>
          <w:sz w:val="20"/>
          <w:szCs w:val="20"/>
        </w:rPr>
        <w:t xml:space="preserve">. </w:t>
      </w:r>
      <w:r w:rsidR="00E92770" w:rsidRPr="00E92770">
        <w:rPr>
          <w:rFonts w:ascii="Times New Roman" w:hAnsi="Times New Roman" w:cs="Times New Roman"/>
          <w:b/>
          <w:bCs/>
          <w:sz w:val="20"/>
          <w:szCs w:val="20"/>
        </w:rPr>
        <w:t xml:space="preserve">Lattes </w:t>
      </w:r>
      <w:r w:rsidR="00E92770">
        <w:rPr>
          <w:rFonts w:ascii="Times New Roman" w:hAnsi="Times New Roman" w:cs="Times New Roman"/>
          <w:b/>
          <w:bCs/>
          <w:sz w:val="20"/>
          <w:szCs w:val="20"/>
        </w:rPr>
        <w:t>I</w:t>
      </w:r>
      <w:r w:rsidR="00E92770" w:rsidRPr="00E92770">
        <w:rPr>
          <w:rFonts w:ascii="Times New Roman" w:hAnsi="Times New Roman" w:cs="Times New Roman"/>
          <w:b/>
          <w:bCs/>
          <w:sz w:val="20"/>
          <w:szCs w:val="20"/>
        </w:rPr>
        <w:t>D</w:t>
      </w:r>
      <w:r w:rsidR="00E92770">
        <w:rPr>
          <w:rFonts w:ascii="Times New Roman" w:hAnsi="Times New Roman" w:cs="Times New Roman"/>
          <w:b/>
          <w:bCs/>
          <w:sz w:val="20"/>
          <w:szCs w:val="20"/>
        </w:rPr>
        <w:t xml:space="preserve">: </w:t>
      </w:r>
      <w:hyperlink r:id="rId2" w:history="1">
        <w:r w:rsidR="00E92770" w:rsidRPr="00FD23C3">
          <w:rPr>
            <w:rStyle w:val="Hyperlink"/>
            <w:rFonts w:ascii="Times New Roman" w:hAnsi="Times New Roman" w:cs="Times New Roman"/>
            <w:sz w:val="20"/>
            <w:szCs w:val="20"/>
          </w:rPr>
          <w:t>http://lattes.cnpq.br/4200383484211817</w:t>
        </w:r>
      </w:hyperlink>
    </w:p>
    <w:p w14:paraId="36F9DB43" w14:textId="77777777" w:rsidR="00E50746" w:rsidRDefault="00E50746">
      <w:pPr>
        <w:spacing w:after="0" w:line="240" w:lineRule="auto"/>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664"/>
    <w:multiLevelType w:val="hybridMultilevel"/>
    <w:tmpl w:val="7B7A8E2C"/>
    <w:lvl w:ilvl="0" w:tplc="D642431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8902838"/>
    <w:multiLevelType w:val="multilevel"/>
    <w:tmpl w:val="5B4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421996">
    <w:abstractNumId w:val="0"/>
  </w:num>
  <w:num w:numId="2" w16cid:durableId="587277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26"/>
    <w:rsid w:val="000113AB"/>
    <w:rsid w:val="00014F67"/>
    <w:rsid w:val="00015E55"/>
    <w:rsid w:val="0002369D"/>
    <w:rsid w:val="00040EBC"/>
    <w:rsid w:val="0004549E"/>
    <w:rsid w:val="00053E5E"/>
    <w:rsid w:val="00054E2A"/>
    <w:rsid w:val="00067DB2"/>
    <w:rsid w:val="00085E6E"/>
    <w:rsid w:val="00095A4D"/>
    <w:rsid w:val="000A1FD5"/>
    <w:rsid w:val="000E0E88"/>
    <w:rsid w:val="000E1BA2"/>
    <w:rsid w:val="001066EC"/>
    <w:rsid w:val="00121795"/>
    <w:rsid w:val="001472D1"/>
    <w:rsid w:val="0015683A"/>
    <w:rsid w:val="001A3814"/>
    <w:rsid w:val="001E56A1"/>
    <w:rsid w:val="001F28EC"/>
    <w:rsid w:val="001F3EF6"/>
    <w:rsid w:val="001F7CEB"/>
    <w:rsid w:val="0021791B"/>
    <w:rsid w:val="002740C4"/>
    <w:rsid w:val="002801FC"/>
    <w:rsid w:val="00291DC0"/>
    <w:rsid w:val="002A2802"/>
    <w:rsid w:val="002C03DA"/>
    <w:rsid w:val="002C6E3A"/>
    <w:rsid w:val="002E60A5"/>
    <w:rsid w:val="002F5066"/>
    <w:rsid w:val="003008D0"/>
    <w:rsid w:val="00300A5F"/>
    <w:rsid w:val="003042C7"/>
    <w:rsid w:val="00305DF6"/>
    <w:rsid w:val="00337CA5"/>
    <w:rsid w:val="003665BA"/>
    <w:rsid w:val="00372BB9"/>
    <w:rsid w:val="00384E9C"/>
    <w:rsid w:val="0039348D"/>
    <w:rsid w:val="003B592D"/>
    <w:rsid w:val="003C40EA"/>
    <w:rsid w:val="003F5C2D"/>
    <w:rsid w:val="0040644C"/>
    <w:rsid w:val="00426849"/>
    <w:rsid w:val="00486B83"/>
    <w:rsid w:val="004E71AB"/>
    <w:rsid w:val="004F25DC"/>
    <w:rsid w:val="004F2F7B"/>
    <w:rsid w:val="0050128F"/>
    <w:rsid w:val="00513F63"/>
    <w:rsid w:val="00514421"/>
    <w:rsid w:val="005237D4"/>
    <w:rsid w:val="0054298C"/>
    <w:rsid w:val="005A696C"/>
    <w:rsid w:val="005C73F3"/>
    <w:rsid w:val="005F5E49"/>
    <w:rsid w:val="006310BD"/>
    <w:rsid w:val="0063374A"/>
    <w:rsid w:val="00633CA5"/>
    <w:rsid w:val="00641F94"/>
    <w:rsid w:val="00645BE1"/>
    <w:rsid w:val="00646AB0"/>
    <w:rsid w:val="00652108"/>
    <w:rsid w:val="0067643E"/>
    <w:rsid w:val="006B0A88"/>
    <w:rsid w:val="006C3873"/>
    <w:rsid w:val="006E3B89"/>
    <w:rsid w:val="006E6AA8"/>
    <w:rsid w:val="006F0162"/>
    <w:rsid w:val="006F2996"/>
    <w:rsid w:val="007213D1"/>
    <w:rsid w:val="00772EBD"/>
    <w:rsid w:val="00776A4B"/>
    <w:rsid w:val="007D19F0"/>
    <w:rsid w:val="007E2D2C"/>
    <w:rsid w:val="00802776"/>
    <w:rsid w:val="0082173C"/>
    <w:rsid w:val="00822C4D"/>
    <w:rsid w:val="00827E6B"/>
    <w:rsid w:val="00830549"/>
    <w:rsid w:val="0085126A"/>
    <w:rsid w:val="00861F3C"/>
    <w:rsid w:val="00887E23"/>
    <w:rsid w:val="008B043D"/>
    <w:rsid w:val="008B1AEE"/>
    <w:rsid w:val="008C2DE9"/>
    <w:rsid w:val="008D5A30"/>
    <w:rsid w:val="008D6222"/>
    <w:rsid w:val="008E2C30"/>
    <w:rsid w:val="008F7880"/>
    <w:rsid w:val="00906E5B"/>
    <w:rsid w:val="00907D74"/>
    <w:rsid w:val="00910044"/>
    <w:rsid w:val="00925975"/>
    <w:rsid w:val="009644AF"/>
    <w:rsid w:val="00983FA9"/>
    <w:rsid w:val="009A4BF8"/>
    <w:rsid w:val="009B0E96"/>
    <w:rsid w:val="009B2DDA"/>
    <w:rsid w:val="009C4D65"/>
    <w:rsid w:val="009E0289"/>
    <w:rsid w:val="00A445E2"/>
    <w:rsid w:val="00A4501B"/>
    <w:rsid w:val="00A55FC6"/>
    <w:rsid w:val="00AA3A78"/>
    <w:rsid w:val="00AC6A81"/>
    <w:rsid w:val="00B136BA"/>
    <w:rsid w:val="00B17C03"/>
    <w:rsid w:val="00B75E20"/>
    <w:rsid w:val="00B969B4"/>
    <w:rsid w:val="00BA651C"/>
    <w:rsid w:val="00BB40CB"/>
    <w:rsid w:val="00BF016D"/>
    <w:rsid w:val="00BF1D60"/>
    <w:rsid w:val="00C051F0"/>
    <w:rsid w:val="00C41DB6"/>
    <w:rsid w:val="00C55B5E"/>
    <w:rsid w:val="00C65978"/>
    <w:rsid w:val="00CA7CD1"/>
    <w:rsid w:val="00CB3CC6"/>
    <w:rsid w:val="00D0667C"/>
    <w:rsid w:val="00D12135"/>
    <w:rsid w:val="00D53BC2"/>
    <w:rsid w:val="00D5628B"/>
    <w:rsid w:val="00D56737"/>
    <w:rsid w:val="00D56DA9"/>
    <w:rsid w:val="00D95AC6"/>
    <w:rsid w:val="00DB3A70"/>
    <w:rsid w:val="00DD743F"/>
    <w:rsid w:val="00DE4BC1"/>
    <w:rsid w:val="00DF4FA8"/>
    <w:rsid w:val="00DF5D22"/>
    <w:rsid w:val="00E25751"/>
    <w:rsid w:val="00E432A7"/>
    <w:rsid w:val="00E45AFB"/>
    <w:rsid w:val="00E50746"/>
    <w:rsid w:val="00E5434F"/>
    <w:rsid w:val="00E56926"/>
    <w:rsid w:val="00E64B69"/>
    <w:rsid w:val="00E8408A"/>
    <w:rsid w:val="00E90BC1"/>
    <w:rsid w:val="00E92770"/>
    <w:rsid w:val="00EA307F"/>
    <w:rsid w:val="00EC5BC1"/>
    <w:rsid w:val="00EC7FD0"/>
    <w:rsid w:val="00F52D47"/>
    <w:rsid w:val="00F63B65"/>
    <w:rsid w:val="00F97EAE"/>
    <w:rsid w:val="00FC0B44"/>
    <w:rsid w:val="00FC0B98"/>
    <w:rsid w:val="00FC75E7"/>
    <w:rsid w:val="00FE4450"/>
    <w:rsid w:val="00FE5BB0"/>
    <w:rsid w:val="00FF17D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FE3C"/>
  <w15:chartTrackingRefBased/>
  <w15:docId w15:val="{DF471B22-5A7F-49A6-A1BB-333C5AAA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926"/>
  </w:style>
  <w:style w:type="paragraph" w:styleId="Ttulo1">
    <w:name w:val="heading 1"/>
    <w:basedOn w:val="Normal"/>
    <w:next w:val="Normal"/>
    <w:link w:val="Ttulo1Char"/>
    <w:uiPriority w:val="9"/>
    <w:qFormat/>
    <w:rsid w:val="00E56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56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569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569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569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569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69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69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692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692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5692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5692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5692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5692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5692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692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692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6926"/>
    <w:rPr>
      <w:rFonts w:eastAsiaTheme="majorEastAsia" w:cstheme="majorBidi"/>
      <w:color w:val="272727" w:themeColor="text1" w:themeTint="D8"/>
    </w:rPr>
  </w:style>
  <w:style w:type="paragraph" w:styleId="Ttulo">
    <w:name w:val="Title"/>
    <w:basedOn w:val="Normal"/>
    <w:next w:val="Normal"/>
    <w:link w:val="TtuloChar"/>
    <w:uiPriority w:val="10"/>
    <w:qFormat/>
    <w:rsid w:val="00E56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69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692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692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6926"/>
    <w:pPr>
      <w:spacing w:before="160"/>
      <w:jc w:val="center"/>
    </w:pPr>
    <w:rPr>
      <w:i/>
      <w:iCs/>
      <w:color w:val="404040" w:themeColor="text1" w:themeTint="BF"/>
    </w:rPr>
  </w:style>
  <w:style w:type="character" w:customStyle="1" w:styleId="CitaoChar">
    <w:name w:val="Citação Char"/>
    <w:basedOn w:val="Fontepargpadro"/>
    <w:link w:val="Citao"/>
    <w:uiPriority w:val="29"/>
    <w:rsid w:val="00E56926"/>
    <w:rPr>
      <w:i/>
      <w:iCs/>
      <w:color w:val="404040" w:themeColor="text1" w:themeTint="BF"/>
    </w:rPr>
  </w:style>
  <w:style w:type="paragraph" w:styleId="PargrafodaLista">
    <w:name w:val="List Paragraph"/>
    <w:basedOn w:val="Normal"/>
    <w:uiPriority w:val="34"/>
    <w:qFormat/>
    <w:rsid w:val="00E56926"/>
    <w:pPr>
      <w:ind w:left="720"/>
      <w:contextualSpacing/>
    </w:pPr>
  </w:style>
  <w:style w:type="character" w:styleId="nfaseIntensa">
    <w:name w:val="Intense Emphasis"/>
    <w:basedOn w:val="Fontepargpadro"/>
    <w:uiPriority w:val="21"/>
    <w:qFormat/>
    <w:rsid w:val="00E56926"/>
    <w:rPr>
      <w:i/>
      <w:iCs/>
      <w:color w:val="0F4761" w:themeColor="accent1" w:themeShade="BF"/>
    </w:rPr>
  </w:style>
  <w:style w:type="paragraph" w:styleId="CitaoIntensa">
    <w:name w:val="Intense Quote"/>
    <w:basedOn w:val="Normal"/>
    <w:next w:val="Normal"/>
    <w:link w:val="CitaoIntensaChar"/>
    <w:uiPriority w:val="30"/>
    <w:qFormat/>
    <w:rsid w:val="00E56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56926"/>
    <w:rPr>
      <w:i/>
      <w:iCs/>
      <w:color w:val="0F4761" w:themeColor="accent1" w:themeShade="BF"/>
    </w:rPr>
  </w:style>
  <w:style w:type="character" w:styleId="RefernciaIntensa">
    <w:name w:val="Intense Reference"/>
    <w:basedOn w:val="Fontepargpadro"/>
    <w:uiPriority w:val="32"/>
    <w:qFormat/>
    <w:rsid w:val="00E56926"/>
    <w:rPr>
      <w:b/>
      <w:bCs/>
      <w:smallCaps/>
      <w:color w:val="0F4761" w:themeColor="accent1" w:themeShade="BF"/>
      <w:spacing w:val="5"/>
    </w:rPr>
  </w:style>
  <w:style w:type="table" w:styleId="Tabelacomgrade">
    <w:name w:val="Table Grid"/>
    <w:basedOn w:val="Tabelanormal"/>
    <w:uiPriority w:val="39"/>
    <w:rsid w:val="00E5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8D5A3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D5A30"/>
    <w:rPr>
      <w:sz w:val="20"/>
      <w:szCs w:val="20"/>
    </w:rPr>
  </w:style>
  <w:style w:type="character" w:styleId="Refdenotaderodap">
    <w:name w:val="footnote reference"/>
    <w:basedOn w:val="Fontepargpadro"/>
    <w:uiPriority w:val="99"/>
    <w:semiHidden/>
    <w:unhideWhenUsed/>
    <w:rsid w:val="008D5A30"/>
    <w:rPr>
      <w:vertAlign w:val="superscript"/>
    </w:rPr>
  </w:style>
  <w:style w:type="character" w:styleId="Hyperlink">
    <w:name w:val="Hyperlink"/>
    <w:basedOn w:val="Fontepargpadro"/>
    <w:uiPriority w:val="99"/>
    <w:unhideWhenUsed/>
    <w:rsid w:val="008E2C30"/>
    <w:rPr>
      <w:color w:val="467886" w:themeColor="hyperlink"/>
      <w:u w:val="single"/>
    </w:rPr>
  </w:style>
  <w:style w:type="character" w:styleId="MenoPendente">
    <w:name w:val="Unresolved Mention"/>
    <w:basedOn w:val="Fontepargpadro"/>
    <w:uiPriority w:val="99"/>
    <w:semiHidden/>
    <w:unhideWhenUsed/>
    <w:rsid w:val="008E2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lattes.cnpq.br/4200383484211817" TargetMode="External"/><Relationship Id="rId1" Type="http://schemas.openxmlformats.org/officeDocument/2006/relationships/hyperlink" Target="mailto:willian.filho@ufma.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E2067B-BE7C-4146-991C-48E6271A884B}">
  <we:reference id="wa200000368" version="1.0.0.0" store="pt-BR" storeType="OMEX"/>
  <we:alternateReferences>
    <we:reference id="WA200000368" version="1.0.0.0" store="WA200000368" storeType="OMEX"/>
  </we:alternateReferences>
  <we:properties>
    <we:property name="documentId" value="&quot;b0bb6611fe4d65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F57B2-DA0C-4DC4-8890-86474326B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14</Pages>
  <Words>5580</Words>
  <Characters>30136</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Thayana Bosi</dc:creator>
  <cp:keywords/>
  <dc:description/>
  <cp:lastModifiedBy>WILLIAN BARBOSA FILHO</cp:lastModifiedBy>
  <cp:revision>156</cp:revision>
  <dcterms:created xsi:type="dcterms:W3CDTF">2026-10-07T18:34:00Z</dcterms:created>
  <dcterms:modified xsi:type="dcterms:W3CDTF">2026-10-12T20:28:00Z</dcterms:modified>
</cp:coreProperties>
</file>