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0" w:line="360" w:lineRule="auto"/>
        <w:ind w:left="0" w:firstLine="0"/>
        <w:jc w:val="center"/>
      </w:pPr>
      <w:r>
        <w:rPr>
          <w:rFonts w:ascii="Times New Roman" w:hAnsi="Times New Roman" w:cs="Times New Roman" w:eastAsia="Times New Roman"/>
          <w:sz w:val="24"/>
          <w:szCs w:val="24"/>
          <w:b/>
          <w:bCs/>
        </w:rPr>
        <w:t xml:space="preserve">Caso das comunidades quilombolas de Alcântara vs. Brasil (2024)</w:t>
      </w:r>
    </w:p>
    <w:p>
      <w:pPr>
        <w:spacing w:before="0" w:after="0" w:line="360" w:lineRule="auto"/>
        <w:ind w:left="0" w:firstLine="0"/>
        <w:jc w:val="right"/>
      </w:pPr>
      <w:r>
        <w:rPr>
          <w:rFonts w:ascii="Times New Roman" w:hAnsi="Times New Roman" w:cs="Times New Roman" w:eastAsia="Times New Roman"/>
          <w:sz w:val="24"/>
          <w:szCs w:val="24"/>
          <w:highlight w:val="yellow"/>
        </w:rPr>
        <w:t xml:space="preserve">[Nome do autor]</w:t>
      </w:r>
      <w:r>
        <w:rPr>
          <w:rFonts w:ascii="Times New Roman" w:hAnsi="Times New Roman" w:cs="Times New Roman" w:eastAsia="Times New Roman"/>
          <w:sz w:val="24"/>
          <w:szCs w:val="24"/>
          <w:vertAlign w:val="superscript"/>
        </w:rPr>
        <w:footnoteReference w:id="2"/>
      </w:r>
    </w:p>
    <w:p>
      <w:pPr>
        <w:spacing w:before="0" w:after="0" w:line="360" w:lineRule="auto"/>
        <w:ind w:left="0" w:firstLine="0"/>
        <w:jc w:val="left"/>
      </w:pPr>
      <w:r>
        <w:rPr>
          <w:rFonts w:ascii="Times New Roman" w:hAnsi="Times New Roman" w:cs="Times New Roman" w:eastAsia="Times New Roman"/>
          <w:sz w:val="24"/>
          <w:szCs w:val="24"/>
          <w:b/>
          <w:bCs/>
        </w:rPr>
        <w:t xml:space="preserve">Identificação do caso</w:t>
      </w:r>
    </w:p>
    <w:p>
      <w:pPr>
        <w:spacing w:before="0" w:after="0" w:line="360" w:lineRule="auto"/>
        <w:ind w:firstLine="1134"/>
        <w:jc w:val="both"/>
      </w:pPr>
      <w:r>
        <w:rPr>
          <w:rFonts w:ascii="Times New Roman" w:hAnsi="Times New Roman" w:cs="Times New Roman" w:eastAsia="Times New Roman"/>
          <w:sz w:val="24"/>
          <w:szCs w:val="24"/>
        </w:rPr>
        <w:t xml:space="preserve">O Caso das comunidades quilombolas de Alcântara vs. Brasil foi decidido pela Corte Interamericana de Direitos Humanos (Corte IDH) em sentença de 21 de novembro de 2024, que tratou de exceções preliminares, mérito, reparações e custas (Corte Interamericana de Direitos Humanos, 2024). </w:t>
      </w:r>
      <w:r>
        <w:rPr>
          <w:rFonts w:ascii="Times New Roman" w:hAnsi="Times New Roman" w:cs="Times New Roman" w:eastAsia="Times New Roman"/>
          <w:sz w:val="24"/>
          <w:szCs w:val="24"/>
          <w:highlight w:val="yellow"/>
        </w:rPr>
        <w:t xml:space="preserve">VERIFICAR: o resumo expandido de origem indica 20 de maio de 2024; as fontes consultadas apontam 21 de novembro de 2024 (Série C nº 548). Confirmar na sentença.</w:t>
      </w:r>
      <w:r>
        <w:rPr>
          <w:rFonts w:ascii="Times New Roman" w:hAnsi="Times New Roman" w:cs="Times New Roman" w:eastAsia="Times New Roman"/>
          <w:sz w:val="24"/>
          <w:szCs w:val="24"/>
        </w:rPr>
        <w:t xml:space="preserve"> A Corte declarou o Estado brasileiro internacionalmente responsável por violações de direitos de comunidades quilombolas do município de Alcântara, no Maranhão, relacionadas à instalação e ao funcionamento do Centro de Lançamento de Alcântara (CLA) em parte de seu território tradicional.</w:t>
      </w:r>
    </w:p>
    <w:p>
      <w:pPr>
        <w:spacing w:before="0" w:after="0" w:line="360" w:lineRule="auto"/>
        <w:ind w:firstLine="1134"/>
        <w:jc w:val="both"/>
      </w:pPr>
      <w:r>
        <w:rPr>
          <w:rFonts w:ascii="Times New Roman" w:hAnsi="Times New Roman" w:cs="Times New Roman" w:eastAsia="Times New Roman"/>
          <w:sz w:val="24"/>
          <w:szCs w:val="24"/>
        </w:rPr>
        <w:t xml:space="preserve">Trata-se de caso contencioso. De um lado estão as comunidades quilombolas de Alcântara, cuja petição chegou à Comissão Interamericana de Direitos Humanos em 2001; do outro, a República Federativa do Brasil. </w:t>
      </w:r>
      <w:r>
        <w:rPr>
          <w:rFonts w:ascii="Times New Roman" w:hAnsi="Times New Roman" w:cs="Times New Roman" w:eastAsia="Times New Roman"/>
          <w:sz w:val="24"/>
          <w:szCs w:val="24"/>
          <w:highlight w:val="yellow"/>
        </w:rPr>
        <w:t xml:space="preserve">VERIFICAR: nomes dos peticionários e número de comunidades reconhecidas como vítimas. O resumo de origem fala em 32 comunidades deslocadas; fontes consultadas falam em 171 comunidades beneficiadas pela reparação coletiva.</w:t>
      </w:r>
    </w:p>
    <w:p>
      <w:pPr>
        <w:spacing w:before="0" w:after="0" w:line="360" w:lineRule="auto"/>
        <w:ind w:firstLine="1134"/>
        <w:jc w:val="both"/>
      </w:pPr>
      <w:r>
        <w:rPr>
          <w:rFonts w:ascii="Times New Roman" w:hAnsi="Times New Roman" w:cs="Times New Roman" w:eastAsia="Times New Roman"/>
          <w:sz w:val="24"/>
          <w:szCs w:val="24"/>
        </w:rPr>
        <w:t xml:space="preserve">Os direitos em discussão giram em torno da propriedade coletiva da terra, da consulta prévia, dos meios de subsistência e da proteção judicial. Segundo reportagem consultada, o Estado foi considerado responsável pela violação dos direitos à proteção da família, à propriedade coletiva, à alimentação adequada, à moradia adequada, à participação na vida cultural, à educação, às garantias judiciais e à proteção judicial (O Imparcial, 2025). </w:t>
      </w:r>
      <w:r>
        <w:rPr>
          <w:rFonts w:ascii="Times New Roman" w:hAnsi="Times New Roman" w:cs="Times New Roman" w:eastAsia="Times New Roman"/>
          <w:sz w:val="24"/>
          <w:szCs w:val="24"/>
          <w:highlight w:val="yellow"/>
        </w:rPr>
        <w:t xml:space="preserve">VERIFICAR: a lista exata de artigos da Convenção Americana declarados violados deve ser tirada da sentença. A petição de 2001 invocava os artigos 1(1), 8, 16, 17, 21, 22, 25 e 26.</w:t>
      </w:r>
      <w:r>
        <w:rPr>
          <w:rFonts w:ascii="Times New Roman" w:hAnsi="Times New Roman" w:cs="Times New Roman" w:eastAsia="Times New Roman"/>
          <w:sz w:val="24"/>
          <w:szCs w:val="24"/>
        </w:rPr>
        <w:t xml:space="preserve"> A decisão não foi unânime em todos os pontos: os juízes Ferrer Mac-Gregor, Pérez Manrique e Verónica Gómez apresentaram votos parcialmente dissidentes, em especial sobre o efeito contínuo do deslocamento forçado. </w:t>
      </w:r>
      <w:r>
        <w:rPr>
          <w:rFonts w:ascii="Times New Roman" w:hAnsi="Times New Roman" w:cs="Times New Roman" w:eastAsia="Times New Roman"/>
          <w:sz w:val="24"/>
          <w:szCs w:val="24"/>
          <w:highlight w:val="yellow"/>
        </w:rPr>
        <w:t xml:space="preserve">VERIFICAR: conteúdo e alcance dos votos.</w:t>
      </w:r>
    </w:p>
    <w:p>
      <w:pPr>
        <w:spacing w:before="0" w:after="0" w:line="360" w:lineRule="auto"/>
        <w:ind w:left="0" w:firstLine="0"/>
        <w:jc w:val="left"/>
      </w:pPr>
      <w:r>
        <w:rPr>
          <w:rFonts w:ascii="Times New Roman" w:hAnsi="Times New Roman" w:cs="Times New Roman" w:eastAsia="Times New Roman"/>
          <w:sz w:val="24"/>
          <w:szCs w:val="24"/>
          <w:b/>
          <w:bCs/>
        </w:rPr>
        <w:t xml:space="preserve">Análise da situação fática</w:t>
      </w:r>
    </w:p>
    <w:p>
      <w:pPr>
        <w:spacing w:before="0" w:after="0" w:line="360" w:lineRule="auto"/>
        <w:ind w:firstLine="1134"/>
        <w:jc w:val="both"/>
      </w:pPr>
      <w:r>
        <w:rPr>
          <w:rFonts w:ascii="Times New Roman" w:hAnsi="Times New Roman" w:cs="Times New Roman" w:eastAsia="Times New Roman"/>
          <w:sz w:val="24"/>
          <w:szCs w:val="24"/>
        </w:rPr>
        <w:t xml:space="preserve">O conflito começou na década de 1980, quando o governo brasileiro, ainda sob a ditadura militar, decidiu instalar uma base aeroespacial em Alcântara. Sob o argumento da segurança nacional e da utilidade pública, o Estado desapropriou terras habitadas por comunidades quilombolas que ali viviam desde o período colonial e mantinham forte ligação cultural, social e econômica com o território. </w:t>
      </w:r>
      <w:r>
        <w:rPr>
          <w:rFonts w:ascii="Times New Roman" w:hAnsi="Times New Roman" w:cs="Times New Roman" w:eastAsia="Times New Roman"/>
          <w:sz w:val="24"/>
          <w:szCs w:val="24"/>
          <w:highlight w:val="yellow"/>
        </w:rPr>
        <w:t xml:space="preserve">VERIFICAR: o resumo de origem fala em cerca de 62 mil hectares; confirmar a área do decreto de desapropriação na sentença.</w:t>
      </w:r>
    </w:p>
    <w:p>
      <w:pPr>
        <w:spacing w:before="0" w:after="0" w:line="360" w:lineRule="auto"/>
        <w:ind w:firstLine="1134"/>
        <w:jc w:val="both"/>
      </w:pPr>
      <w:r>
        <w:rPr>
          <w:rFonts w:ascii="Times New Roman" w:hAnsi="Times New Roman" w:cs="Times New Roman" w:eastAsia="Times New Roman"/>
          <w:sz w:val="24"/>
          <w:szCs w:val="24"/>
        </w:rPr>
        <w:t xml:space="preserve">Cerca de 312 famílias de 32 comunidades foram retiradas de seus lares e reassentadas em agrovilas (Corte Interamericana de Direitos Humanos, 2024). </w:t>
      </w:r>
      <w:r>
        <w:rPr>
          <w:rFonts w:ascii="Times New Roman" w:hAnsi="Times New Roman" w:cs="Times New Roman" w:eastAsia="Times New Roman"/>
          <w:sz w:val="24"/>
          <w:szCs w:val="24"/>
          <w:highlight w:val="yellow"/>
        </w:rPr>
        <w:t xml:space="preserve">VERIFICAR números.</w:t>
      </w:r>
      <w:r>
        <w:rPr>
          <w:rFonts w:ascii="Times New Roman" w:hAnsi="Times New Roman" w:cs="Times New Roman" w:eastAsia="Times New Roman"/>
          <w:sz w:val="24"/>
          <w:szCs w:val="24"/>
        </w:rPr>
        <w:t xml:space="preserve"> Segundo o resumo de origem, o projeto das agrovilas ignorou o modo de vida tradicional: as terras destinadas ao cultivo eram inférteis e distantes das novas moradias; a perda de acesso ao litoral inviabilizou a pesca artesanal, principal fonte de alimento e sustento; e a divisão geográfica desfez redes de solidariedade que sustentavam a convivência comunitária.</w:t>
      </w:r>
    </w:p>
    <w:p>
      <w:pPr>
        <w:spacing w:before="0" w:after="0" w:line="360" w:lineRule="auto"/>
        <w:ind w:firstLine="1134"/>
        <w:jc w:val="both"/>
      </w:pPr>
      <w:r>
        <w:rPr>
          <w:rFonts w:ascii="Times New Roman" w:hAnsi="Times New Roman" w:cs="Times New Roman" w:eastAsia="Times New Roman"/>
          <w:sz w:val="24"/>
          <w:szCs w:val="24"/>
        </w:rPr>
        <w:t xml:space="preserve">Enquanto as famílias enfrentavam o empobrecimento e a perda de referências culturais, o Estado investiu na exploração comercial da base, com parcerias internacionais de longo prazo, entre elas com os Estados Unidos e a Ucrânia (Costa, 2019). </w:t>
      </w:r>
      <w:r>
        <w:rPr>
          <w:rFonts w:ascii="Times New Roman" w:hAnsi="Times New Roman" w:cs="Times New Roman" w:eastAsia="Times New Roman"/>
          <w:sz w:val="24"/>
          <w:szCs w:val="24"/>
          <w:highlight w:val="yellow"/>
        </w:rPr>
        <w:t xml:space="preserve">VERIFICAR página e se a fonte sustenta cada parceria.</w:t>
      </w:r>
      <w:r>
        <w:rPr>
          <w:rFonts w:ascii="Times New Roman" w:hAnsi="Times New Roman" w:cs="Times New Roman" w:eastAsia="Times New Roman"/>
          <w:sz w:val="24"/>
          <w:szCs w:val="24"/>
        </w:rPr>
        <w:t xml:space="preserve"> Durante mais de quarenta anos, a regularização das terras remanescentes foi sucessivamente adiada, o que manteve as comunidades em situação de vulnerabilidade e insegurança jurídica. Em setembro de 2024, pouco antes da sentença, o Estado firmou um acordo com representantes das comunidades, criticado por organizações de defesa de direitos humanos por poder esvaziar a decisão internacional (Justiça Global, 2024). </w:t>
      </w:r>
      <w:r>
        <w:rPr>
          <w:rFonts w:ascii="Times New Roman" w:hAnsi="Times New Roman" w:cs="Times New Roman" w:eastAsia="Times New Roman"/>
          <w:sz w:val="24"/>
          <w:szCs w:val="24"/>
          <w:highlight w:val="yellow"/>
        </w:rPr>
        <w:t xml:space="preserve">VERIFICAR referência e data do acordo.</w:t>
      </w:r>
    </w:p>
    <w:p>
      <w:pPr>
        <w:spacing w:before="0" w:after="0" w:line="360" w:lineRule="auto"/>
        <w:ind w:left="0" w:firstLine="0"/>
        <w:jc w:val="left"/>
      </w:pPr>
      <w:r>
        <w:rPr>
          <w:rFonts w:ascii="Times New Roman" w:hAnsi="Times New Roman" w:cs="Times New Roman" w:eastAsia="Times New Roman"/>
          <w:sz w:val="24"/>
          <w:szCs w:val="24"/>
          <w:b/>
          <w:bCs/>
        </w:rPr>
        <w:t xml:space="preserve">Determinações da Corte</w:t>
      </w:r>
    </w:p>
    <w:p>
      <w:pPr>
        <w:spacing w:before="0" w:after="0" w:line="360" w:lineRule="auto"/>
        <w:ind w:firstLine="1134"/>
        <w:jc w:val="both"/>
      </w:pPr>
      <w:r>
        <w:rPr>
          <w:rFonts w:ascii="Times New Roman" w:hAnsi="Times New Roman" w:cs="Times New Roman" w:eastAsia="Times New Roman"/>
          <w:sz w:val="24"/>
          <w:szCs w:val="24"/>
        </w:rPr>
        <w:t xml:space="preserve">A sentença não se limitou a declarar a responsabilidade do Estado. Segundo as fontes consultadas, a Corte determinou que o Brasil ofereça título coletivo reconhecendo o território de 78.105 hectares reivindicado pelas comunidades, com medidas para delimitar, demarcar e sanear a propriedade (Corte Interamericana de Direitos Humanos, 2024). </w:t>
      </w:r>
      <w:r>
        <w:rPr>
          <w:rFonts w:ascii="Times New Roman" w:hAnsi="Times New Roman" w:cs="Times New Roman" w:eastAsia="Times New Roman"/>
          <w:sz w:val="24"/>
          <w:szCs w:val="24"/>
          <w:highlight w:val="yellow"/>
        </w:rPr>
        <w:t xml:space="preserve">VERIFICAR parágrafos da sentença (consultas apontam os pars. 314 a 317) e se houve prazo; o resumo de origem fala em três anos, mas a busca não o confirmou.</w:t>
      </w:r>
    </w:p>
    <w:p>
      <w:pPr>
        <w:spacing w:before="0" w:after="0" w:line="360" w:lineRule="auto"/>
        <w:ind w:firstLine="1134"/>
        <w:jc w:val="both"/>
      </w:pPr>
      <w:r>
        <w:rPr>
          <w:rFonts w:ascii="Times New Roman" w:hAnsi="Times New Roman" w:cs="Times New Roman" w:eastAsia="Times New Roman"/>
          <w:sz w:val="24"/>
          <w:szCs w:val="24"/>
        </w:rPr>
        <w:t xml:space="preserve">Há ainda a previsão de uma mesa de diálogo permanente com as comunidades e de consultas prévias, livres e informadas, e a Corte mantém a supervisão do cumprimento. </w:t>
      </w:r>
      <w:r>
        <w:rPr>
          <w:rFonts w:ascii="Times New Roman" w:hAnsi="Times New Roman" w:cs="Times New Roman" w:eastAsia="Times New Roman"/>
          <w:sz w:val="24"/>
          <w:szCs w:val="24"/>
          <w:highlight w:val="yellow"/>
        </w:rPr>
        <w:t xml:space="preserve">VERIFICAR.</w:t>
      </w:r>
      <w:r>
        <w:rPr>
          <w:rFonts w:ascii="Times New Roman" w:hAnsi="Times New Roman" w:cs="Times New Roman" w:eastAsia="Times New Roman"/>
          <w:sz w:val="24"/>
          <w:szCs w:val="24"/>
        </w:rPr>
        <w:t xml:space="preserve"> O resumo de origem menciona também um fundo de desenvolvimento comunitário de quatro milhões de dólares, um ato público de reconhecimento de responsabilidade e a proibição de expandir o CLA sobre áreas remanescentes sem consulta e consentimento. </w:t>
      </w:r>
      <w:r>
        <w:rPr>
          <w:rFonts w:ascii="Times New Roman" w:hAnsi="Times New Roman" w:cs="Times New Roman" w:eastAsia="Times New Roman"/>
          <w:sz w:val="24"/>
          <w:szCs w:val="24"/>
          <w:highlight w:val="yellow"/>
        </w:rPr>
        <w:t xml:space="preserve">VERIFICAR cada uma dessas medidas e seus valores: não consegui confirmá-las. Reportagem de janeiro de 2026 informa o pagamento de R$ 22,29 milhões em indenização coletiva a 171 comunidades, o que sugere que a reparação pecuniária pode diferir do resumo.</w:t>
      </w:r>
    </w:p>
    <w:p>
      <w:pPr>
        <w:spacing w:before="0" w:after="0" w:line="360" w:lineRule="auto"/>
        <w:ind w:left="0" w:firstLine="0"/>
        <w:jc w:val="left"/>
      </w:pPr>
      <w:r>
        <w:rPr>
          <w:rFonts w:ascii="Times New Roman" w:hAnsi="Times New Roman" w:cs="Times New Roman" w:eastAsia="Times New Roman"/>
          <w:sz w:val="24"/>
          <w:szCs w:val="24"/>
          <w:b/>
          <w:bCs/>
        </w:rPr>
        <w:t xml:space="preserve">Fundamentação da Corte</w:t>
      </w:r>
    </w:p>
    <w:p>
      <w:pPr>
        <w:spacing w:before="0" w:after="0" w:line="360" w:lineRule="auto"/>
        <w:ind w:firstLine="1134"/>
        <w:jc w:val="both"/>
      </w:pPr>
      <w:r>
        <w:rPr>
          <w:rFonts w:ascii="Times New Roman" w:hAnsi="Times New Roman" w:cs="Times New Roman" w:eastAsia="Times New Roman"/>
          <w:sz w:val="24"/>
          <w:szCs w:val="24"/>
        </w:rPr>
        <w:t xml:space="preserve">A fundamentação aparece, no resumo de origem, em eixos. O primeiro é o direito à propriedade coletiva, previsto no artigo 21 da Convenção Americana. A Corte reafirmou que esse direito não se limita ao modelo individual clássico e que os povos tradicionais de matriz africana, assim como os indígenas, têm direito coletivo à terra que habitam, apoiando-se, segundo o resumo, no caso Saramaka vs. Suriname. </w:t>
      </w:r>
      <w:r>
        <w:rPr>
          <w:rFonts w:ascii="Times New Roman" w:hAnsi="Times New Roman" w:cs="Times New Roman" w:eastAsia="Times New Roman"/>
          <w:sz w:val="24"/>
          <w:szCs w:val="24"/>
          <w:highlight w:val="yellow"/>
        </w:rPr>
        <w:t xml:space="preserve">VERIFICAR a citação do precedente na sentença.</w:t>
      </w:r>
      <w:r>
        <w:rPr>
          <w:rFonts w:ascii="Times New Roman" w:hAnsi="Times New Roman" w:cs="Times New Roman" w:eastAsia="Times New Roman"/>
          <w:sz w:val="24"/>
          <w:szCs w:val="24"/>
        </w:rPr>
        <w:t xml:space="preserve"> A ausência de demarcação e de títulos definitivos teria violado esse direito. No ordenamento brasileiro, o direito dos remanescentes de quilombos à propriedade definitiva das terras que ocupam já consta do artigo 68 do Ato das Disposições Constitucionais Transitórias (Brasil, 1988).</w:t>
      </w:r>
    </w:p>
    <w:p>
      <w:pPr>
        <w:spacing w:before="0" w:after="0" w:line="360" w:lineRule="auto"/>
        <w:ind w:firstLine="1134"/>
        <w:jc w:val="both"/>
      </w:pPr>
      <w:r>
        <w:rPr>
          <w:rFonts w:ascii="Times New Roman" w:hAnsi="Times New Roman" w:cs="Times New Roman" w:eastAsia="Times New Roman"/>
          <w:sz w:val="24"/>
          <w:szCs w:val="24"/>
        </w:rPr>
        <w:t xml:space="preserve">O segundo eixo é a consulta. O Estado teria instalado a base, transferido famílias e firmado acordos internacionais sem consulta genuína, transparente e prévia às comunidades, em desacordo com a Convenção nº 169 da Organização Internacional do Trabalho, que exige a participação de populações tradicionais em decisões que afetem diretamente seus territórios (Organização Internacional do Trabalho, 1989). O terceiro diz respeito à subsistência e à identidade cultural: ao retirar das comunidades seus meios tradicionais de vida, o Estado teria violado direitos à alimentação, ao desenvolvimento e à identidade cultural. </w:t>
      </w:r>
      <w:r>
        <w:rPr>
          <w:rFonts w:ascii="Times New Roman" w:hAnsi="Times New Roman" w:cs="Times New Roman" w:eastAsia="Times New Roman"/>
          <w:sz w:val="24"/>
          <w:szCs w:val="24"/>
          <w:highlight w:val="yellow"/>
        </w:rPr>
        <w:t xml:space="preserve">VERIFICAR: no arquivo de origem os títulos dos eixos estão trocados (o item sobre consulta aparece como "Eixo 3, artigo 26" e o item sobre subsistência como "Eixo 4"), e não há "Eixo 2". Conferir a numeração e os artigos na sentença.</w:t>
      </w:r>
    </w:p>
    <w:p>
      <w:pPr>
        <w:spacing w:before="0" w:after="0" w:line="360" w:lineRule="auto"/>
        <w:ind w:firstLine="1134"/>
        <w:jc w:val="both"/>
      </w:pPr>
      <w:r>
        <w:rPr>
          <w:rFonts w:ascii="Times New Roman" w:hAnsi="Times New Roman" w:cs="Times New Roman" w:eastAsia="Times New Roman"/>
          <w:sz w:val="24"/>
          <w:szCs w:val="24"/>
        </w:rPr>
        <w:t xml:space="preserve">O quarto eixo trata das garantias e da proteção judiciais, nos artigos 8 e 25. A demora de mais de quatro décadas na titulação não teria sido tratada apenas como ineficiência burocrática. Segundo o resumo de origem, a Corte reconheceu nesse atraso um padrão de racismo institucional e estrutural. </w:t>
      </w:r>
      <w:r>
        <w:rPr>
          <w:rFonts w:ascii="Times New Roman" w:hAnsi="Times New Roman" w:cs="Times New Roman" w:eastAsia="Times New Roman"/>
          <w:sz w:val="24"/>
          <w:szCs w:val="24"/>
          <w:highlight w:val="yellow"/>
        </w:rPr>
        <w:t xml:space="preserve">VERIFICAR com urgência: não confirmei que a sentença use essa qualificação. Se não usar, a afirmação deve virar interpretação da autora, não fundamento da Corte.</w:t>
      </w:r>
    </w:p>
    <w:p>
      <w:pPr>
        <w:spacing w:before="0" w:after="0" w:line="360" w:lineRule="auto"/>
        <w:ind w:left="0" w:firstLine="0"/>
        <w:jc w:val="left"/>
      </w:pPr>
      <w:r>
        <w:rPr>
          <w:rFonts w:ascii="Times New Roman" w:hAnsi="Times New Roman" w:cs="Times New Roman" w:eastAsia="Times New Roman"/>
          <w:sz w:val="24"/>
          <w:szCs w:val="24"/>
          <w:b/>
          <w:bCs/>
        </w:rPr>
        <w:t xml:space="preserve">Quadro síntese</w:t>
      </w:r>
    </w:p>
    <w:tbl>
      <w:tblPr>
        <w:tblW w:w="9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00"/>
        <w:gridCol w:w="6770"/>
      </w:tblGrid>
      <w:tr>
        <w:tc>
          <w:tcPr>
            <w:tcW w:w="2300" w:type="dxa"/>
          </w:tcPr>
          <w:p>
            <w:pPr>
              <w:spacing w:before="0" w:after="0" w:line="240" w:lineRule="auto"/>
              <w:ind w:left="0" w:firstLine="0"/>
              <w:jc w:val="left"/>
            </w:pPr>
            <w:r>
              <w:rPr>
                <w:rFonts w:ascii="Times New Roman" w:hAnsi="Times New Roman" w:cs="Times New Roman" w:eastAsia="Times New Roman"/>
                <w:sz w:val="24"/>
                <w:szCs w:val="24"/>
                <w:b/>
                <w:bCs/>
              </w:rPr>
              <w:t xml:space="preserve">Campo</w:t>
            </w:r>
          </w:p>
        </w:tc>
        <w:tc>
          <w:tcPr>
            <w:tcW w:w="6770" w:type="dxa"/>
          </w:tcPr>
          <w:p>
            <w:pPr>
              <w:spacing w:before="0" w:after="0" w:line="240" w:lineRule="auto"/>
              <w:ind w:left="0" w:firstLine="0"/>
              <w:jc w:val="left"/>
            </w:pPr>
            <w:r>
              <w:rPr>
                <w:rFonts w:ascii="Times New Roman" w:hAnsi="Times New Roman" w:cs="Times New Roman" w:eastAsia="Times New Roman"/>
                <w:sz w:val="24"/>
                <w:szCs w:val="24"/>
                <w:b/>
                <w:bCs/>
              </w:rPr>
              <w:t xml:space="preserve">Conteúdo</w:t>
            </w:r>
          </w:p>
        </w:tc>
      </w:tr>
      <w:tr>
        <w:tc>
          <w:tcPr>
            <w:tcW w:w="2300" w:type="dxa"/>
          </w:tcPr>
          <w:p>
            <w:pPr>
              <w:spacing w:before="0" w:after="0" w:line="240" w:lineRule="auto"/>
              <w:ind w:left="0" w:firstLine="0"/>
              <w:jc w:val="left"/>
            </w:pPr>
            <w:r>
              <w:rPr>
                <w:rFonts w:ascii="Times New Roman" w:hAnsi="Times New Roman" w:cs="Times New Roman" w:eastAsia="Times New Roman"/>
                <w:sz w:val="24"/>
                <w:szCs w:val="24"/>
                <w:b/>
                <w:bCs/>
              </w:rPr>
              <w:t xml:space="preserve">Partes envolvidas</w:t>
            </w:r>
          </w:p>
        </w:tc>
        <w:tc>
          <w:tcPr>
            <w:tcW w:w="6770" w:type="dxa"/>
          </w:tcPr>
          <w:p>
            <w:pPr>
              <w:spacing w:before="0" w:after="0" w:line="240" w:lineRule="auto"/>
              <w:ind w:left="0" w:firstLine="0"/>
              <w:jc w:val="left"/>
            </w:pPr>
            <w:r>
              <w:rPr>
                <w:rFonts w:ascii="Times New Roman" w:hAnsi="Times New Roman" w:cs="Times New Roman" w:eastAsia="Times New Roman"/>
                <w:sz w:val="24"/>
                <w:szCs w:val="24"/>
              </w:rPr>
              <w:t xml:space="preserve">Comunidades quilombolas de Alcântara (Maranhão), por meio de petição à Comissão Interamericana; República Federativa do Brasil.</w:t>
            </w:r>
          </w:p>
        </w:tc>
      </w:tr>
      <w:tr>
        <w:tc>
          <w:tcPr>
            <w:tcW w:w="2300" w:type="dxa"/>
          </w:tcPr>
          <w:p>
            <w:pPr>
              <w:spacing w:before="0" w:after="0" w:line="240" w:lineRule="auto"/>
              <w:ind w:left="0" w:firstLine="0"/>
              <w:jc w:val="left"/>
            </w:pPr>
            <w:r>
              <w:rPr>
                <w:rFonts w:ascii="Times New Roman" w:hAnsi="Times New Roman" w:cs="Times New Roman" w:eastAsia="Times New Roman"/>
                <w:sz w:val="24"/>
                <w:szCs w:val="24"/>
                <w:b/>
                <w:bCs/>
              </w:rPr>
              <w:t xml:space="preserve">Ano</w:t>
            </w:r>
          </w:p>
        </w:tc>
        <w:tc>
          <w:tcPr>
            <w:tcW w:w="6770" w:type="dxa"/>
          </w:tcPr>
          <w:p>
            <w:pPr>
              <w:spacing w:before="0" w:after="0" w:line="240" w:lineRule="auto"/>
              <w:ind w:left="0" w:firstLine="0"/>
              <w:jc w:val="left"/>
            </w:pPr>
            <w:r>
              <w:rPr>
                <w:rFonts w:ascii="Times New Roman" w:hAnsi="Times New Roman" w:cs="Times New Roman" w:eastAsia="Times New Roman"/>
                <w:sz w:val="24"/>
                <w:szCs w:val="24"/>
              </w:rPr>
              <w:t xml:space="preserve">2024 (sentença de 21 de novembro de 2024). </w:t>
            </w:r>
            <w:r>
              <w:rPr>
                <w:rFonts w:ascii="Times New Roman" w:hAnsi="Times New Roman" w:cs="Times New Roman" w:eastAsia="Times New Roman"/>
                <w:sz w:val="24"/>
                <w:szCs w:val="24"/>
                <w:highlight w:val="yellow"/>
              </w:rPr>
              <w:t xml:space="preserve">VERIFICAR.</w:t>
            </w:r>
          </w:p>
        </w:tc>
      </w:tr>
      <w:tr>
        <w:tc>
          <w:tcPr>
            <w:tcW w:w="2300" w:type="dxa"/>
          </w:tcPr>
          <w:p>
            <w:pPr>
              <w:spacing w:before="0" w:after="0" w:line="240" w:lineRule="auto"/>
              <w:ind w:left="0" w:firstLine="0"/>
              <w:jc w:val="left"/>
            </w:pPr>
            <w:r>
              <w:rPr>
                <w:rFonts w:ascii="Times New Roman" w:hAnsi="Times New Roman" w:cs="Times New Roman" w:eastAsia="Times New Roman"/>
                <w:sz w:val="24"/>
                <w:szCs w:val="24"/>
                <w:b/>
                <w:bCs/>
              </w:rPr>
              <w:t xml:space="preserve">Situação fática</w:t>
            </w:r>
          </w:p>
        </w:tc>
        <w:tc>
          <w:tcPr>
            <w:tcW w:w="6770" w:type="dxa"/>
          </w:tcPr>
          <w:p>
            <w:pPr>
              <w:spacing w:before="0" w:after="0" w:line="240" w:lineRule="auto"/>
              <w:ind w:left="0" w:firstLine="0"/>
              <w:jc w:val="left"/>
            </w:pPr>
            <w:r>
              <w:rPr>
                <w:rFonts w:ascii="Times New Roman" w:hAnsi="Times New Roman" w:cs="Times New Roman" w:eastAsia="Times New Roman"/>
                <w:sz w:val="24"/>
                <w:szCs w:val="24"/>
              </w:rPr>
              <w:t xml:space="preserve">Desapropriação de terras quilombolas na década de 1980 para instalar o Centro de Lançamento de Alcântara; reassentamento em agrovilas; perda de acesso ao mar e a terras de cultivo; ausência de consulta e de titulação coletiva por décadas.</w:t>
            </w:r>
          </w:p>
        </w:tc>
      </w:tr>
      <w:tr>
        <w:tc>
          <w:tcPr>
            <w:tcW w:w="2300" w:type="dxa"/>
          </w:tcPr>
          <w:p>
            <w:pPr>
              <w:spacing w:before="0" w:after="0" w:line="240" w:lineRule="auto"/>
              <w:ind w:left="0" w:firstLine="0"/>
              <w:jc w:val="left"/>
            </w:pPr>
            <w:r>
              <w:rPr>
                <w:rFonts w:ascii="Times New Roman" w:hAnsi="Times New Roman" w:cs="Times New Roman" w:eastAsia="Times New Roman"/>
                <w:sz w:val="24"/>
                <w:szCs w:val="24"/>
                <w:b/>
                <w:bCs/>
              </w:rPr>
              <w:t xml:space="preserve">Direitos discutidos</w:t>
            </w:r>
          </w:p>
        </w:tc>
        <w:tc>
          <w:tcPr>
            <w:tcW w:w="6770" w:type="dxa"/>
          </w:tcPr>
          <w:p>
            <w:pPr>
              <w:spacing w:before="0" w:after="0" w:line="240" w:lineRule="auto"/>
              <w:ind w:left="0" w:firstLine="0"/>
              <w:jc w:val="left"/>
            </w:pPr>
            <w:r>
              <w:rPr>
                <w:rFonts w:ascii="Times New Roman" w:hAnsi="Times New Roman" w:cs="Times New Roman" w:eastAsia="Times New Roman"/>
                <w:sz w:val="24"/>
                <w:szCs w:val="24"/>
              </w:rPr>
              <w:t xml:space="preserve">Propriedade coletiva; consulta prévia; alimentação, moradia, participação na vida cultural e educação; garantias e proteção judiciais. </w:t>
            </w:r>
            <w:r>
              <w:rPr>
                <w:rFonts w:ascii="Times New Roman" w:hAnsi="Times New Roman" w:cs="Times New Roman" w:eastAsia="Times New Roman"/>
                <w:sz w:val="24"/>
                <w:szCs w:val="24"/>
                <w:highlight w:val="yellow"/>
              </w:rPr>
              <w:t xml:space="preserve">VERIFICAR artigos.</w:t>
            </w:r>
          </w:p>
        </w:tc>
      </w:tr>
      <w:tr>
        <w:tc>
          <w:tcPr>
            <w:tcW w:w="2300" w:type="dxa"/>
          </w:tcPr>
          <w:p>
            <w:pPr>
              <w:spacing w:before="0" w:after="0" w:line="240" w:lineRule="auto"/>
              <w:ind w:left="0" w:firstLine="0"/>
              <w:jc w:val="left"/>
            </w:pPr>
            <w:r>
              <w:rPr>
                <w:rFonts w:ascii="Times New Roman" w:hAnsi="Times New Roman" w:cs="Times New Roman" w:eastAsia="Times New Roman"/>
                <w:sz w:val="24"/>
                <w:szCs w:val="24"/>
                <w:b/>
                <w:bCs/>
              </w:rPr>
              <w:t xml:space="preserve">Determinações</w:t>
            </w:r>
          </w:p>
        </w:tc>
        <w:tc>
          <w:tcPr>
            <w:tcW w:w="6770" w:type="dxa"/>
          </w:tcPr>
          <w:p>
            <w:pPr>
              <w:spacing w:before="0" w:after="0" w:line="240" w:lineRule="auto"/>
              <w:ind w:left="0" w:firstLine="0"/>
              <w:jc w:val="left"/>
            </w:pPr>
            <w:r>
              <w:rPr>
                <w:rFonts w:ascii="Times New Roman" w:hAnsi="Times New Roman" w:cs="Times New Roman" w:eastAsia="Times New Roman"/>
                <w:sz w:val="24"/>
                <w:szCs w:val="24"/>
              </w:rPr>
              <w:t xml:space="preserve">Título coletivo sobre 78.105 hectares; consulta e mesa de diálogo; reparação coletiva. </w:t>
            </w:r>
            <w:r>
              <w:rPr>
                <w:rFonts w:ascii="Times New Roman" w:hAnsi="Times New Roman" w:cs="Times New Roman" w:eastAsia="Times New Roman"/>
                <w:sz w:val="24"/>
                <w:szCs w:val="24"/>
                <w:highlight w:val="yellow"/>
              </w:rPr>
              <w:t xml:space="preserve">VERIFICAR prazo, fundo e demais medidas.</w:t>
            </w:r>
          </w:p>
        </w:tc>
      </w:tr>
      <w:tr>
        <w:tc>
          <w:tcPr>
            <w:tcW w:w="2300" w:type="dxa"/>
          </w:tcPr>
          <w:p>
            <w:pPr>
              <w:spacing w:before="0" w:after="0" w:line="240" w:lineRule="auto"/>
              <w:ind w:left="0" w:firstLine="0"/>
              <w:jc w:val="left"/>
            </w:pPr>
            <w:r>
              <w:rPr>
                <w:rFonts w:ascii="Times New Roman" w:hAnsi="Times New Roman" w:cs="Times New Roman" w:eastAsia="Times New Roman"/>
                <w:sz w:val="24"/>
                <w:szCs w:val="24"/>
                <w:b/>
                <w:bCs/>
              </w:rPr>
              <w:t xml:space="preserve">Fundamentação</w:t>
            </w:r>
          </w:p>
        </w:tc>
        <w:tc>
          <w:tcPr>
            <w:tcW w:w="6770" w:type="dxa"/>
          </w:tcPr>
          <w:p>
            <w:pPr>
              <w:spacing w:before="0" w:after="0" w:line="240" w:lineRule="auto"/>
              <w:ind w:left="0" w:firstLine="0"/>
              <w:jc w:val="left"/>
            </w:pPr>
            <w:r>
              <w:rPr>
                <w:rFonts w:ascii="Times New Roman" w:hAnsi="Times New Roman" w:cs="Times New Roman" w:eastAsia="Times New Roman"/>
                <w:sz w:val="24"/>
                <w:szCs w:val="24"/>
              </w:rPr>
              <w:t xml:space="preserve">Artigo 21 da Convenção Americana e precedentes sobre propriedade coletiva; Convenção nº 169 da OIT; artigos 8 e 25 pela demora na titulação. </w:t>
            </w:r>
            <w:r>
              <w:rPr>
                <w:rFonts w:ascii="Times New Roman" w:hAnsi="Times New Roman" w:cs="Times New Roman" w:eastAsia="Times New Roman"/>
                <w:sz w:val="24"/>
                <w:szCs w:val="24"/>
                <w:highlight w:val="yellow"/>
              </w:rPr>
              <w:t xml:space="preserve">VERIFICAR.</w:t>
            </w:r>
          </w:p>
        </w:tc>
      </w:tr>
    </w:tbl>
    <w:p>
      <w:pPr>
        <w:spacing w:before="0" w:after="0" w:line="360" w:lineRule="auto"/>
        <w:ind w:left="0" w:firstLine="0"/>
        <w:jc w:val="left"/>
      </w:pPr>
      <w:r>
        <w:rPr>
          <w:rFonts w:ascii="Times New Roman" w:hAnsi="Times New Roman" w:cs="Times New Roman" w:eastAsia="Times New Roman"/>
          <w:sz w:val="24"/>
          <w:szCs w:val="24"/>
          <w:b/>
          <w:bCs/>
        </w:rPr>
        <w:t xml:space="preserve">Diálogos transatlânticos</w:t>
      </w:r>
    </w:p>
    <w:p>
      <w:pPr>
        <w:spacing w:before="0" w:after="0" w:line="360" w:lineRule="auto"/>
        <w:ind w:firstLine="1134"/>
        <w:jc w:val="both"/>
      </w:pPr>
      <w:r>
        <w:rPr>
          <w:rFonts w:ascii="Times New Roman" w:hAnsi="Times New Roman" w:cs="Times New Roman" w:eastAsia="Times New Roman"/>
          <w:sz w:val="24"/>
          <w:szCs w:val="24"/>
        </w:rPr>
        <w:t xml:space="preserve">O caso de Alcântara e o Parecer Consultivo nº 002/2016 da Corte Africana dos Direitos Humanos e dos Povos (2017) tratam de matérias distintas, mas permitem uma comparação útil sobre o acesso a instâncias internacionais. A Association Africaine de Défense des Droits de l'Homme (ASADHO) não conseguiu que a Corte Africana analisasse o mérito de sua consulta sobre mineração em terras comunitárias, porque não demonstrou o reconhecimento exigido pelo Protocolo (Corte Africana dos Direitos Humanos e dos Povos, 2017). As comunidades de Alcântara, ao contrário, chegaram à Corte IDH pela via contenciosa, depois de passar pela Comissão Interamericana, e obtiveram uma decisão de mérito.</w:t>
      </w:r>
    </w:p>
    <w:p>
      <w:pPr>
        <w:spacing w:before="0" w:after="0" w:line="360" w:lineRule="auto"/>
        <w:ind w:firstLine="1134"/>
        <w:jc w:val="both"/>
      </w:pPr>
      <w:r>
        <w:rPr>
          <w:rFonts w:ascii="Times New Roman" w:hAnsi="Times New Roman" w:cs="Times New Roman" w:eastAsia="Times New Roman"/>
          <w:sz w:val="24"/>
          <w:szCs w:val="24"/>
        </w:rPr>
        <w:t xml:space="preserve">O caminho, porém, foi longo. A petição é de 2001 e a sentença, de 2024. Se na África a barreira foi a legitimidade para provocar a Corte, no caso brasileiro o obstáculo mais visível foi o tempo, tanto o da titulação interna quanto o do processo internacional. Esta é uma leitura minha a partir dos dois documentos, não uma conclusão extraída deles.</w:t>
      </w:r>
    </w:p>
    <w:p>
      <w:pPr>
        <w:spacing w:before="0" w:after="0" w:line="360" w:lineRule="auto"/>
        <w:ind w:firstLine="1134"/>
        <w:jc w:val="both"/>
      </w:pPr>
      <w:r>
        <w:rPr>
          <w:rFonts w:ascii="Times New Roman" w:hAnsi="Times New Roman" w:cs="Times New Roman" w:eastAsia="Times New Roman"/>
          <w:sz w:val="24"/>
          <w:szCs w:val="24"/>
        </w:rPr>
        <w:t xml:space="preserve">Há também pontos de contato no conteúdo. Nos dois casos, o conflito envolve projetos de grande escala sobre territórios habitados por comunidades locais (mineração em Ruashi, base aeroespacial em Alcântara) e a queixa central inclui a falta de consulta e de participação dessas comunidades. A Convenção nº 169 da OIT, que o Brasil incorporou, é o padrão que aproxima a discussão (Organização Internacional do Trabalho, 1989). Para o Maranhão, a sentença pode servir de referência ao exame de outras comunidades atingidas por infraestruturas ligadas à mineração e à logística, como a Estrada de Ferro Carajás, hipótese que dependeria de pesquisa empírica para ser afirmada. A literatura sobre Alcântara também fala em uma tendência de tratar territórios tradicionais como espaços vazios, o que facilitaria sua apropriação (Souza Filho, 2018). </w:t>
      </w:r>
      <w:r>
        <w:rPr>
          <w:rFonts w:ascii="Times New Roman" w:hAnsi="Times New Roman" w:cs="Times New Roman" w:eastAsia="Times New Roman"/>
          <w:sz w:val="24"/>
          <w:szCs w:val="24"/>
          <w:highlight w:val="yellow"/>
        </w:rPr>
        <w:t xml:space="preserve">VERIFICAR página e se o termo "invisibilidade expropriadora" vem dessa obra: o resumo de origem o atribui genericamente à "doutrina crítica".</w:t>
      </w:r>
    </w:p>
    <w:p>
      <w:pPr>
        <w:spacing w:before="0" w:after="0" w:line="360" w:lineRule="auto"/>
        <w:ind w:left="0" w:firstLine="0"/>
        <w:jc w:val="left"/>
      </w:pPr>
      <w:r>
        <w:rPr>
          <w:rFonts w:ascii="Times New Roman" w:hAnsi="Times New Roman" w:cs="Times New Roman" w:eastAsia="Times New Roman"/>
          <w:sz w:val="24"/>
          <w:szCs w:val="24"/>
          <w:b/>
          <w:bCs/>
        </w:rPr>
        <w:t xml:space="preserve">Referências</w:t>
      </w:r>
    </w:p>
    <w:p>
      <w:pPr>
        <w:spacing w:before="0" w:after="0" w:line="360" w:lineRule="auto"/>
        <w:ind w:left="0" w:firstLine="0"/>
        <w:jc w:val="left"/>
      </w:pPr>
      <w:r>
        <w:rPr>
          <w:rFonts w:ascii="Times New Roman" w:hAnsi="Times New Roman" w:cs="Times New Roman" w:eastAsia="Times New Roman"/>
          <w:sz w:val="24"/>
          <w:szCs w:val="24"/>
        </w:rPr>
        <w:t xml:space="preserve">BRASIL. Constituição da República Federativa do Brasil de 1988. Brasília, DF: Senado Federal, 1988.</w:t>
      </w:r>
    </w:p>
    <w:p>
      <w:pPr>
        <w:spacing w:before="0" w:after="0" w:line="360" w:lineRule="auto"/>
        <w:ind w:left="0" w:firstLine="0"/>
        <w:jc w:val="left"/>
      </w:pPr>
      <w:r>
        <w:rPr>
          <w:rFonts w:ascii="Times New Roman" w:hAnsi="Times New Roman" w:cs="Times New Roman" w:eastAsia="Times New Roman"/>
          <w:sz w:val="24"/>
          <w:szCs w:val="24"/>
        </w:rPr>
        <w:t xml:space="preserve">CORTE AFRICANA DOS DIREITOS HUMANOS E DOS POVOS. Request for advisory opinion by l'Association Africaine de Défense des Droits de l'Homme: advisory opinion no. 002/2016. Arusha, 28 set. 2017.</w:t>
      </w:r>
    </w:p>
    <w:p>
      <w:pPr>
        <w:spacing w:before="0" w:after="0" w:line="360" w:lineRule="auto"/>
        <w:ind w:left="0" w:firstLine="0"/>
        <w:jc w:val="left"/>
      </w:pPr>
      <w:r>
        <w:rPr>
          <w:rFonts w:ascii="Times New Roman" w:hAnsi="Times New Roman" w:cs="Times New Roman" w:eastAsia="Times New Roman"/>
          <w:sz w:val="24"/>
          <w:szCs w:val="24"/>
        </w:rPr>
        <w:t xml:space="preserve">CORTE INTERAMERICANA DE DIREITOS HUMANOS. Caso Comunidades Quilombolas de Alcântara Vs. Brasil: exceções preliminares, mérito, reparações e custas. Sentença de 21 de novembro de 2024. Série C nº 548. San José, 2024. </w:t>
      </w:r>
      <w:r>
        <w:rPr>
          <w:rFonts w:ascii="Times New Roman" w:hAnsi="Times New Roman" w:cs="Times New Roman" w:eastAsia="Times New Roman"/>
          <w:sz w:val="24"/>
          <w:szCs w:val="24"/>
          <w:highlight w:val="yellow"/>
        </w:rPr>
        <w:t xml:space="preserve">VERIFICAR data e URL de acesso.</w:t>
      </w:r>
    </w:p>
    <w:p>
      <w:pPr>
        <w:spacing w:before="0" w:after="0" w:line="360" w:lineRule="auto"/>
        <w:ind w:left="0" w:firstLine="0"/>
        <w:jc w:val="left"/>
      </w:pPr>
      <w:r>
        <w:rPr>
          <w:rFonts w:ascii="Times New Roman" w:hAnsi="Times New Roman" w:cs="Times New Roman" w:eastAsia="Times New Roman"/>
          <w:sz w:val="24"/>
          <w:szCs w:val="24"/>
        </w:rPr>
        <w:t xml:space="preserve">COSTA, Artêmio Macedo. Pelourinho tecnológico: a expansão do Centro de Lançamento de Alcântara (CLA) no contexto do Novo Imperialismo. 2019. 116 f. Dissertação (Mestrado em Desenvolvimento Socioespacial e Regional) – Universidade Estadual do Maranhão, São Luís, 2019.</w:t>
      </w:r>
    </w:p>
    <w:p>
      <w:pPr>
        <w:spacing w:before="0" w:after="0" w:line="360" w:lineRule="auto"/>
        <w:ind w:left="0" w:firstLine="0"/>
        <w:jc w:val="left"/>
      </w:pPr>
      <w:r>
        <w:rPr>
          <w:rFonts w:ascii="Times New Roman" w:hAnsi="Times New Roman" w:cs="Times New Roman" w:eastAsia="Times New Roman"/>
          <w:sz w:val="24"/>
          <w:szCs w:val="24"/>
        </w:rPr>
        <w:t xml:space="preserve">JUSTIÇA GLOBAL. </w:t>
      </w:r>
      <w:r>
        <w:rPr>
          <w:rFonts w:ascii="Times New Roman" w:hAnsi="Times New Roman" w:cs="Times New Roman" w:eastAsia="Times New Roman"/>
          <w:sz w:val="24"/>
          <w:szCs w:val="24"/>
          <w:highlight w:val="yellow"/>
        </w:rPr>
        <w:t xml:space="preserve">Título da nota pública sobre o acordo de Alcântara</w:t>
      </w:r>
      <w:r>
        <w:rPr>
          <w:rFonts w:ascii="Times New Roman" w:hAnsi="Times New Roman" w:cs="Times New Roman" w:eastAsia="Times New Roman"/>
          <w:sz w:val="24"/>
          <w:szCs w:val="24"/>
        </w:rPr>
        <w:t xml:space="preserve">. 2024. </w:t>
      </w:r>
      <w:r>
        <w:rPr>
          <w:rFonts w:ascii="Times New Roman" w:hAnsi="Times New Roman" w:cs="Times New Roman" w:eastAsia="Times New Roman"/>
          <w:sz w:val="24"/>
          <w:szCs w:val="24"/>
          <w:highlight w:val="yellow"/>
        </w:rPr>
        <w:t xml:space="preserve">VERIFICAR título e URL.</w:t>
      </w:r>
    </w:p>
    <w:p>
      <w:pPr>
        <w:spacing w:before="0" w:after="0" w:line="360" w:lineRule="auto"/>
        <w:ind w:left="0" w:firstLine="0"/>
        <w:jc w:val="left"/>
      </w:pPr>
      <w:r>
        <w:rPr>
          <w:rFonts w:ascii="Times New Roman" w:hAnsi="Times New Roman" w:cs="Times New Roman" w:eastAsia="Times New Roman"/>
          <w:sz w:val="24"/>
          <w:szCs w:val="24"/>
        </w:rPr>
        <w:t xml:space="preserve">O IMPARCIAL. Corte Interamericana de Direitos Humanos condena Brasil por violações a quilombolas no Maranhão. 2025. </w:t>
      </w:r>
      <w:r>
        <w:rPr>
          <w:rFonts w:ascii="Times New Roman" w:hAnsi="Times New Roman" w:cs="Times New Roman" w:eastAsia="Times New Roman"/>
          <w:sz w:val="24"/>
          <w:szCs w:val="24"/>
          <w:highlight w:val="yellow"/>
        </w:rPr>
        <w:t xml:space="preserve">VERIFICAR data e URL.</w:t>
      </w:r>
    </w:p>
    <w:p>
      <w:pPr>
        <w:spacing w:before="0" w:after="0" w:line="360" w:lineRule="auto"/>
        <w:ind w:left="0" w:firstLine="0"/>
        <w:jc w:val="left"/>
      </w:pPr>
      <w:r>
        <w:rPr>
          <w:rFonts w:ascii="Times New Roman" w:hAnsi="Times New Roman" w:cs="Times New Roman" w:eastAsia="Times New Roman"/>
          <w:sz w:val="24"/>
          <w:szCs w:val="24"/>
        </w:rPr>
        <w:t xml:space="preserve">ORGANIZAÇÃO INTERNACIONAL DO TRABALHO. Convenção nº 169 sobre Povos Indígenas e Tribais. Genebra: OIT, 1989.</w:t>
      </w:r>
    </w:p>
    <w:p>
      <w:pPr>
        <w:spacing w:before="0" w:after="0" w:line="360" w:lineRule="auto"/>
        <w:ind w:left="0" w:firstLine="0"/>
        <w:jc w:val="left"/>
      </w:pPr>
      <w:r>
        <w:rPr>
          <w:rFonts w:ascii="Times New Roman" w:hAnsi="Times New Roman" w:cs="Times New Roman" w:eastAsia="Times New Roman"/>
          <w:sz w:val="24"/>
          <w:szCs w:val="24"/>
        </w:rPr>
        <w:t xml:space="preserve">SOUZA FILHO, Carlos Frederico Marés de. O direito encoberto: os direitos dos povos e das comunidades tradicionais. Curitiba: Letra da Lei, 2018.</w:t>
      </w:r>
    </w:p>
    <w:sectPr>
      <w:footnotePr>
        <w:numFmt w:val="decimal"/>
      </w:footnotePr>
      <w:pgSz w:w="11906" w:h="16838"/>
      <w:pgMar w:top="1701" w:right="1134" w:bottom="1134" w:left="1701" w:header="708" w:footer="708" w:gutter="0"/>
    </w:sectPr>
  </w:body>
</w:document>
</file>

<file path=word/footnotes.xml><?xml version="1.0" encoding="utf-8"?>
<w:footnotes xmlns:w="http://schemas.openxmlformats.org/wordprocessingml/2006/main" xmlns:r="http://schemas.openxmlformats.org/officeDocument/2006/relationships">
  <w:footnote w:type="separator" w:id="0">
    <w:p>
      <w:r>
        <w:separator/>
      </w:r>
    </w:p>
  </w:footnote>
  <w:footnote w:type="continuationSeparator" w:id="1">
    <w:p>
      <w:r>
        <w:continuationSeparator/>
      </w:r>
    </w:p>
  </w:footnote>
  <w:footnote w:id="2">
    <w:p>
      <w:pPr>
        <w:spacing w:after="0" w:line="240" w:lineRule="auto"/>
        <w:jc w:val="both"/>
      </w:pPr>
      <w:r>
        <w:rPr>
          <w:rFonts w:ascii="Times New Roman" w:hAnsi="Times New Roman"/>
          <w:vertAlign w:val="superscript"/>
          <w:sz w:val="20"/>
        </w:rPr>
        <w:footnoteRef/>
      </w:r>
      <w:r>
        <w:rPr>
          <w:rFonts w:ascii="Times New Roman" w:hAnsi="Times New Roman"/>
          <w:sz w:val="20"/>
          <w:highlight w:val="yellow"/>
        </w:rPr>
        <w:t xml:space="preserve"> [Nome do autor] é [titulação e instituição] e integrante do GPDNES. [Completar com a minibiografia, no máximo cinco linhas.]</w:t>
      </w:r>
    </w:p>
  </w:footnote>
</w:footnotes>
</file>

<file path=word/_rels/document.xml.rels><?xml version="1.0" encoding="UTF-8" standalone="yes"?><Relationships xmlns="http://schemas.openxmlformats.org/package/2006/relationships"><Relationship Id="rId1" Type="http://schemas.openxmlformats.org/officeDocument/2006/relationships/footnotes" Target="footnotes.xml"/></Relationships>
</file>