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80.047607421875" w:line="240" w:lineRule="auto"/>
        <w:ind w:left="0" w:right="1497.2552490234375" w:firstLine="0"/>
        <w:jc w:val="both"/>
        <w:rPr>
          <w:color w:val="141413"/>
          <w:sz w:val="22.00846290588379"/>
          <w:szCs w:val="22.0084629058837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360" w:lineRule="auto"/>
        <w:ind w:left="0" w:firstLine="0"/>
        <w:jc w:val="left"/>
        <w:rPr>
          <w:color w:val="141413"/>
          <w:sz w:val="22.00846290588379"/>
          <w:szCs w:val="22.0084629058837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              E1 - Design Físico e Topologia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80.047607421875" w:line="240" w:lineRule="auto"/>
        <w:ind w:left="1440" w:right="1497.2552490234375" w:firstLine="0"/>
        <w:jc w:val="center"/>
        <w:rPr>
          <w:color w:val="141413"/>
          <w:sz w:val="22.00846290588379"/>
          <w:szCs w:val="22.00846290588379"/>
          <w:highlight w:val="white"/>
        </w:rPr>
      </w:pPr>
      <w:r w:rsidDel="00000000" w:rsidR="00000000" w:rsidRPr="00000000">
        <w:rPr>
          <w:color w:val="141413"/>
          <w:sz w:val="22.00846290588379"/>
          <w:szCs w:val="22.00846290588379"/>
          <w:highlight w:val="white"/>
          <w:rtl w:val="0"/>
        </w:rPr>
        <w:t xml:space="preserve">Amanda Trinity Gomes Nascimento - atgn</w:t>
        <w:br w:type="textWrapping"/>
        <w:t xml:space="preserve">Maria Eduarda Torres da Costa Lira - </w:t>
      </w:r>
      <w:r w:rsidDel="00000000" w:rsidR="00000000" w:rsidRPr="00000000">
        <w:rPr>
          <w:color w:val="141413"/>
          <w:sz w:val="22.00846290588379"/>
          <w:szCs w:val="22.00846290588379"/>
          <w:highlight w:val="white"/>
          <w:rtl w:val="0"/>
        </w:rPr>
        <w:t xml:space="preserve">metcl</w:t>
      </w:r>
      <w:r w:rsidDel="00000000" w:rsidR="00000000" w:rsidRPr="00000000">
        <w:rPr>
          <w:color w:val="141413"/>
          <w:sz w:val="22.00846290588379"/>
          <w:szCs w:val="22.00846290588379"/>
          <w:highlight w:val="white"/>
          <w:rtl w:val="0"/>
        </w:rPr>
        <w:br w:type="textWrapping"/>
        <w:t xml:space="preserve">Maria Luísa Brandão Amaral - mlba</w:t>
        <w:br w:type="textWrapping"/>
        <w:t xml:space="preserve">Mirella Laura Fontinelle Martins - mlfm</w:t>
      </w:r>
    </w:p>
    <w:p w:rsidR="00000000" w:rsidDel="00000000" w:rsidP="00000000" w:rsidRDefault="00000000" w:rsidRPr="00000000" w14:paraId="00000004">
      <w:pPr>
        <w:widowControl w:val="0"/>
        <w:spacing w:before="80.047607421875" w:line="240" w:lineRule="auto"/>
        <w:ind w:left="1440" w:right="1497.2552490234375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color w:val="141413"/>
          <w:sz w:val="22.00846290588379"/>
          <w:szCs w:val="22.00846290588379"/>
          <w:highlight w:val="white"/>
          <w:rtl w:val="0"/>
        </w:rPr>
        <w:t xml:space="preserve">Luiz Miguel Freitas - lmfs3</w:t>
        <w:br w:type="textWrapping"/>
        <w:t xml:space="preserve">Willian Neves Rupert Jones - wnrj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360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2026 - Grupo 13</w:t>
      </w:r>
    </w:p>
    <w:p w:rsidR="00000000" w:rsidDel="00000000" w:rsidP="00000000" w:rsidRDefault="00000000" w:rsidRPr="00000000" w14:paraId="00000007">
      <w:pPr>
        <w:spacing w:after="240" w:before="240" w:line="360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120" w:line="312" w:lineRule="auto"/>
        <w:ind w:left="2160" w:right="224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1390650" cy="2057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120" w:line="312" w:lineRule="auto"/>
        <w:ind w:left="2160" w:right="224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120" w:line="312" w:lineRule="auto"/>
        <w:ind w:left="2160" w:right="224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120" w:line="312" w:lineRule="auto"/>
        <w:ind w:left="2160" w:right="224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Introdução a Sistema Distribuídos e Redes de Computadores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widowControl w:val="0"/>
        <w:spacing w:before="80.047607421875" w:line="240" w:lineRule="auto"/>
        <w:ind w:right="1497.2552490234375"/>
        <w:jc w:val="both"/>
        <w:rPr/>
      </w:pPr>
      <w:bookmarkStart w:colFirst="0" w:colLast="0" w:name="_pys7voyajl9g" w:id="0"/>
      <w:bookmarkEnd w:id="0"/>
      <w:r w:rsidDel="00000000" w:rsidR="00000000" w:rsidRPr="00000000">
        <w:rPr>
          <w:rtl w:val="0"/>
        </w:rPr>
        <w:t xml:space="preserve">1.</w:t>
        <w:tab/>
        <w:t xml:space="preserve">Introdução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Este relatório apresenta a primeira entrega (E1) do projeto de reestruturação da rede dos laboratórios do Centro de Informática da UFPE (CIn-UFPE), desenvolvido pelo Grupo 13. O objetivo desta etapa é definir o design físico e a topologia da rede, especificando os equipamentos utilizados, suas funções e as conexões entre eles, de forma a suportar a segmentação em cinco laboratórios (VLANs) que será detalhada nas entregas seguintes (E2, E3 e E4).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widowControl w:val="0"/>
        <w:rPr/>
      </w:pPr>
      <w:bookmarkStart w:colFirst="0" w:colLast="0" w:name="_qh8po05sytlu" w:id="1"/>
      <w:bookmarkEnd w:id="1"/>
      <w:r w:rsidDel="00000000" w:rsidR="00000000" w:rsidRPr="00000000">
        <w:rPr>
          <w:rtl w:val="0"/>
        </w:rPr>
        <w:t xml:space="preserve">2.</w:t>
        <w:tab/>
        <w:t xml:space="preserve">Equipamentos utilizados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1800"/>
        <w:gridCol w:w="2010"/>
        <w:gridCol w:w="1590"/>
        <w:tblGridChange w:id="0">
          <w:tblGrid>
            <w:gridCol w:w="1800"/>
            <w:gridCol w:w="1800"/>
            <w:gridCol w:w="1800"/>
            <w:gridCol w:w="2010"/>
            <w:gridCol w:w="15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Equipamento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Função(topologia)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Conexões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Roteador de borda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Cisco 2911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Conecta a rede interna ao provedor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conexão com o SW-Core e 1 conexão futura com a RNP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Switch 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Cisco 3560-24PS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Atua como Core Colapsado, agregando os switches de acesso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conexões com o switch 2960-24T; 1 conexão com R-CIn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Switch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Cisco 2960-24TT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atua como switch de acesso, conectando os PCs dos laboratórios à rede e encaminhando o tráfego para o Switch 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Conexões com PCs por portas de acesso e uma conexão com SW-Core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PC-PT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Hosts dos cinco laboratórios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br w:type="textWrapping"/>
        <w:t xml:space="preserve">Cada Switch de Acesso Cisco 2960-24TT possui 24 portas, das quais uma é reservada para o uplink (trunk) até o Switch Core, restando 23 portas disponíveis para hosts. Os Laboratórios 1 (35 PCs) e 2 (30 PCs) excedem essa capacidade e, por isso, foram divididos entre dois switches cada (Lab 1A/1B e Lab 2A/2B), enquanto os Laboratórios 3, 4 e 5 (20, 20 e 15 PCs) são atendidos por um único switch cada. Essa distribuição resulta nos 7 switches de acesso do projeto, otimizando o uso dos equipamentos sem exceder a capacidade de portas.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D">
      <w:pPr>
        <w:pStyle w:val="Title"/>
        <w:widowControl w:val="0"/>
        <w:rPr/>
      </w:pPr>
      <w:bookmarkStart w:colFirst="0" w:colLast="0" w:name="_7etddi6if0mo" w:id="2"/>
      <w:bookmarkEnd w:id="2"/>
      <w:r w:rsidDel="00000000" w:rsidR="00000000" w:rsidRPr="00000000">
        <w:rPr>
          <w:rtl w:val="0"/>
        </w:rPr>
        <w:t xml:space="preserve">3.</w:t>
        <w:tab/>
        <w:t xml:space="preserve">Portas e tipos de conexão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Realização da identificação do tipo de conexão: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Destino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conexão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Switch 2960-24TT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Switch 2960-24TT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Cisco 3560-24PS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Cisco 3560-24PS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R-CIn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Trunk</w:t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ind w:left="0" w:right="600" w:firstLine="720"/>
        <w:rPr/>
      </w:pPr>
      <w:r w:rsidDel="00000000" w:rsidR="00000000" w:rsidRPr="00000000">
        <w:rPr>
          <w:rtl w:val="0"/>
        </w:rPr>
        <w:t xml:space="preserve">As portas dos switches Cisco 2960-24TT conectadas aos PCs são configuradas como </w:t>
      </w:r>
      <w:r w:rsidDel="00000000" w:rsidR="00000000" w:rsidRPr="00000000">
        <w:rPr>
          <w:b w:val="1"/>
          <w:bCs w:val="1"/>
          <w:rtl w:val="0"/>
        </w:rPr>
        <w:t xml:space="preserve">access</w:t>
      </w:r>
      <w:r w:rsidDel="00000000" w:rsidR="00000000" w:rsidRPr="00000000">
        <w:rPr>
          <w:rtl w:val="0"/>
        </w:rPr>
        <w:t xml:space="preserve">, pois cada host pertence a uma VLAN específica. Esse tipo de porta permite que o tráfego do dispositivo seja associado diretamente à VLAN correspondente, contribuindo para a segmentação e o isolamento lógico da rede. Já os enlaces entre os switches de acesso e o Switch Core são configurados como </w:t>
      </w:r>
      <w:r w:rsidDel="00000000" w:rsidR="00000000" w:rsidRPr="00000000">
        <w:rPr>
          <w:b w:val="1"/>
          <w:bCs w:val="1"/>
          <w:rtl w:val="0"/>
        </w:rPr>
        <w:t xml:space="preserve">trunk</w:t>
      </w:r>
      <w:r w:rsidDel="00000000" w:rsidR="00000000" w:rsidRPr="00000000">
        <w:rPr>
          <w:rtl w:val="0"/>
        </w:rPr>
        <w:t xml:space="preserve">, pois precisam transportar o tráfego de múltiplas VLANs através de um único enlace físico. Além disso, o administrador pode definir quais VLANs são permitidas em cada trunk, facilitando o controle e a organização do tráfego.</w:t>
      </w:r>
    </w:p>
    <w:p w:rsidR="00000000" w:rsidDel="00000000" w:rsidP="00000000" w:rsidRDefault="00000000" w:rsidRPr="00000000" w14:paraId="0000003E">
      <w:pPr>
        <w:pStyle w:val="Title"/>
        <w:widowControl w:val="0"/>
        <w:rPr/>
      </w:pPr>
      <w:bookmarkStart w:colFirst="0" w:colLast="0" w:name="_kcgxr2lyqfrs" w:id="3"/>
      <w:bookmarkEnd w:id="3"/>
      <w:r w:rsidDel="00000000" w:rsidR="00000000" w:rsidRPr="00000000">
        <w:rPr>
          <w:rtl w:val="0"/>
        </w:rPr>
        <w:t xml:space="preserve">4.</w:t>
        <w:tab/>
        <w:t xml:space="preserve">Topologia física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60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80.047607421875" w:line="240" w:lineRule="auto"/>
      <w:ind w:right="1497.2552490234375"/>
      <w:jc w:val="both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