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0" w:before="0"/>
        <w:jc w:val="center"/>
      </w:pPr>
      <w:r>
        <w:rPr>
          <w:rFonts w:ascii="Times New Roman" w:hAnsi="Times New Roman"/>
          <w:b/>
          <w:sz w:val="36"/>
        </w:rPr>
        <w:t>E2 - Design de Endereçamento VLSM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sz w:val="24"/>
        </w:rPr>
        <w:t>Amanda Trinity Gomes Nascimento - atgn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sz w:val="24"/>
        </w:rPr>
        <w:t>Maria Eduarda Torres da Costa Lira - metcl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sz w:val="24"/>
        </w:rPr>
        <w:t>Maria Luísa Brandão Amaral - mlba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sz w:val="24"/>
        </w:rPr>
        <w:t>Mirella Laura Fontinelle Martins - mlfm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sz w:val="24"/>
        </w:rPr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sz w:val="24"/>
        </w:rPr>
        <w:t>Luiz Miguel Freitas - lmfs3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sz w:val="24"/>
        </w:rPr>
        <w:t>Willian Neves Rupert Jones - wnrj</w:t>
      </w:r>
    </w:p>
    <w:p>
      <w:pPr>
        <w:spacing w:after="600" w:before="400"/>
        <w:jc w:val="center"/>
      </w:pPr>
      <w:r>
        <w:rPr>
          <w:rFonts w:ascii="Times New Roman" w:hAnsi="Times New Roman"/>
          <w:b/>
          <w:sz w:val="28"/>
        </w:rPr>
        <w:t>2026 - Grupo 13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88720" cy="1758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7586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 w:before="600"/>
        <w:jc w:val="center"/>
      </w:pPr>
      <w:r>
        <w:rPr>
          <w:rFonts w:ascii="Times New Roman" w:hAnsi="Times New Roman"/>
          <w:b/>
          <w:sz w:val="28"/>
        </w:rPr>
        <w:t>Introdução a Sistema Distribuídos e Redes de Computadores</w:t>
      </w:r>
    </w:p>
    <w:p>
      <w:r>
        <w:br w:type="page"/>
      </w:r>
    </w:p>
    <w:p>
      <w:pPr>
        <w:spacing w:before="280" w:after="120"/>
      </w:pPr>
      <w:r>
        <w:rPr>
          <w:rFonts w:ascii="Times New Roman" w:hAnsi="Times New Roman"/>
          <w:b/>
          <w:sz w:val="26"/>
        </w:rPr>
        <w:t>1.</w:t>
        <w:tab/>
        <w:t>Introdução</w:t>
      </w:r>
    </w:p>
    <w:p>
      <w:pPr>
        <w:spacing w:after="160"/>
        <w:jc w:val="both"/>
      </w:pPr>
      <w:r>
        <w:rPr>
          <w:rFonts w:ascii="Times New Roman" w:hAnsi="Times New Roman"/>
          <w:sz w:val="24"/>
        </w:rPr>
        <w:t>Este relatório apresenta a segunda entrega (E2) do projeto de reestruturação da rede dos laboratórios do Centro de Informática da UFPE (CIn-UFPE), desenvolvido pelo Grupo 13. O objetivo desta etapa é definir o esquema de endereçamento IP da rede a partir do bloco base 172.20.13.0/24, aplicando a técnica de VLSM (Variable Length Subnet Mask) para dimensionar as sub-redes dos cinco laboratórios com o menor desperdício possível de endereços, respeitando a topologia física definida na entrega anterior (E1).</w:t>
      </w:r>
    </w:p>
    <w:p>
      <w:pPr>
        <w:spacing w:before="280" w:after="120"/>
      </w:pPr>
      <w:r>
        <w:rPr>
          <w:rFonts w:ascii="Times New Roman" w:hAnsi="Times New Roman"/>
          <w:b/>
          <w:sz w:val="26"/>
        </w:rPr>
        <w:t>2.</w:t>
        <w:tab/>
        <w:t>Tabela de Endereçamento Completa</w:t>
      </w:r>
    </w:p>
    <w:p>
      <w:pPr>
        <w:spacing w:after="160"/>
        <w:jc w:val="both"/>
      </w:pPr>
      <w:r>
        <w:rPr>
          <w:rFonts w:ascii="Times New Roman" w:hAnsi="Times New Roman"/>
          <w:sz w:val="24"/>
        </w:rPr>
        <w:t>A tabela a seguir apresenta o particionamento lógico da rede, alocando os blocos da maior para a menor demanda para evitar a fragmentação do endereçamento base.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0"/>
              </w:rPr>
              <w:t>Laboratório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0"/>
              </w:rPr>
              <w:t>VLAN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0"/>
              </w:rPr>
              <w:t>Necessidade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0"/>
              </w:rPr>
              <w:t>Alocados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0"/>
              </w:rPr>
              <w:t>Endereço de Rede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0"/>
              </w:rPr>
              <w:t>CIDR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0"/>
              </w:rPr>
              <w:t>Faixa de IPs Usáveis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b/>
                <w:sz w:val="20"/>
              </w:rPr>
              <w:t>Gateway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 (A + B)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35 hosts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62 hosts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172.20.13.0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/26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172.20.13.1 -- .62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172.20.13.1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2 (A + B)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30 hosts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62 hosts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172.20.13.64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/26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172.20.13.65 -- .126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172.20.13.65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20 hosts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30 hosts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172.20.13.128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/27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172.20.13.129 -- .158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172.20.13.129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20 hosts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30 hosts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172.20.13.160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/27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172.20.13.161 -- .190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172.20.13.161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50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15 hosts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30 hosts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172.20.13.192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/27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172.20.13.193 -- .222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rFonts w:ascii="Times New Roman" w:hAnsi="Times New Roman"/>
                <w:sz w:val="20"/>
              </w:rPr>
              <w:t>172.20.13.193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Times New Roman" w:hAnsi="Times New Roman"/>
          <w:b/>
          <w:sz w:val="26"/>
        </w:rPr>
        <w:t>3.</w:t>
        <w:tab/>
        <w:t>Análise de Eficiência Global</w:t>
      </w:r>
    </w:p>
    <w:p>
      <w:pPr>
        <w:spacing w:after="160"/>
        <w:jc w:val="both"/>
      </w:pPr>
      <w:r>
        <w:rPr>
          <w:rFonts w:ascii="Times New Roman" w:hAnsi="Times New Roman"/>
          <w:sz w:val="24"/>
        </w:rPr>
        <w:t>A análise a seguir valida o dimensionamento da rede, comprovando a eficácia no uso dos endereços através do método de máscara de tamanho variável (VLSM):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Espaço Total do Bloco: 256 endereços (provenientes de 172.20.13.0/24).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Endereços Alocados: 224 endereços (blocos distribuídos de 172.20.13.0 até 172.20.13.223).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Endereços Disponíveis para Expansão: 32 endereços (espaço reservado de 172.20.13.224 até 172.20.13.255, o que forma um bloco /27 totalmente intacto).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Taxa de Utilização do Bloco Principal: 224/256 × 100 = 87,5%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Margem de Crescimento: o endereçamento possui espaço livre contíguo suficiente para a futura criação de um novo laboratório (Lab 6) com até 30 hosts utilizáveis, ou, alternativamente, duas sub-redes menores para abrigar equipamentos de infraestrutura/servidores (ex.: dois blocos /28).</w:t>
      </w:r>
    </w:p>
    <w:p>
      <w:pPr>
        <w:spacing w:before="280" w:after="120"/>
      </w:pPr>
      <w:r>
        <w:rPr>
          <w:rFonts w:ascii="Times New Roman" w:hAnsi="Times New Roman"/>
          <w:b/>
          <w:sz w:val="26"/>
        </w:rPr>
        <w:t>4.</w:t>
        <w:tab/>
        <w:t>Entendendo a Matemática Aplicada</w:t>
      </w:r>
    </w:p>
    <w:p>
      <w:pPr>
        <w:spacing w:after="160"/>
        <w:jc w:val="both"/>
      </w:pPr>
      <w:r>
        <w:rPr>
          <w:rFonts w:ascii="Times New Roman" w:hAnsi="Times New Roman"/>
          <w:sz w:val="24"/>
        </w:rPr>
        <w:t>Para dimensionar as sub-redes corretamente e evitar o desperdício de IPs da técnica clássica FLSM, o cálculo baseou-se na seguinte regra do VLSM: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3131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13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both"/>
      </w:pPr>
      <w:r>
        <w:rPr>
          <w:rFonts w:ascii="Times New Roman" w:hAnsi="Times New Roman"/>
          <w:sz w:val="24"/>
        </w:rPr>
        <w:t>Onde H representa a quantidade de bits de host necessários. Os 2 endereços subtraídos por padrão representam o Network Address (primeiro IP) e o Broadcast Address (último IP).</w:t>
      </w:r>
    </w:p>
    <w:p>
      <w:pPr>
        <w:spacing w:after="160"/>
        <w:jc w:val="both"/>
      </w:pPr>
      <w:r>
        <w:rPr>
          <w:rFonts w:ascii="Times New Roman" w:hAnsi="Times New Roman"/>
          <w:b/>
          <w:sz w:val="24"/>
        </w:rPr>
        <w:t>Justificativa por Segmento:</w:t>
      </w:r>
    </w:p>
    <w:p>
      <w:pPr>
        <w:spacing w:after="160"/>
        <w:jc w:val="both"/>
      </w:pPr>
      <w:r>
        <w:rPr>
          <w:rFonts w:ascii="Times New Roman" w:hAnsi="Times New Roman"/>
          <w:b/>
          <w:sz w:val="24"/>
        </w:rPr>
        <w:t xml:space="preserve">Labs 1 e 2 (Máscara /26): </w:t>
      </w:r>
      <w:r>
        <w:rPr>
          <w:rFonts w:ascii="Times New Roman" w:hAnsi="Times New Roman"/>
          <w:sz w:val="24"/>
        </w:rPr>
        <w:t>necessitavam de 36 e 31 IPs utilizáveis, respectivamente (hosts + 1 gateway). Um bloco com H = 5 ofertaria apenas 30 endereços utilizáveis (insuficiente). Ao aumentar para H = 6, garantimos 62 IPs utilizáveis por sub-rede. Subtraindo 6 bits de host do total do IPv4 (32 − 6), determinamos a máscara CIDR de /26 (255.255.255.192).</w:t>
      </w:r>
    </w:p>
    <w:p>
      <w:pPr>
        <w:spacing w:after="160"/>
        <w:jc w:val="both"/>
      </w:pPr>
      <w:r>
        <w:rPr>
          <w:rFonts w:ascii="Times New Roman" w:hAnsi="Times New Roman"/>
          <w:b/>
          <w:sz w:val="24"/>
        </w:rPr>
        <w:t xml:space="preserve">Labs 3, 4 e 5 (Máscara /27): </w:t>
      </w:r>
      <w:r>
        <w:rPr>
          <w:rFonts w:ascii="Times New Roman" w:hAnsi="Times New Roman"/>
          <w:sz w:val="24"/>
        </w:rPr>
        <w:t>necessitavam de 21, 21 e 16 IPs utilizáveis, respectivamente. O bloco mínimo ideal requer H = 5, entregando os exatos 30 IPs utilizáveis necessários. Subtraindo 5 bits de host do total (32 − 5), consolidamos a máscara CIDR em /27 (255.255.255.224).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