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_s_bank_capital_rewrite_march_20_c9a299"/>
      <w:r>
        <w:rPr>
          <w:b/>
          <w:sz w:val="56"/>
        </w:rPr>
        <w:t xml:space="preserve">U.S. Bank Capital Rewrite: March 2026 Regulatory Reset</w:t>
      </w:r>
      <w:bookmarkEnd w:id="0"/>
    </w:p>
    <w:p>
      <w:pPr>
        <w:spacing w:after="210" w:lineRule="auto"/>
      </w:pPr>
      <w:r>
        <w:rPr>
          <w:b/>
        </w:rPr>
        <w:t xml:space="preserve">Date:</w:t>
      </w:r>
      <w:r>
        <w:rPr/>
        <w:t xml:space="preserve"> March 26, 2026</w:t>
      </w:r>
      <w:r>
        <w:rPr/>
        <w:br w:type="textWrapping"/>
      </w:r>
      <w:r>
        <w:rPr>
          <w:b/>
        </w:rPr>
        <w:t xml:space="preserve">Prepared for:</w:t>
      </w:r>
      <w:r>
        <w:rPr/>
        <w:t xml:space="preserve"> Trading Desk / Portfolio Management</w:t>
      </w:r>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On March 19, 2026, the Fed, FDIC, and OCC released a three-proposal package overhauling U.S. bank capital requirements—the softer replacement for the 2023 Basel III endgame draft that banks successfully lobbied against[1][2]. The package cuts aggregate capital requirements for the largest banks by 4.8%, mid-tier regionals by 5.2%, and smaller banks by 7.8%[3][4]. This represents a major policy victory for the industry, freeing an estimated $175 billion in excess capital already held by large banks and potentially unlocking $279 billion total across the sector for lending, buybacks, and dividends[5][6].</w:t>
      </w:r>
    </w:p>
    <w:p>
      <w:pPr>
        <w:spacing w:after="210" w:lineRule="auto"/>
      </w:pPr>
      <w:r>
        <w:rPr>
          <w:b/>
        </w:rPr>
        <w:t xml:space="preserve">Key timeline:</w:t>
      </w:r>
      <w:r>
        <w:rPr>
          <w:rFonts w:eastAsia="Georgia" w:cs="Georgia" w:ascii="Georgia" w:hAnsi="Georgia"/>
        </w:rPr>
        <w:t xml:space="preserve"> 90-day comment period closes June 18, 2026. No implementation date specified—agencies explicitly request feedback on phase-in length[7]. Expect finalization H2 2026 at earliest, likely Q1 2027, with multi-year transition periods.</w:t>
      </w:r>
    </w:p>
    <w:p>
      <w:pPr>
        <w:spacing w:after="210" w:lineRule="auto"/>
      </w:pPr>
      <w:r>
        <w:rPr>
          <w:b/>
        </w:rPr>
        <w:t xml:space="preserve">Market implication:</w:t>
      </w:r>
      <w:r>
        <w:rPr>
          <w:rFonts w:eastAsia="Georgia" w:cs="Georgia" w:ascii="Georgia" w:hAnsi="Georgia"/>
        </w:rPr>
        <w:t xml:space="preserve"> This is a structural tailwind for bank equities, particularly money-center and trading-heavy names. Regional banks benefit from lighter mortgage/lending treatment but face a critical offset: mandatory AOCI inclusion (unrealized securities marks) hitting $49.5 billion in aggregate capital across 21 Category III/IV banks over a five-year phase-in[8][9]. Net effect remains modestly positive for regionals, but dispersion matters—banks with large AFS portfolios and underwater securities books will see differentiated impacts.</w:t>
      </w:r>
    </w:p>
    <w:p>
      <w:pPr>
        <w:spacing w:line="271" w:before="240" w:lineRule="auto"/>
      </w:pPr>
      <w:bookmarkStart w:id="2" w:name="the_three_proposals"/>
      <w:r>
        <w:rPr>
          <w:b/>
          <w:sz w:val="42"/>
        </w:rPr>
        <w:t xml:space="preserve">The Three Proposals</w:t>
      </w:r>
      <w:bookmarkEnd w:id="2"/>
    </w:p>
    <w:p>
      <w:pPr>
        <w:numPr>
          <w:ilvl w:val="0"/>
          <w:numId w:val="1"/>
        </w:numPr>
        <w:spacing w:lineRule="auto"/>
      </w:pPr>
      <w:r>
        <w:rPr>
          <w:b/>
        </w:rPr>
        <w:t xml:space="preserve">Basel III Endgame (ERBA)</w:t>
      </w:r>
      <w:r>
        <w:rPr/>
        <w:t xml:space="preserve">: Applies primarily to Category I/II banks (assets $&gt;$700B). Consolidates dual-stack approach to single risk-based calculation. Recalibrates credit, market, and operational risk weights. Estimated +1.4% capital impact from this piece alone, offset by other proposals[10][11].</w:t>
      </w:r>
    </w:p>
    <w:p>
      <w:pPr>
        <w:numPr>
          <w:ilvl w:val="0"/>
          <w:numId w:val="1"/>
        </w:numPr>
        <w:spacing w:lineRule="auto"/>
      </w:pPr>
      <w:r>
        <w:rPr>
          <w:b/>
        </w:rPr>
        <w:t xml:space="preserve">GSIB Surcharge Revision</w:t>
      </w:r>
      <w:r>
        <w:rPr/>
        <w:t xml:space="preserve">: Fed-only proposal modifying systemic-risk surcharge for the eight largest U.S. banks. Updates economic inputs, changes short-term funding risk calculation, and shifts to 10 bps increments (vs. 50 bps currently). Estimated -3.8% capital reduction from this component[10][12].</w:t>
      </w:r>
    </w:p>
    <w:p>
      <w:pPr>
        <w:numPr>
          <w:ilvl w:val="0"/>
          <w:numId w:val="1"/>
        </w:numPr>
        <w:spacing w:lineRule="auto"/>
      </w:pPr>
      <w:r>
        <w:rPr>
          <w:b/>
        </w:rPr>
        <w:t xml:space="preserve">Standardized Approach Revisions</w:t>
      </w:r>
      <w:r>
        <w:rPr/>
        <w:t xml:space="preserve">: Applies to virtually all banks. Lowers risk weights for traditional lending, reduces mortgage servicing capital penalties, and simplifies framework for smaller institutions. Also mandates AOCI inclusion for Category III/IV banks (five-year phase-in)[13][14].</w:t>
      </w:r>
    </w:p>
    <w:p>
      <w:pPr>
        <w:spacing w:after="210" w:lineRule="auto"/>
      </w:pPr>
      <w:r>
        <w:rPr>
          <w:b/>
        </w:rPr>
        <w:t xml:space="preserve">Net aggregate effects</w:t>
      </w:r>
      <w:r>
        <w:rPr/>
        <w:t xml:space="preserve">[3][10]:</w:t>
      </w:r>
    </w:p>
    <w:p>
      <w:pPr>
        <w:numPr>
          <w:ilvl w:val="0"/>
          <w:numId w:val="2"/>
        </w:numPr>
        <w:spacing w:lineRule="auto"/>
      </w:pPr>
      <w:r>
        <w:rPr/>
        <w:t xml:space="preserve">Category I/II (JPM, BAC, C, WFC, GS, MS, BK, STT): -4.8%</w:t>
      </w:r>
    </w:p>
    <w:p>
      <w:pPr>
        <w:numPr>
          <w:ilvl w:val="0"/>
          <w:numId w:val="2"/>
        </w:numPr>
        <w:spacing w:lineRule="auto"/>
      </w:pPr>
      <w:r>
        <w:rPr/>
        <w:t xml:space="preserve">Category III/IV (regional super-regionals, $100B-$700B assets): -5.2% (before AOCI phase-in drag)</w:t>
      </w:r>
    </w:p>
    <w:p>
      <w:pPr>
        <w:numPr>
          <w:ilvl w:val="0"/>
          <w:numId w:val="2"/>
        </w:numPr>
        <w:spacing w:lineRule="auto"/>
      </w:pPr>
      <w:r>
        <w:rPr/>
        <w:t xml:space="preserve">Sub-$100B banks: -7.8%</w:t>
      </w:r>
    </w:p>
    <w:p>
      <w:pPr>
        <w:spacing w:line="271" w:before="240" w:lineRule="auto"/>
      </w:pPr>
      <w:bookmarkStart w:id="3" w:name="critical_details_for_trading_desks"/>
      <w:r>
        <w:rPr>
          <w:b/>
          <w:sz w:val="42"/>
        </w:rPr>
        <w:t xml:space="preserve">Critical Details for Trading Desks</w:t>
      </w:r>
      <w:bookmarkEnd w:id="3"/>
    </w:p>
    <w:p>
      <w:pPr>
        <w:spacing w:line="271" w:before="240" w:lineRule="auto"/>
      </w:pPr>
      <w:bookmarkStart w:id="4" w:name="aoci_reinclusion_regional_bank_risk"/>
      <w:r>
        <w:rPr>
          <w:b/>
          <w:sz w:val="33"/>
        </w:rPr>
        <w:t xml:space="preserve">AOCI Reinclusion (Regional Bank Risk)</w:t>
      </w:r>
      <w:bookmarkEnd w:id="4"/>
    </w:p>
    <w:p>
      <w:pPr>
        <w:spacing w:after="210" w:lineRule="auto"/>
      </w:pPr>
      <w:r>
        <w:rPr>
          <w:rFonts w:eastAsia="Georgia" w:cs="Georgia" w:ascii="Georgia" w:hAnsi="Georgia"/>
        </w:rPr>
        <w:t xml:space="preserve">The most consequential regional-bank component is mandatory AOCI inclusion for Category III/IV banks—requiring unrealized gains/losses on AFS securities to flow through CET1 capital[8][9][15]. Currently, only Category I/II banks recognize AOCI; smaller banks have an opt-out. The proposal eliminates the opt-out with a five-year, 20%-per-year phase-in starting January 1 of the effective year[16][17].</w:t>
      </w:r>
    </w:p>
    <w:p>
      <w:pPr>
        <w:spacing w:after="210" w:lineRule="auto"/>
      </w:pPr>
      <w:r>
        <w:rPr>
          <w:b/>
        </w:rPr>
        <w:t xml:space="preserve">Impact:</w:t>
      </w:r>
      <w:r>
        <w:rPr/>
        <w:t xml:space="preserve"> </w:t>
      </w:r>
      <w:hyperlink r:id="rId5">
        <w:r>
          <w:rPr>
            <w:color w:val="4472C4"/>
          </w:rPr>
          <w:t xml:space="preserve">Risk.net</w:t>
        </w:r>
      </w:hyperlink>
      <w:r>
        <w:rPr>
          <w:rFonts w:eastAsia="Georgia" w:cs="Georgia" w:ascii="Georgia" w:hAnsi="Georgia"/>
        </w:rPr>
        <w:t xml:space="preserve"> analysis shows $49.5 billion aggregate capital reduction across 21 analyzed regional banks from AOCI reinclusion[8]. This directly matters for any bank holding large AFS securities portfolios with unrealized losses—the 2023 regional bank crisis playbook in reverse if rates fall, but a capital drag if unrealized losses persist or widen.</w:t>
      </w:r>
    </w:p>
    <w:p>
      <w:pPr>
        <w:spacing w:after="210" w:lineRule="auto"/>
      </w:pPr>
      <w:r>
        <w:rPr>
          <w:b/>
        </w:rPr>
        <w:t xml:space="preserve">Investment angle:</w:t>
      </w:r>
      <w:r>
        <w:rPr>
          <w:rFonts w:eastAsia="Georgia" w:cs="Georgia" w:ascii="Georgia" w:hAnsi="Georgia"/>
        </w:rPr>
        <w:t xml:space="preserve"> Banks with clean AFS books (minimal underwater securities) are relative winners. Banks still carrying 2022–2023 vintage HTM/AFS underwater positions face multi-year capital headwinds as phase-in progresses. This creates dispersion within KRE and among individual regional tickers.</w:t>
      </w:r>
    </w:p>
    <w:p>
      <w:pPr>
        <w:spacing w:line="271" w:before="240" w:lineRule="auto"/>
      </w:pPr>
      <w:bookmarkStart w:id="5" w:name="mortgage_servicing_capital_relief"/>
      <w:r>
        <w:rPr>
          <w:b/>
          <w:sz w:val="33"/>
        </w:rPr>
        <w:t xml:space="preserve">Mortgage Servicing Capital Relief</w:t>
      </w:r>
      <w:bookmarkEnd w:id="5"/>
    </w:p>
    <w:p>
      <w:pPr>
        <w:spacing w:after="210" w:lineRule="auto"/>
      </w:pPr>
      <w:r>
        <w:rPr/>
        <w:t xml:space="preserve">Both the ERBA and Standardized Approach proposals remove regulatory capital deductions for mortgage servicing assets (MSAs), a significant positive for banks with large MSR portfolios[13][18]. Currently, MSAs above 10% of CET1 trigger deductions; the proposal eliminates this penalty.</w:t>
      </w:r>
    </w:p>
    <w:p>
      <w:pPr>
        <w:spacing w:after="210" w:lineRule="auto"/>
      </w:pPr>
      <w:r>
        <w:rPr>
          <w:b/>
        </w:rPr>
        <w:t xml:space="preserve">Beneficiaries:</w:t>
      </w:r>
      <w:r>
        <w:rPr>
          <w:rFonts w:eastAsia="Georgia" w:cs="Georgia" w:ascii="Georgia" w:hAnsi="Georgia"/>
        </w:rPr>
        <w:t xml:space="preserve"> Primary mortgage originators and servicers—think national mortgage banks and regional banks with heavy resi mortgage origination. This directly lowers capital consumption for mortgage lending activity and removes a longstanding disincentive for banks to hold servicing rights.</w:t>
      </w:r>
    </w:p>
    <w:p>
      <w:pPr>
        <w:spacing w:line="271" w:before="240" w:lineRule="auto"/>
      </w:pPr>
      <w:bookmarkStart w:id="6" w:name="trading_book_winners"/>
      <w:r>
        <w:rPr>
          <w:b/>
          <w:sz w:val="33"/>
        </w:rPr>
        <w:t xml:space="preserve">Trading Book Winners</w:t>
      </w:r>
      <w:bookmarkEnd w:id="6"/>
    </w:p>
    <w:p>
      <w:pPr>
        <w:spacing w:after="210" w:lineRule="auto"/>
      </w:pPr>
      <w:r>
        <w:rPr/>
        <w:t xml:space="preserve">Goldman Sachs and Morgan Stanley are consensus street picks as biggest winners[5][19][20]. The revised market risk capital framework (Fundamental Review of the Trading Book, or FRTB) is materially lighter than the 2023 draft, and the GSIB surcharge changes disproportionately benefit trading-heavy banks with lower reliance on short-term wholesale funding[19][20].</w:t>
      </w:r>
    </w:p>
    <w:p>
      <w:pPr>
        <w:spacing w:after="210" w:lineRule="auto"/>
      </w:pPr>
      <w:r>
        <w:rPr>
          <w:b/>
        </w:rPr>
        <w:t xml:space="preserve">JPMorgan angle:</w:t>
      </w:r>
      <w:r>
        <w:rPr>
          <w:rFonts w:eastAsia="Georgia" w:cs="Georgia" w:ascii="Georgia" w:hAnsi="Georgia"/>
        </w:rPr>
        <w:t xml:space="preserve"> Currently holds a 4.5% GSIB surcharge (highest in U.S.) and operates with a ~300 bps buffer above its 11.5% required CET1 ratio[21]. Management has signaled they're holding excess capital due to regulatory uncertainty. Once rules finalize, JPM can operate with a tighter buffer and accelerate buybacks—tens of billions in deployment potential.</w:t>
      </w:r>
    </w:p>
    <w:p>
      <w:pPr>
        <w:spacing w:line="271" w:before="240" w:lineRule="auto"/>
      </w:pPr>
      <w:bookmarkStart w:id="7" w:name="cre_lending_channel_reopening"/>
      <w:r>
        <w:rPr>
          <w:b/>
          <w:sz w:val="33"/>
        </w:rPr>
        <w:t xml:space="preserve">CRE Lending Channel Reopening</w:t>
      </w:r>
      <w:bookmarkEnd w:id="7"/>
    </w:p>
    <w:p>
      <w:pPr>
        <w:spacing w:after="210" w:lineRule="auto"/>
      </w:pPr>
      <w:r>
        <w:rPr>
          <w:rFonts w:eastAsia="Georgia" w:cs="Georgia" w:ascii="Georgia" w:hAnsi="Georgia"/>
        </w:rPr>
        <w:t xml:space="preserve">Analysts estimate the largest banks could hold ~$20 billion less capital under the proposal, with potential for expanded CRE lending[22]. This matters for office, multifamily, and construction lending—sectors where banks retreated in 2023–2024 due to capital intensity and mark-to-market losses. Lighter capital treatment for traditional real estate exposures could reopen bank balance sheets to CRE at a time when private credit has been filling the void.</w:t>
      </w:r>
    </w:p>
    <w:p>
      <w:pPr>
        <w:spacing w:line="271" w:before="240" w:lineRule="auto"/>
      </w:pPr>
      <w:bookmarkStart w:id="8" w:name="timeline_and_process"/>
      <w:r>
        <w:rPr>
          <w:b/>
          <w:sz w:val="42"/>
        </w:rPr>
        <w:t xml:space="preserve">Timeline and Process</w:t>
      </w:r>
      <w:bookmarkEnd w:id="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Event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March 19, 2026</w:t>
            </w:r>
          </w:p>
        </w:tc>
        <w:tc>
          <w:tcPr>
            <w:tcBorders>
              <w:bottom w:val="single" w:sz="8" w:space="0" w:color="000000"/>
              <w:right w:val="single" w:sz="8" w:space="0" w:color="000000"/>
            </w:tcBorders>
            <w:vAlign w:val="center"/>
          </w:tcPr>
          <w:p>
            <w:pPr>
              <w:spacing w:lineRule="auto"/>
              <w:jc w:val="left"/>
            </w:pPr>
            <w:r>
              <w:rPr/>
              <w:t xml:space="preserve">Proposals released by Fed/FDIC/OCC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June 18, 2026</w:t>
            </w:r>
          </w:p>
        </w:tc>
        <w:tc>
          <w:tcPr>
            <w:tcBorders>
              <w:bottom w:val="single" w:sz="8" w:space="0" w:color="000000"/>
              <w:right w:val="single" w:sz="8" w:space="0" w:color="000000"/>
            </w:tcBorders>
            <w:vAlign w:val="center"/>
          </w:tcPr>
          <w:p>
            <w:pPr>
              <w:spacing w:lineRule="auto"/>
              <w:jc w:val="left"/>
            </w:pPr>
            <w:r>
              <w:rPr/>
              <w:t xml:space="preserve">Comment period closes (90 days)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Q3–Q4 2026</w:t>
            </w:r>
          </w:p>
        </w:tc>
        <w:tc>
          <w:tcPr>
            <w:tcBorders>
              <w:bottom w:val="single" w:sz="8" w:space="0" w:color="000000"/>
              <w:right w:val="single" w:sz="8" w:space="0" w:color="000000"/>
            </w:tcBorders>
            <w:vAlign w:val="center"/>
          </w:tcPr>
          <w:p>
            <w:pPr>
              <w:spacing w:lineRule="auto"/>
              <w:jc w:val="left"/>
            </w:pPr>
            <w:r>
              <w:rPr/>
              <w:t xml:space="preserve">Regulators review comments, revise proposals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Q4 2026 – Q1 2027</w:t>
            </w:r>
          </w:p>
        </w:tc>
        <w:tc>
          <w:tcPr>
            <w:tcBorders>
              <w:bottom w:val="single" w:sz="8" w:space="0" w:color="000000"/>
              <w:right w:val="single" w:sz="8" w:space="0" w:color="000000"/>
            </w:tcBorders>
            <w:vAlign w:val="center"/>
          </w:tcPr>
          <w:p>
            <w:pPr>
              <w:spacing w:lineRule="auto"/>
              <w:jc w:val="left"/>
            </w:pPr>
            <w:r>
              <w:rPr/>
              <w:t xml:space="preserve">Earliest finalization (optimistic case)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2027–2029</w:t>
            </w:r>
          </w:p>
        </w:tc>
        <w:tc>
          <w:tcPr>
            <w:tcBorders>
              <w:bottom w:val="single" w:sz="8" w:space="0" w:color="000000"/>
              <w:right w:val="single" w:sz="8" w:space="0" w:color="000000"/>
            </w:tcBorders>
            <w:vAlign w:val="center"/>
          </w:tcPr>
          <w:p>
            <w:pPr>
              <w:spacing w:lineRule="auto"/>
              <w:jc w:val="left"/>
            </w:pPr>
            <w:r>
              <w:rPr/>
              <w:t xml:space="preserve">Multi-year phase-in period (length TBD)</w:t>
            </w:r>
          </w:p>
        </w:tc>
      </w:tr>
    </w:tbl>
    <w:p>
      <w:pPr>
        <w:spacing w:lineRule="auto"/>
      </w:pPr>
    </w:p>
    <w:p>
      <w:pPr>
        <w:spacing w:lineRule="auto"/>
      </w:pPr>
      <w:r>
        <w:rPr/>
        <w:t xml:space="preserve">Table 1: Regulatory timeline estimates</w:t>
      </w:r>
    </w:p>
    <w:p>
      <w:pPr>
        <w:spacing w:after="210" w:lineRule="auto"/>
      </w:pPr>
      <w:r>
        <w:rPr>
          <w:b/>
        </w:rPr>
        <w:t xml:space="preserve">Key uncertainty:</w:t>
      </w:r>
      <w:r>
        <w:rPr/>
        <w:t xml:space="preserve"> The 2023 Basel III endgame proposal included a three-year phase-in. The 2026 proposals do </w:t>
      </w:r>
      <w:r>
        <w:rPr>
          <w:i/>
        </w:rPr>
        <w:t xml:space="preserve">not</w:t>
      </w:r>
      <w:r>
        <w:rPr>
          <w:rFonts w:eastAsia="Georgia" w:cs="Georgia" w:ascii="Georgia" w:hAnsi="Georgia"/>
        </w:rPr>
        <w:t xml:space="preserve"> specify implementation timelines—agencies explicitly request comment on appropriate length between finalization and effective date[7]. This creates implementation risk and delays certainty on capital deployment.</w:t>
      </w:r>
    </w:p>
    <w:p>
      <w:pPr>
        <w:spacing w:after="210" w:lineRule="auto"/>
      </w:pPr>
      <w:r>
        <w:rPr>
          <w:b/>
        </w:rPr>
        <w:t xml:space="preserve">Political risk:</w:t>
      </w:r>
      <w:r>
        <w:rPr/>
        <w:t xml:space="preserve"> Fed Vice Chair for Supervision Michael Barr (Democrat, Biden appointee) dissented, calling the changes "unnecessary and unwise"[23]. Fed Governor Michelle Bowman (Republican, Trump nominee) led the effort and emphasized capital will remain "robust"[23]. Expect continued political and public debate during the comment period, with potential for additional revisions before finalization.</w:t>
      </w:r>
    </w:p>
    <w:p>
      <w:pPr>
        <w:spacing w:line="271" w:before="240" w:lineRule="auto"/>
      </w:pPr>
      <w:bookmarkStart w:id="9" w:name="market_implications"/>
      <w:r>
        <w:rPr>
          <w:b/>
          <w:sz w:val="42"/>
        </w:rPr>
        <w:t xml:space="preserve">Market Implications</w:t>
      </w:r>
      <w:bookmarkEnd w:id="9"/>
    </w:p>
    <w:p>
      <w:pPr>
        <w:spacing w:line="271" w:before="240" w:lineRule="auto"/>
      </w:pPr>
      <w:bookmarkStart w:id="10" w:name="equity_impact"/>
      <w:r>
        <w:rPr>
          <w:b/>
          <w:sz w:val="33"/>
        </w:rPr>
        <w:t xml:space="preserve">Equity Impact</w:t>
      </w:r>
      <w:bookmarkEnd w:id="10"/>
    </w:p>
    <w:p>
      <w:pPr>
        <w:spacing w:after="210" w:lineRule="auto"/>
      </w:pPr>
      <w:r>
        <w:rPr>
          <w:rFonts w:eastAsia="Georgia" w:cs="Georgia" w:ascii="Georgia" w:hAnsi="Georgia"/>
        </w:rPr>
        <w:t xml:space="preserve">Bank stocks are pricing this as a structural positive. Money-center banks (JPM, BAC, C, WFC) and trading-heavy names (GS, MS) are consensus longs on the back of capital relief and accelerated shareholder returns[5][21][24]. Regional banks (KRE constituents) are secondary beneficiaries—lighter capital requirements offset partially by AOCI phase-in drag[9][25].</w:t>
      </w:r>
    </w:p>
    <w:p>
      <w:pPr>
        <w:spacing w:after="210" w:lineRule="auto"/>
      </w:pPr>
      <w:r>
        <w:rPr>
          <w:b/>
        </w:rPr>
        <w:t xml:space="preserve">KRE historical context:</w:t>
      </w:r>
      <w:r>
        <w:rPr/>
        <w:t xml:space="preserve"> KRE traded at $47.06 on April 7, 2025 (52-week low during regional bank stress), rallied to $71.26 on January 22, 2026 (52-week high, +51% from lows), and currently trades around $64.43 (March 26, 2026)[26][27]. Capital rule clarity is a multi-quarter tailwind, but near-term price action reflects profit-taking after the initial March 19 pop.</w:t>
      </w:r>
    </w:p>
    <w:p>
      <w:pPr>
        <w:spacing w:after="210" w:lineRule="auto"/>
      </w:pPr>
      <w:r>
        <w:rPr>
          <w:b/>
        </w:rPr>
        <w:t xml:space="preserve">Dispersion trade:</w:t>
      </w:r>
      <w:r>
        <w:rPr/>
        <w:t xml:space="preserve"> Within regionals, favor banks with:</w:t>
      </w:r>
    </w:p>
    <w:p>
      <w:pPr>
        <w:numPr>
          <w:ilvl w:val="0"/>
          <w:numId w:val="3"/>
        </w:numPr>
        <w:spacing w:lineRule="auto"/>
      </w:pPr>
      <w:r>
        <w:rPr/>
        <w:t xml:space="preserve">Clean AFS/HTM portfolios (minimal unrealized losses)</w:t>
      </w:r>
    </w:p>
    <w:p>
      <w:pPr>
        <w:numPr>
          <w:ilvl w:val="0"/>
          <w:numId w:val="3"/>
        </w:numPr>
        <w:spacing w:lineRule="auto"/>
      </w:pPr>
      <w:r>
        <w:rPr/>
        <w:t xml:space="preserve">High MSR/mortgage origination exposure (capital relief)</w:t>
      </w:r>
    </w:p>
    <w:p>
      <w:pPr>
        <w:numPr>
          <w:ilvl w:val="0"/>
          <w:numId w:val="3"/>
        </w:numPr>
        <w:spacing w:lineRule="auto"/>
      </w:pPr>
      <w:r>
        <w:rPr/>
        <w:t xml:space="preserve">Strong loan growth pipelines (can deploy freed capital)</w:t>
      </w:r>
    </w:p>
    <w:p>
      <w:pPr>
        <w:numPr>
          <w:ilvl w:val="0"/>
          <w:numId w:val="3"/>
        </w:numPr>
        <w:spacing w:lineRule="auto"/>
      </w:pPr>
      <w:r>
        <w:rPr/>
        <w:t xml:space="preserve">M&amp;A optionality (regulatory backdrop increasingly permissive)</w:t>
      </w:r>
    </w:p>
    <w:p>
      <w:pPr>
        <w:spacing w:after="210" w:lineRule="auto"/>
      </w:pPr>
      <w:r>
        <w:rPr/>
        <w:t xml:space="preserve">Avoid banks with:</w:t>
      </w:r>
    </w:p>
    <w:p>
      <w:pPr>
        <w:numPr>
          <w:ilvl w:val="0"/>
          <w:numId w:val="4"/>
        </w:numPr>
        <w:spacing w:lineRule="auto"/>
      </w:pPr>
      <w:r>
        <w:rPr/>
        <w:t xml:space="preserve">Large underwater securities portfolios (AOCI drag)</w:t>
      </w:r>
    </w:p>
    <w:p>
      <w:pPr>
        <w:numPr>
          <w:ilvl w:val="0"/>
          <w:numId w:val="4"/>
        </w:numPr>
        <w:spacing w:lineRule="auto"/>
      </w:pPr>
      <w:r>
        <w:rPr/>
        <w:t xml:space="preserve">Heavy reliance on wholesale funding (less GSIB surcharge benefit)</w:t>
      </w:r>
    </w:p>
    <w:p>
      <w:pPr>
        <w:numPr>
          <w:ilvl w:val="0"/>
          <w:numId w:val="4"/>
        </w:numPr>
        <w:spacing w:lineRule="auto"/>
      </w:pPr>
      <w:r>
        <w:rPr/>
        <w:t xml:space="preserve">Weak NIM environments (capital relief doesn't fix spread compression)</w:t>
      </w:r>
    </w:p>
    <w:p>
      <w:pPr>
        <w:spacing w:line="271" w:before="240" w:lineRule="auto"/>
      </w:pPr>
      <w:bookmarkStart w:id="11" w:name="credit_and_fixed_income"/>
      <w:r>
        <w:rPr>
          <w:b/>
          <w:sz w:val="33"/>
        </w:rPr>
        <w:t xml:space="preserve">Credit and Fixed Income</w:t>
      </w:r>
      <w:bookmarkEnd w:id="11"/>
    </w:p>
    <w:p>
      <w:pPr>
        <w:spacing w:after="210" w:lineRule="auto"/>
      </w:pPr>
      <w:r>
        <w:rPr>
          <w:rFonts w:eastAsia="Georgia" w:cs="Georgia" w:ascii="Georgia" w:hAnsi="Georgia"/>
        </w:rPr>
        <w:t xml:space="preserve">Investment-grade bank paper tightens modestly on improved capital ratios and reduced tail risk. Sub debt and preferred issuance likely accelerates as banks optimize capital stacks—Series BB preferred redemptions at WFC (March 16, 2026) are a template for recapitalization moves[28][29].</w:t>
      </w:r>
    </w:p>
    <w:p>
      <w:pPr>
        <w:spacing w:after="210" w:lineRule="auto"/>
      </w:pPr>
      <w:r>
        <w:rPr>
          <w:rFonts w:eastAsia="Georgia" w:cs="Georgia" w:ascii="Georgia" w:hAnsi="Georgia"/>
        </w:rPr>
        <w:t xml:space="preserve">Higher-quality regional bank debt should see spread compression vs. lower-tier names as AOCI phase-in creates visible capital differentiation. Watch for issuance calendars in Q2–Q3 2026 as banks front-run finalization.</w:t>
      </w:r>
    </w:p>
    <w:p>
      <w:pPr>
        <w:spacing w:line="271" w:before="240" w:lineRule="auto"/>
      </w:pPr>
      <w:bookmarkStart w:id="12" w:name="m_a_acceleration"/>
      <w:r>
        <w:rPr>
          <w:b/>
          <w:sz w:val="33"/>
        </w:rPr>
        <w:t xml:space="preserve">M&amp;A Acceleration</w:t>
      </w:r>
      <w:bookmarkEnd w:id="12"/>
    </w:p>
    <w:p>
      <w:pPr>
        <w:spacing w:after="210" w:lineRule="auto"/>
      </w:pPr>
      <w:r>
        <w:rPr>
          <w:rFonts w:eastAsia="Georgia" w:cs="Georgia" w:ascii="Georgia" w:hAnsi="Georgia"/>
        </w:rPr>
        <w:t xml:space="preserve">The regulatory backdrop is the most permissive since pre-2020. Lighter capital requirements + friendlier Trump-era regulators = structural support for bank M&amp;A, particularly in the $10B–$100B asset range[30]. Expect deal announcements to accelerate through 2026, with strategic consolidation among regional and community banks.</w:t>
      </w:r>
    </w:p>
    <w:p>
      <w:pPr>
        <w:spacing w:after="210" w:lineRule="auto"/>
      </w:pPr>
      <w:r>
        <w:rPr>
          <w:b/>
        </w:rPr>
        <w:t xml:space="preserve">Notable deals already announced:</w:t>
      </w:r>
    </w:p>
    <w:p>
      <w:pPr>
        <w:numPr>
          <w:ilvl w:val="0"/>
          <w:numId w:val="5"/>
        </w:numPr>
        <w:spacing w:lineRule="auto"/>
      </w:pPr>
      <w:r>
        <w:rPr/>
        <w:t xml:space="preserve">Synovus + Pinnacle: $8.6B merger (July 2025)[31]</w:t>
      </w:r>
    </w:p>
    <w:p>
      <w:pPr>
        <w:numPr>
          <w:ilvl w:val="0"/>
          <w:numId w:val="5"/>
        </w:numPr>
        <w:spacing w:lineRule="auto"/>
      </w:pPr>
      <w:r>
        <w:rPr/>
        <w:t xml:space="preserve">PNC + FirstBank: $4.1B acquisition (September 2025)[32]</w:t>
      </w:r>
    </w:p>
    <w:p>
      <w:pPr>
        <w:numPr>
          <w:ilvl w:val="0"/>
          <w:numId w:val="5"/>
        </w:numPr>
        <w:spacing w:lineRule="auto"/>
      </w:pPr>
      <w:r>
        <w:rPr/>
        <w:t xml:space="preserve">FS Bancorp + Pacific West: $36.4M deal (February 2026)[33]</w:t>
      </w:r>
    </w:p>
    <w:p>
      <w:pPr>
        <w:spacing w:after="210" w:lineRule="auto"/>
      </w:pPr>
      <w:r>
        <w:rPr/>
        <w:t xml:space="preserve">Capital relief makes pro forma returns more attractive and reduces regulatory approval friction. This is a multi-year tailwind for regional bank consolidation.</w:t>
      </w:r>
    </w:p>
    <w:p>
      <w:pPr>
        <w:spacing w:line="271" w:before="240" w:lineRule="auto"/>
      </w:pPr>
      <w:bookmarkStart w:id="13" w:name="key_risks_and_offsets"/>
      <w:r>
        <w:rPr>
          <w:b/>
          <w:sz w:val="42"/>
        </w:rPr>
        <w:t xml:space="preserve">Key Risks and Offsets</w:t>
      </w:r>
      <w:bookmarkEnd w:id="13"/>
    </w:p>
    <w:p>
      <w:pPr>
        <w:numPr>
          <w:ilvl w:val="0"/>
          <w:numId w:val="6"/>
        </w:numPr>
        <w:spacing w:lineRule="auto"/>
      </w:pPr>
      <w:r>
        <w:rPr>
          <w:b/>
        </w:rPr>
        <w:t xml:space="preserve">AOCI phase-in drag</w:t>
      </w:r>
      <w:r>
        <w:rPr>
          <w:rFonts w:eastAsia="Georgia" w:cs="Georgia" w:ascii="Georgia" w:hAnsi="Georgia"/>
        </w:rPr>
        <w:t xml:space="preserve">: $49.5B aggregate capital hit across Category III/IV banks over five years. Not all regionals benefit equally—underwater securities portfolios create capital headwinds[8][9].</w:t>
      </w:r>
    </w:p>
    <w:p>
      <w:pPr>
        <w:numPr>
          <w:ilvl w:val="0"/>
          <w:numId w:val="6"/>
        </w:numPr>
        <w:spacing w:lineRule="auto"/>
      </w:pPr>
      <w:r>
        <w:rPr>
          <w:b/>
        </w:rPr>
        <w:t xml:space="preserve">Implementation delay</w:t>
      </w:r>
      <w:r>
        <w:rPr>
          <w:rFonts w:eastAsia="Georgia" w:cs="Georgia" w:ascii="Georgia" w:hAnsi="Georgia"/>
        </w:rPr>
        <w:t xml:space="preserve">: No specified effective date. Comment period, revision, finalization, and phase-in could push full implementation to 2028–2029.</w:t>
      </w:r>
    </w:p>
    <w:p>
      <w:pPr>
        <w:numPr>
          <w:ilvl w:val="0"/>
          <w:numId w:val="6"/>
        </w:numPr>
        <w:spacing w:lineRule="auto"/>
      </w:pPr>
      <w:r>
        <w:rPr>
          <w:b/>
        </w:rPr>
        <w:t xml:space="preserve">Political backlash</w:t>
      </w:r>
      <w:r>
        <w:rPr/>
        <w:t xml:space="preserve">: Barr dissent signals Democratic opposition. If political winds shift (2026 midterms, 2028 election), rules could be revisited or tightened[23].</w:t>
      </w:r>
    </w:p>
    <w:p>
      <w:pPr>
        <w:numPr>
          <w:ilvl w:val="0"/>
          <w:numId w:val="6"/>
        </w:numPr>
        <w:spacing w:lineRule="auto"/>
      </w:pPr>
      <w:r>
        <w:rPr>
          <w:b/>
        </w:rPr>
        <w:t xml:space="preserve">Unintended credit expansion</w:t>
      </w:r>
      <w:r>
        <w:rPr>
          <w:rFonts w:eastAsia="Georgia" w:cs="Georgia" w:ascii="Georgia" w:hAnsi="Georgia"/>
        </w:rPr>
        <w:t xml:space="preserve">: Lighter capital requirements may incentivize excessive risk-taking in CRE, leveraged lending, or trading books—classic moral hazard setup.</w:t>
      </w:r>
    </w:p>
    <w:p>
      <w:pPr>
        <w:numPr>
          <w:ilvl w:val="0"/>
          <w:numId w:val="6"/>
        </w:numPr>
        <w:spacing w:lineRule="auto"/>
      </w:pPr>
      <w:r>
        <w:rPr>
          <w:b/>
        </w:rPr>
        <w:t xml:space="preserve">International coordination</w:t>
      </w:r>
      <w:r>
        <w:rPr/>
        <w:t xml:space="preserve">: U.S. divergence from Basel III global standards could trigger "race to the bottom" concerns and competitive distortions vs. European/Asian banks[34].</w:t>
      </w:r>
    </w:p>
    <w:p>
      <w:pPr>
        <w:spacing w:line="271" w:before="240" w:lineRule="auto"/>
      </w:pPr>
      <w:bookmarkStart w:id="14" w:name="trading_recommendations"/>
      <w:r>
        <w:rPr>
          <w:b/>
          <w:sz w:val="42"/>
        </w:rPr>
        <w:t xml:space="preserve">Trading Recommendations</w:t>
      </w:r>
      <w:bookmarkEnd w:id="14"/>
    </w:p>
    <w:p>
      <w:pPr>
        <w:spacing w:after="210" w:lineRule="auto"/>
      </w:pPr>
      <w:r>
        <w:rPr>
          <w:b/>
        </w:rPr>
        <w:t xml:space="preserve">Longs:</w:t>
      </w:r>
    </w:p>
    <w:p>
      <w:pPr>
        <w:numPr>
          <w:ilvl w:val="0"/>
          <w:numId w:val="7"/>
        </w:numPr>
        <w:spacing w:lineRule="auto"/>
      </w:pPr>
      <w:r>
        <w:rPr/>
        <w:t xml:space="preserve">JPM, GS, MS (trading book winners, GSIB surcharge beneficiaries, immediate capital deployment potential)</w:t>
      </w:r>
    </w:p>
    <w:p>
      <w:pPr>
        <w:numPr>
          <w:ilvl w:val="0"/>
          <w:numId w:val="7"/>
        </w:numPr>
        <w:spacing w:lineRule="auto"/>
      </w:pPr>
      <w:r>
        <w:rPr/>
        <w:t xml:space="preserve">Regional banks with clean AFS books and high MSR exposure (name-specific analysis required)</w:t>
      </w:r>
    </w:p>
    <w:p>
      <w:pPr>
        <w:numPr>
          <w:ilvl w:val="0"/>
          <w:numId w:val="7"/>
        </w:numPr>
        <w:spacing w:lineRule="auto"/>
      </w:pPr>
      <w:r>
        <w:rPr/>
        <w:t xml:space="preserve">Bank M&amp;A arb opportunities (regulatory approval tailwind)</w:t>
      </w:r>
    </w:p>
    <w:p>
      <w:pPr>
        <w:spacing w:after="210" w:lineRule="auto"/>
      </w:pPr>
      <w:r>
        <w:rPr>
          <w:b/>
        </w:rPr>
        <w:t xml:space="preserve">Relative value:</w:t>
      </w:r>
    </w:p>
    <w:p>
      <w:pPr>
        <w:numPr>
          <w:ilvl w:val="0"/>
          <w:numId w:val="8"/>
        </w:numPr>
        <w:spacing w:lineRule="auto"/>
      </w:pPr>
      <w:r>
        <w:rPr/>
        <w:t xml:space="preserve">Long money-center / short weak regionals (dispersion within sector)</w:t>
      </w:r>
    </w:p>
    <w:p>
      <w:pPr>
        <w:numPr>
          <w:ilvl w:val="0"/>
          <w:numId w:val="8"/>
        </w:numPr>
        <w:spacing w:lineRule="auto"/>
      </w:pPr>
      <w:r>
        <w:rPr/>
        <w:t xml:space="preserve">Curve steepener (banks benefit from normalized yield curve, capital relief accelerates lending)</w:t>
      </w:r>
    </w:p>
    <w:p>
      <w:pPr>
        <w:spacing w:after="210" w:lineRule="auto"/>
      </w:pPr>
      <w:r>
        <w:rPr>
          <w:b/>
        </w:rPr>
        <w:t xml:space="preserve">Hedges:</w:t>
      </w:r>
    </w:p>
    <w:p>
      <w:pPr>
        <w:numPr>
          <w:ilvl w:val="0"/>
          <w:numId w:val="9"/>
        </w:numPr>
        <w:spacing w:lineRule="auto"/>
      </w:pPr>
      <w:r>
        <w:rPr>
          <w:rFonts w:eastAsia="Georgia" w:cs="Georgia" w:ascii="Georgia" w:hAnsi="Georgia"/>
        </w:rPr>
        <w:t xml:space="preserve">Monitor for credit risk complacency—lighter capital = potential for excessive risk-taking in 2027–2028</w:t>
      </w:r>
    </w:p>
    <w:p>
      <w:pPr>
        <w:numPr>
          <w:ilvl w:val="0"/>
          <w:numId w:val="9"/>
        </w:numPr>
        <w:spacing w:lineRule="auto"/>
      </w:pPr>
      <w:r>
        <w:rPr/>
        <w:t xml:space="preserve">Political risk via 2026 midterms (Democratic gains could revisit rule)</w:t>
      </w:r>
    </w:p>
    <w:p>
      <w:pPr>
        <w:spacing w:line="271" w:before="240" w:lineRule="auto"/>
      </w:pPr>
      <w:bookmarkStart w:id="15" w:name="bottom_line"/>
      <w:r>
        <w:rPr>
          <w:b/>
          <w:sz w:val="42"/>
        </w:rPr>
        <w:t xml:space="preserve">Bottom Line</w:t>
      </w:r>
      <w:bookmarkEnd w:id="15"/>
    </w:p>
    <w:p>
      <w:pPr>
        <w:spacing w:after="210" w:lineRule="auto"/>
      </w:pPr>
      <w:r>
        <w:rPr>
          <w:rFonts w:eastAsia="Georgia" w:cs="Georgia" w:ascii="Georgia" w:hAnsi="Georgia"/>
        </w:rPr>
        <w:t xml:space="preserve">This is a generational regulatory reset favoring bank profitability and capital returns. The $175B–$279B capital unlock is real, and the market is correctly pricing banks as structural winners[5][6]. However, timelines are uncertain (finalization likely 2027), AOCI phase-in creates regional bank dispersion, and political risk remains non-zero.</w:t>
      </w:r>
    </w:p>
    <w:p>
      <w:pPr>
        <w:spacing w:after="210" w:lineRule="auto"/>
      </w:pPr>
      <w:r>
        <w:rPr>
          <w:b/>
        </w:rPr>
        <w:t xml:space="preserve">For active traders:</w:t>
      </w:r>
      <w:r>
        <w:rPr/>
        <w:t xml:space="preserve"> Favor trading-heavy money-center names and clean-AFS regionals. Avoid underwater-securities regional banks. Monitor comment period for industry pushback and potential further easing.</w:t>
      </w:r>
    </w:p>
    <w:p>
      <w:pPr>
        <w:spacing w:after="210" w:lineRule="auto"/>
      </w:pPr>
      <w:r>
        <w:rPr>
          <w:b/>
        </w:rPr>
        <w:t xml:space="preserve">For portfolio managers:</w:t>
      </w:r>
      <w:r>
        <w:rPr>
          <w:rFonts w:eastAsia="Georgia" w:cs="Georgia" w:ascii="Georgia" w:hAnsi="Georgia"/>
        </w:rPr>
        <w:t xml:space="preserve"> Overweight financials on 6–12 month view, with emphasis on large-cap banks and selective regional exposure. Capital deployment acceleration (buybacks, dividends, M&amp;A) is a multi-quarter tailwind.</w:t>
      </w:r>
    </w:p>
    <w:p>
      <w:pPr>
        <w:spacing w:line="271" w:before="240" w:lineRule="auto"/>
      </w:pPr>
      <w:bookmarkStart w:id="16" w:name="references"/>
      <w:r>
        <w:rPr>
          <w:b/>
          <w:sz w:val="42"/>
        </w:rPr>
        <w:t xml:space="preserve">References</w:t>
      </w:r>
      <w:bookmarkEnd w:id="16"/>
    </w:p>
    <w:p>
      <w:pPr>
        <w:spacing w:after="210" w:lineRule="auto"/>
      </w:pPr>
      <w:r>
        <w:rPr/>
        <w:t xml:space="preserve">[1] New York Times. (2026, March 19). Banking Regulators Prepare to Loosen Post-Crisis Capital Rules. </w:t>
      </w:r>
      <w:hyperlink r:id="rId6">
        <w:r>
          <w:rPr>
            <w:color w:val="4472C4"/>
          </w:rPr>
          <w:t xml:space="preserve">https://www.nytimes.com/2026/03/19/business/banking-regulation-capital-rules.html</w:t>
        </w:r>
      </w:hyperlink>
    </w:p>
    <w:p>
      <w:pPr>
        <w:spacing w:after="210" w:lineRule="auto"/>
      </w:pPr>
      <w:r>
        <w:rPr/>
        <w:t xml:space="preserve">[2] Reuters. (2026, March 18). How US regulators are overhauling bank capital rules. </w:t>
      </w:r>
      <w:hyperlink r:id="rId7">
        <w:r>
          <w:rPr>
            <w:color w:val="4472C4"/>
          </w:rPr>
          <w:t xml:space="preserve">https://www.reuters.com/sustainability/boards-policy-regulation/how-us-regulators-are-overhauling-bank-capital-rules-2026-03-19/</w:t>
        </w:r>
      </w:hyperlink>
    </w:p>
    <w:p>
      <w:pPr>
        <w:spacing w:after="210" w:lineRule="auto"/>
      </w:pPr>
      <w:r>
        <w:rPr/>
        <w:t xml:space="preserve">[3] Reuters. (2026, March 18). Wall Street bank capital to fall 4.8% under new rules, in win for industry. </w:t>
      </w:r>
      <w:hyperlink r:id="rId8">
        <w:r>
          <w:rPr>
            <w:color w:val="4472C4"/>
          </w:rPr>
          <w:t xml:space="preserve">https://www.reuters.com/sustainability/boards-policy-regulation/us-bank-regulators-unveil-long-awaited-capital-rule-rewrite-2026-03-18/</w:t>
        </w:r>
      </w:hyperlink>
    </w:p>
    <w:p>
      <w:pPr>
        <w:spacing w:after="210" w:lineRule="auto"/>
      </w:pPr>
      <w:r>
        <w:rPr/>
        <w:t xml:space="preserve">[4] Federal Reserve. (2026, March 18). Joint Press Release. </w:t>
      </w:r>
      <w:hyperlink r:id="rId9">
        <w:r>
          <w:rPr>
            <w:color w:val="4472C4"/>
          </w:rPr>
          <w:t xml:space="preserve">https://www.federalreserve.gov/newsevents/pressreleases/bcreg20260319a.htm</w:t>
        </w:r>
      </w:hyperlink>
    </w:p>
    <w:p>
      <w:pPr>
        <w:spacing w:after="210" w:lineRule="auto"/>
      </w:pPr>
      <w:r>
        <w:rPr/>
        <w:t xml:space="preserve">[5] Reuters. (2026, March 19). Wall Street bank capital to fall 4.8% under softened rules. </w:t>
      </w:r>
      <w:r>
        <w:rPr>
          <w:i/>
        </w:rPr>
      </w:r>
      <w:hyperlink r:id="rId10">
        <w:r>
          <w:rPr>
            <w:i/>
            <w:color w:val="4472C4"/>
          </w:rPr>
          <w:t xml:space="preserve">Investing.com</w:t>
        </w:r>
      </w:hyperlink>
      <w:r>
        <w:rPr/>
        <w:t xml:space="preserve">. </w:t>
      </w:r>
      <w:hyperlink r:id="rId11">
        <w:r>
          <w:rPr>
            <w:color w:val="4472C4"/>
          </w:rPr>
          <w:t xml:space="preserve">https://www.investing.com/news/economy-news/us-bank-regulators-to-unveil-longawaited-capital-rule-rewrite-4570066</w:t>
        </w:r>
      </w:hyperlink>
    </w:p>
    <w:p>
      <w:pPr>
        <w:spacing w:after="210" w:lineRule="auto"/>
      </w:pPr>
      <w:r>
        <w:rPr/>
        <w:t xml:space="preserve">[6] Morgan Stanley. (2026, March 17). Bank Regulatory Reform May Unlock $279B in Excess Capital. </w:t>
      </w:r>
      <w:hyperlink r:id="rId12">
        <w:r>
          <w:rPr>
            <w:color w:val="4472C4"/>
          </w:rPr>
          <w:t xml:space="preserve">https://www.morganstanley.com/insights/articles/bank-regulatory-reform-excess-capital-2026</w:t>
        </w:r>
      </w:hyperlink>
    </w:p>
    <w:p>
      <w:pPr>
        <w:spacing w:after="210" w:lineRule="auto"/>
      </w:pPr>
      <w:r>
        <w:rPr/>
        <w:t xml:space="preserve">[7] PwC. (2026, March 19). Our Take: financial services regulatory update: March 20, 2026. </w:t>
      </w:r>
      <w:hyperlink r:id="rId13">
        <w:r>
          <w:rPr>
            <w:color w:val="4472C4"/>
          </w:rPr>
          <w:t xml:space="preserve">https://www.pwc.com/us/en/industries/financial-services/library/our-take/03-20-2026.html</w:t>
        </w:r>
      </w:hyperlink>
    </w:p>
    <w:p>
      <w:pPr>
        <w:spacing w:after="210" w:lineRule="auto"/>
      </w:pPr>
      <w:r>
        <w:rPr/>
        <w:t xml:space="preserve">[8] </w:t>
      </w:r>
      <w:hyperlink r:id="rId14">
        <w:r>
          <w:rPr>
            <w:color w:val="4472C4"/>
          </w:rPr>
          <w:t xml:space="preserve">Risk.net</w:t>
        </w:r>
      </w:hyperlink>
      <w:r>
        <w:rPr/>
        <w:t xml:space="preserve">. (2026, March 23). AOCI reinclusion would strip $49.5bn from US bank capital. </w:t>
      </w:r>
      <w:hyperlink r:id="rId15">
        <w:r>
          <w:rPr>
            <w:color w:val="4472C4"/>
          </w:rPr>
          <w:t xml:space="preserve">https://www.risk.net/risk-quantum/7963285/aoci-reinclusion-would-strip-495bn-from-us-bank-capital</w:t>
        </w:r>
      </w:hyperlink>
    </w:p>
    <w:p>
      <w:pPr>
        <w:spacing w:after="210" w:lineRule="auto"/>
      </w:pPr>
      <w:r>
        <w:rPr/>
        <w:t xml:space="preserve">[9] S&amp;P Global Ratings. (2026, March 25). Regulatory Proposals To Revise Capital Rules Could Increase Risks for US Banks. </w:t>
      </w:r>
      <w:hyperlink r:id="rId16">
        <w:r>
          <w:rPr>
            <w:color w:val="4472C4"/>
          </w:rPr>
          <w:t xml:space="preserve">https://www.spglobal.com/ratings/en/regulatory/article/regulatory-proposals-to-revise-capital-rules-could-increase-risks-for-us-banks-03-25-2026</w:t>
        </w:r>
      </w:hyperlink>
    </w:p>
    <w:p>
      <w:pPr>
        <w:spacing w:after="210" w:lineRule="auto"/>
      </w:pPr>
      <w:r>
        <w:rPr/>
        <w:t xml:space="preserve">[10] PwC. (2026, March 19). Our Take: financial services regulatory update: March 20, 2026. </w:t>
      </w:r>
      <w:hyperlink r:id="rId17">
        <w:r>
          <w:rPr>
            <w:color w:val="4472C4"/>
          </w:rPr>
          <w:t xml:space="preserve">https://www.pwc.com/us/en/industries/financial-services/library/our-take/03-20-2026.html</w:t>
        </w:r>
      </w:hyperlink>
    </w:p>
    <w:p>
      <w:pPr>
        <w:spacing w:after="210" w:lineRule="auto"/>
      </w:pPr>
      <w:r>
        <w:rPr/>
        <w:t xml:space="preserve">[11] Freshfields. (2026, March 22). Basel III Endgame, Take Two: 8 Key Takeaways from the Federal Banking Agencies' Capital Proposals. </w:t>
      </w:r>
      <w:hyperlink r:id="rId18">
        <w:r>
          <w:rPr>
            <w:color w:val="4472C4"/>
          </w:rPr>
          <w:t xml:space="preserve">https://blog.freshfields.us/post/102mnm3/basel-iii-endgame-take-two-8-key-takeaways-from-the-federal-banking-agencies-c</w:t>
        </w:r>
      </w:hyperlink>
    </w:p>
    <w:p>
      <w:pPr>
        <w:spacing w:after="210" w:lineRule="auto"/>
      </w:pPr>
      <w:r>
        <w:rPr/>
        <w:t xml:space="preserve">[12] ABA Banking Journal. (2026, March 18). Regulators release proposals to ease bank capital requirements. </w:t>
      </w:r>
      <w:hyperlink r:id="rId19">
        <w:r>
          <w:rPr>
            <w:color w:val="4472C4"/>
          </w:rPr>
          <w:t xml:space="preserve">https://bankingjournal.aba.com/2026/03/regulators-release-proposals-to-ease-bank-capital-requirements/</w:t>
        </w:r>
      </w:hyperlink>
    </w:p>
    <w:p>
      <w:pPr>
        <w:spacing w:after="210" w:lineRule="auto"/>
      </w:pPr>
      <w:r>
        <w:rPr/>
        <w:t xml:space="preserve">[13] FDIC. (2026, March 18). Agencies Request Comment on Proposals to Modernize the Regulatory Capital Framework. </w:t>
      </w:r>
      <w:hyperlink r:id="rId20">
        <w:r>
          <w:rPr>
            <w:color w:val="4472C4"/>
          </w:rPr>
          <w:t xml:space="preserve">https://www.fdic.gov/news/press-releases/2026/agencies-request-comment-proposals-modernize-regulatory-capital-framework</w:t>
        </w:r>
      </w:hyperlink>
    </w:p>
    <w:p>
      <w:pPr>
        <w:spacing w:after="210" w:lineRule="auto"/>
      </w:pPr>
      <w:r>
        <w:rPr/>
        <w:t xml:space="preserve">[14] OCC. (2026, March 18). Regulatory Capital: Standardized Approach for Risk-Weighted Assets. </w:t>
      </w:r>
      <w:hyperlink r:id="rId21">
        <w:r>
          <w:rPr>
            <w:color w:val="4472C4"/>
          </w:rPr>
          <w:t xml:space="preserve">https://www.occ.treas.gov/news-issuances/bulletins/2026/bulletin-2026-8.html</w:t>
        </w:r>
      </w:hyperlink>
    </w:p>
    <w:p>
      <w:pPr>
        <w:spacing w:after="210" w:lineRule="auto"/>
      </w:pPr>
      <w:r>
        <w:rPr/>
        <w:t xml:space="preserve">[15] Sullivan &amp; Cromwell. (2026, March 25). Bank Regulatory Capital. </w:t>
      </w:r>
      <w:hyperlink r:id="rId22">
        <w:r>
          <w:rPr>
            <w:color w:val="4472C4"/>
          </w:rPr>
          <w:t xml:space="preserve">https://www.sullcrom.com/insights/memo/2026/March/Banking-Agencies-Release-Basel-III-GSIB-Surcharge-Revised-Standardized-Approach-Proposals</w:t>
        </w:r>
      </w:hyperlink>
    </w:p>
    <w:p>
      <w:pPr>
        <w:spacing w:after="210" w:lineRule="auto"/>
      </w:pPr>
      <w:r>
        <w:rPr/>
        <w:t xml:space="preserve">[16] Fox Rothschild. (2026, March 20). Federal Reserve and Banking Agencies Announce Sweeping Overhaul of Bank Capital Rules. </w:t>
      </w:r>
      <w:hyperlink r:id="rId23">
        <w:r>
          <w:rPr>
            <w:color w:val="4472C4"/>
          </w:rPr>
          <w:t xml:space="preserve">https://www.foxrothschild.com/publications/federal-reserve-and-banking-agencies-announce-sweeping-overhaul-of-bank-capital-rules</w:t>
        </w:r>
      </w:hyperlink>
    </w:p>
    <w:p>
      <w:pPr>
        <w:spacing w:after="210" w:lineRule="auto"/>
      </w:pPr>
      <w:r>
        <w:rPr/>
        <w:t xml:space="preserve">[17] FDIC. (2026, March 18). Regulatory Capital and Standardized Approach for Risk-Weighted Assets. </w:t>
      </w:r>
      <w:hyperlink r:id="rId24">
        <w:r>
          <w:rPr>
            <w:color w:val="4472C4"/>
          </w:rPr>
          <w:t xml:space="preserve">https://www.fdic.gov/news/financial-institution-letters/2026/regulatory-capital-rule-regulatory-capital-and-standardized</w:t>
        </w:r>
      </w:hyperlink>
    </w:p>
    <w:p>
      <w:pPr>
        <w:spacing w:after="210" w:lineRule="auto"/>
      </w:pPr>
      <w:r>
        <w:rPr/>
        <w:t xml:space="preserve">[18] National Mortgage Professional. (2026, March 18). Bank Regulators Set To Unveil Softer Draft Capital Rules. </w:t>
      </w:r>
      <w:hyperlink r:id="rId25">
        <w:r>
          <w:rPr>
            <w:color w:val="4472C4"/>
          </w:rPr>
          <w:t xml:space="preserve">https://nationalmortgageprofessional.com/news/bank-regulators-set-unveil-softer-draft-capital-rules</w:t>
        </w:r>
      </w:hyperlink>
    </w:p>
    <w:p>
      <w:pPr>
        <w:spacing w:after="210" w:lineRule="auto"/>
      </w:pPr>
      <w:r>
        <w:rPr/>
        <w:t xml:space="preserve">[19] Reuters. (2026, March 20). Wall Street banks with large trading units may be biggest winners from capital rule changes. </w:t>
      </w:r>
      <w:hyperlink r:id="rId26">
        <w:r>
          <w:rPr>
            <w:color w:val="4472C4"/>
          </w:rPr>
          <w:t xml:space="preserve">https://www.reuters.com/sustainability/boards-policy-regulation/wall-street-banks-with-large-trading-units-may-be-biggest-winners-from-capital-rule-changes-2026-03-20/</w:t>
        </w:r>
      </w:hyperlink>
    </w:p>
    <w:p>
      <w:pPr>
        <w:spacing w:after="210" w:lineRule="auto"/>
      </w:pPr>
      <w:r>
        <w:rPr/>
        <w:t xml:space="preserve">[20] Finance Commerce. (2026, March 19). Some banks to benefit more from U.S. capital rule changes. </w:t>
      </w:r>
      <w:hyperlink r:id="rId27">
        <w:r>
          <w:rPr>
            <w:color w:val="4472C4"/>
          </w:rPr>
          <w:t xml:space="preserve">https://finance-commerce.com/2026/03/us-bank-capital-rules-wall-street-trading-banks/</w:t>
        </w:r>
      </w:hyperlink>
    </w:p>
    <w:p>
      <w:pPr>
        <w:spacing w:after="210" w:lineRule="auto"/>
      </w:pPr>
      <w:r>
        <w:rPr/>
        <w:t xml:space="preserve">[21] Yahoo Finance. (2026, March 24). Large Banks Score Major Regulatory Win That Could Free Up Tens of Billions in Capital. Should You Buy JPMorgan Chase Stock? </w:t>
      </w:r>
      <w:hyperlink r:id="rId28">
        <w:r>
          <w:rPr>
            <w:color w:val="4472C4"/>
          </w:rPr>
          <w:t xml:space="preserve">https://finance.yahoo.com/economy/policy/articles/large-banks-score-major-regulatory-182500821.html</w:t>
        </w:r>
      </w:hyperlink>
    </w:p>
    <w:p>
      <w:pPr>
        <w:spacing w:after="210" w:lineRule="auto"/>
      </w:pPr>
      <w:r>
        <w:rPr/>
        <w:t xml:space="preserve">[22] Globest. (2026, March 24). Bank Capital Reset Could Reopen CRE Lending Channels. </w:t>
      </w:r>
      <w:hyperlink r:id="rId29">
        <w:r>
          <w:rPr>
            <w:color w:val="4472C4"/>
          </w:rPr>
          <w:t xml:space="preserve">https://www.globest.com/2026/03/25/bank-capital-reset-could-reopen-cre-lending-channels/</w:t>
        </w:r>
      </w:hyperlink>
    </w:p>
    <w:p>
      <w:pPr>
        <w:spacing w:after="210" w:lineRule="auto"/>
      </w:pPr>
      <w:r>
        <w:rPr/>
        <w:t xml:space="preserve">[23] Economic Times. (2026, March 19). Wall Street banks set for 5% capital decline under new rules. </w:t>
      </w:r>
      <w:hyperlink r:id="rId30">
        <w:r>
          <w:rPr>
            <w:color w:val="4472C4"/>
          </w:rPr>
          <w:t xml:space="preserve">https://economictimes.com/markets/us-stocks/news/us-stocks-wall-street-banks-set-for-5-capital-decline-under-new-rules/articleshow/108591234.cms</w:t>
        </w:r>
      </w:hyperlink>
    </w:p>
    <w:p>
      <w:pPr>
        <w:spacing w:after="210" w:lineRule="auto"/>
      </w:pPr>
      <w:r>
        <w:rPr/>
        <w:t xml:space="preserve">[24] MarketMinute. (2026, March 24). Banks at the Helm: Why the Great Rotation is Betting Big on Financials. </w:t>
      </w:r>
      <w:hyperlink r:id="rId31">
        <w:r>
          <w:rPr>
            <w:color w:val="4472C4"/>
          </w:rPr>
          <w:t xml:space="preserve">http://markets.chroniclejournal.com/chroniclejournal/article/marketminute-2026-3-25-banks-at-the-helm-why-the-great-rotation-is-betting-big-on-financials</w:t>
        </w:r>
      </w:hyperlink>
    </w:p>
    <w:p>
      <w:pPr>
        <w:spacing w:after="210" w:lineRule="auto"/>
      </w:pPr>
      <w:r>
        <w:rPr/>
        <w:t xml:space="preserve">[25] New York Times. (2026, March 19). Banking Regulators Prepare to Loosen Post-Crisis Capital Rules. </w:t>
      </w:r>
      <w:hyperlink r:id="rId32">
        <w:r>
          <w:rPr>
            <w:color w:val="4472C4"/>
          </w:rPr>
          <w:t xml:space="preserve">https://www.nytimes.com/2026/03/19/business/banking-regulation-capital-rules.html</w:t>
        </w:r>
      </w:hyperlink>
    </w:p>
    <w:p>
      <w:pPr>
        <w:spacing w:after="210" w:lineRule="auto"/>
      </w:pPr>
      <w:r>
        <w:rPr/>
        <w:t xml:space="preserve">[26] Yahoo Finance. (2024, August 24). State Street SPDR S&amp;P Regional Banking ETF (KRE) Historical Data. </w:t>
      </w:r>
      <w:hyperlink r:id="rId33">
        <w:r>
          <w:rPr>
            <w:color w:val="4472C4"/>
          </w:rPr>
          <w:t xml:space="preserve">https://finance.yahoo.com/quote/KRE/history/</w:t>
        </w:r>
      </w:hyperlink>
    </w:p>
    <w:p>
      <w:pPr>
        <w:spacing w:after="210" w:lineRule="auto"/>
      </w:pPr>
      <w:r>
        <w:rPr/>
        <w:t xml:space="preserve">[27] </w:t>
      </w:r>
      <w:hyperlink r:id="rId34">
        <w:r>
          <w:rPr>
            <w:color w:val="4472C4"/>
          </w:rPr>
          <w:t xml:space="preserve">Investing.com</w:t>
        </w:r>
      </w:hyperlink>
      <w:r>
        <w:rPr/>
        <w:t xml:space="preserve">. (2025, April 23). KRE ETF Stock Price History. </w:t>
      </w:r>
      <w:hyperlink r:id="rId35">
        <w:r>
          <w:rPr>
            <w:color w:val="4472C4"/>
          </w:rPr>
          <w:t xml:space="preserve">https://www.investing.com/etfs/spdr-kbw-regional-banking-historical-data</w:t>
        </w:r>
      </w:hyperlink>
    </w:p>
    <w:p>
      <w:pPr>
        <w:spacing w:after="210" w:lineRule="auto"/>
      </w:pPr>
      <w:r>
        <w:rPr/>
        <w:t xml:space="preserve">[28] AInvest. (2026, February 24). Wells Fargo's March Redemption: A Tactical Capital Move or a Dead Cat Bounce? </w:t>
      </w:r>
      <w:hyperlink r:id="rId36">
        <w:r>
          <w:rPr>
            <w:color w:val="4472C4"/>
          </w:rPr>
          <w:t xml:space="preserve">https://www.ainvest.com/news/wells-fargo-march-redemption-tactical-capital-move-dead-cat-bounce-2602/</w:t>
        </w:r>
      </w:hyperlink>
    </w:p>
    <w:p>
      <w:pPr>
        <w:spacing w:after="210" w:lineRule="auto"/>
      </w:pPr>
      <w:r>
        <w:rPr/>
        <w:t xml:space="preserve">[29] Yahoo Finance. (2026, March 6). How Fed Consent Order Exit And Capital Moves At Wells Fargo (WFC) Has Changed Its Investment Story. </w:t>
      </w:r>
      <w:hyperlink r:id="rId37">
        <w:r>
          <w:rPr>
            <w:color w:val="4472C4"/>
          </w:rPr>
          <w:t xml:space="preserve">https://finance.yahoo.com/news/fed-consent-order-exit-capital-031208162.html</w:t>
        </w:r>
      </w:hyperlink>
    </w:p>
    <w:p>
      <w:pPr>
        <w:spacing w:after="210" w:lineRule="auto"/>
      </w:pPr>
      <w:r>
        <w:rPr/>
        <w:t xml:space="preserve">[30] Banking Dive. (2026, January 14). M&amp;A in 2026 may put more distance between big, small banks. </w:t>
      </w:r>
      <w:hyperlink r:id="rId38">
        <w:r>
          <w:rPr>
            <w:color w:val="4472C4"/>
          </w:rPr>
          <w:t xml:space="preserve">https://www.bankingdive.com/news/2026-bank-mergers-acquisitions-outlook-faster-approval-regionals-midterm-elections-buyer-pool/</w:t>
        </w:r>
      </w:hyperlink>
    </w:p>
    <w:p>
      <w:pPr>
        <w:spacing w:after="210" w:lineRule="auto"/>
      </w:pPr>
      <w:r>
        <w:rPr/>
        <w:t xml:space="preserve">[31] Banking Dive. (2025, July 24). Pinnacle, Synovus to combine in $8.6B deal. </w:t>
      </w:r>
      <w:hyperlink r:id="rId39">
        <w:r>
          <w:rPr>
            <w:color w:val="4472C4"/>
          </w:rPr>
          <w:t xml:space="preserve">https://www.bankingdive.com/news/synovus-pinnacle-8-billion-merger-trump-deregulation/754041/</w:t>
        </w:r>
      </w:hyperlink>
    </w:p>
    <w:p>
      <w:pPr>
        <w:spacing w:after="210" w:lineRule="auto"/>
      </w:pPr>
      <w:r>
        <w:rPr/>
        <w:t xml:space="preserve">[32] Banking Dive. (2025, September 7). PNC to acquire FirstBank in $4.1B deal. </w:t>
      </w:r>
      <w:hyperlink r:id="rId40">
        <w:r>
          <w:rPr>
            <w:color w:val="4472C4"/>
          </w:rPr>
          <w:t xml:space="preserve">https://www.bankingdive.com/news/pnc-colorado-firstbank-4-billion-acquisition/759461/</w:t>
        </w:r>
      </w:hyperlink>
    </w:p>
    <w:p>
      <w:pPr>
        <w:spacing w:after="210" w:lineRule="auto"/>
      </w:pPr>
      <w:r>
        <w:rPr/>
        <w:t xml:space="preserve">[33] Reuters. (2026, February 25). US regional bank FS Bancorp to buy Pacific West in $36.4 million deal. </w:t>
      </w:r>
      <w:hyperlink r:id="rId41">
        <w:r>
          <w:rPr>
            <w:color w:val="4472C4"/>
          </w:rPr>
          <w:t xml:space="preserve">https://www.reuters.com/legal/transactional/us-regional-bank-fs-bancorp-buy-pacific-west-364-million-deal-2026-02-26/</w:t>
        </w:r>
      </w:hyperlink>
    </w:p>
    <w:p>
      <w:pPr>
        <w:spacing w:after="210" w:lineRule="auto"/>
      </w:pPr>
      <w:r>
        <w:rPr/>
        <w:t xml:space="preserve">[34] New York Times. (2026, March 19). Banking Regulators Prepare to Loosen Post-Crisis Capital Rules. </w:t>
      </w:r>
      <w:hyperlink r:id="rId42">
        <w:r>
          <w:rPr>
            <w:color w:val="4472C4"/>
          </w:rPr>
          <w:t xml:space="preserve">https://www.nytimes.com/2026/03/19/business/banking-regulation-capital-rules.html</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isk.net" TargetMode="External"/><Relationship Id="rId6" Type="http://schemas.openxmlformats.org/officeDocument/2006/relationships/hyperlink" Target="https://www.nytimes.com/2026/03/19/business/banking-regulation-capital-rules.html" TargetMode="External"/><Relationship Id="rId7" Type="http://schemas.openxmlformats.org/officeDocument/2006/relationships/hyperlink" Target="https://www.reuters.com/sustainability/boards-policy-regulation/how-us-regulators-are-overhauling-bank-capital-rules-2026-03-19/" TargetMode="External"/><Relationship Id="rId8" Type="http://schemas.openxmlformats.org/officeDocument/2006/relationships/hyperlink" Target="https://www.reuters.com/sustainability/boards-policy-regulation/us-bank-regulators-unveil-long-awaited-capital-rule-rewrite-2026-03-18/" TargetMode="External"/><Relationship Id="rId9" Type="http://schemas.openxmlformats.org/officeDocument/2006/relationships/hyperlink" Target="https://www.federalreserve.gov/newsevents/pressreleases/bcreg20260319a.htm" TargetMode="External"/><Relationship Id="rId10" Type="http://schemas.openxmlformats.org/officeDocument/2006/relationships/hyperlink" Target="http://Investing.com" TargetMode="External"/><Relationship Id="rId11" Type="http://schemas.openxmlformats.org/officeDocument/2006/relationships/hyperlink" Target="https://www.investing.com/news/economy-news/us-bank-regulators-to-unveil-longawaited-capital-rule-rewrite-4570066" TargetMode="External"/><Relationship Id="rId12" Type="http://schemas.openxmlformats.org/officeDocument/2006/relationships/hyperlink" Target="https://www.morganstanley.com/insights/articles/bank-regulatory-reform-excess-capital-2026" TargetMode="External"/><Relationship Id="rId13" Type="http://schemas.openxmlformats.org/officeDocument/2006/relationships/hyperlink" Target="https://www.pwc.com/us/en/industries/financial-services/library/our-take/03-20-2026.html" TargetMode="External"/><Relationship Id="rId14" Type="http://schemas.openxmlformats.org/officeDocument/2006/relationships/hyperlink" Target="http://Risk.net" TargetMode="External"/><Relationship Id="rId15" Type="http://schemas.openxmlformats.org/officeDocument/2006/relationships/hyperlink" Target="https://www.risk.net/risk-quantum/7963285/aoci-reinclusion-would-strip-495bn-from-us-bank-capital" TargetMode="External"/><Relationship Id="rId16" Type="http://schemas.openxmlformats.org/officeDocument/2006/relationships/hyperlink" Target="https://www.spglobal.com/ratings/en/regulatory/article/regulatory-proposals-to-revise-capital-rules-could-increase-risks-for-us-banks-03-25-2026" TargetMode="External"/><Relationship Id="rId17" Type="http://schemas.openxmlformats.org/officeDocument/2006/relationships/hyperlink" Target="https://www.pwc.com/us/en/industries/financial-services/library/our-take/03-20-2026.html" TargetMode="External"/><Relationship Id="rId18" Type="http://schemas.openxmlformats.org/officeDocument/2006/relationships/hyperlink" Target="https://blog.freshfields.us/post/102mnm3/basel-iii-endgame-take-two-8-key-takeaways-from-the-federal-banking-agencies-c" TargetMode="External"/><Relationship Id="rId19" Type="http://schemas.openxmlformats.org/officeDocument/2006/relationships/hyperlink" Target="https://bankingjournal.aba.com/2026/03/regulators-release-proposals-to-ease-bank-capital-requirements/" TargetMode="External"/><Relationship Id="rId20" Type="http://schemas.openxmlformats.org/officeDocument/2006/relationships/hyperlink" Target="https://www.fdic.gov/news/press-releases/2026/agencies-request-comment-proposals-modernize-regulatory-capital-framework" TargetMode="External"/><Relationship Id="rId21" Type="http://schemas.openxmlformats.org/officeDocument/2006/relationships/hyperlink" Target="https://www.occ.treas.gov/news-issuances/bulletins/2026/bulletin-2026-8.html" TargetMode="External"/><Relationship Id="rId22" Type="http://schemas.openxmlformats.org/officeDocument/2006/relationships/hyperlink" Target="https://www.sullcrom.com/insights/memo/2026/March/Banking-Agencies-Release-Basel-III-GSIB-Surcharge-Revised-Standardized-Approach-Proposals" TargetMode="External"/><Relationship Id="rId23" Type="http://schemas.openxmlformats.org/officeDocument/2006/relationships/hyperlink" Target="https://www.foxrothschild.com/publications/federal-reserve-and-banking-agencies-announce-sweeping-overhaul-of-bank-capital-rules" TargetMode="External"/><Relationship Id="rId24" Type="http://schemas.openxmlformats.org/officeDocument/2006/relationships/hyperlink" Target="https://www.fdic.gov/news/financial-institution-letters/2026/regulatory-capital-rule-regulatory-capital-and-standardized" TargetMode="External"/><Relationship Id="rId25" Type="http://schemas.openxmlformats.org/officeDocument/2006/relationships/hyperlink" Target="https://nationalmortgageprofessional.com/news/bank-regulators-set-unveil-softer-draft-capital-rules" TargetMode="External"/><Relationship Id="rId26" Type="http://schemas.openxmlformats.org/officeDocument/2006/relationships/hyperlink" Target="https://www.reuters.com/sustainability/boards-policy-regulation/wall-street-banks-with-large-trading-units-may-be-biggest-winners-from-capital-rule-changes-2026-03-20/" TargetMode="External"/><Relationship Id="rId27" Type="http://schemas.openxmlformats.org/officeDocument/2006/relationships/hyperlink" Target="https://finance-commerce.com/2026/03/us-bank-capital-rules-wall-street-trading-banks/" TargetMode="External"/><Relationship Id="rId28" Type="http://schemas.openxmlformats.org/officeDocument/2006/relationships/hyperlink" Target="https://finance.yahoo.com/economy/policy/articles/large-banks-score-major-regulatory-182500821.html" TargetMode="External"/><Relationship Id="rId29" Type="http://schemas.openxmlformats.org/officeDocument/2006/relationships/hyperlink" Target="https://www.globest.com/2026/03/25/bank-capital-reset-could-reopen-cre-lending-channels/" TargetMode="External"/><Relationship Id="rId30" Type="http://schemas.openxmlformats.org/officeDocument/2006/relationships/hyperlink" Target="https://economictimes.com/markets/us-stocks/news/us-stocks-wall-street-banks-set-for-5-capital-decline-under-new-rules/articleshow/108591234.cms" TargetMode="External"/><Relationship Id="rId31" Type="http://schemas.openxmlformats.org/officeDocument/2006/relationships/hyperlink" Target="http://markets.chroniclejournal.com/chroniclejournal/article/marketminute-2026-3-25-banks-at-the-helm-why-the-great-rotation-is-betting-big-on-financials" TargetMode="External"/><Relationship Id="rId32" Type="http://schemas.openxmlformats.org/officeDocument/2006/relationships/hyperlink" Target="https://www.nytimes.com/2026/03/19/business/banking-regulation-capital-rules.html" TargetMode="External"/><Relationship Id="rId33" Type="http://schemas.openxmlformats.org/officeDocument/2006/relationships/hyperlink" Target="https://finance.yahoo.com/quote/KRE/history/" TargetMode="External"/><Relationship Id="rId34" Type="http://schemas.openxmlformats.org/officeDocument/2006/relationships/hyperlink" Target="http://Investing.com" TargetMode="External"/><Relationship Id="rId35" Type="http://schemas.openxmlformats.org/officeDocument/2006/relationships/hyperlink" Target="https://www.investing.com/etfs/spdr-kbw-regional-banking-historical-data" TargetMode="External"/><Relationship Id="rId36" Type="http://schemas.openxmlformats.org/officeDocument/2006/relationships/hyperlink" Target="https://www.ainvest.com/news/wells-fargo-march-redemption-tactical-capital-move-dead-cat-bounce-2602/" TargetMode="External"/><Relationship Id="rId37" Type="http://schemas.openxmlformats.org/officeDocument/2006/relationships/hyperlink" Target="https://finance.yahoo.com/news/fed-consent-order-exit-capital-031208162.html" TargetMode="External"/><Relationship Id="rId38" Type="http://schemas.openxmlformats.org/officeDocument/2006/relationships/hyperlink" Target="https://www.bankingdive.com/news/2026-bank-mergers-acquisitions-outlook-faster-approval-regionals-midterm-elections-buyer-pool/" TargetMode="External"/><Relationship Id="rId39" Type="http://schemas.openxmlformats.org/officeDocument/2006/relationships/hyperlink" Target="https://www.bankingdive.com/news/synovus-pinnacle-8-billion-merger-trump-deregulation/754041/" TargetMode="External"/><Relationship Id="rId40" Type="http://schemas.openxmlformats.org/officeDocument/2006/relationships/hyperlink" Target="https://www.bankingdive.com/news/pnc-colorado-firstbank-4-billion-acquisition/759461/" TargetMode="External"/><Relationship Id="rId41" Type="http://schemas.openxmlformats.org/officeDocument/2006/relationships/hyperlink" Target="https://www.reuters.com/legal/transactional/us-regional-bank-fs-bancorp-buy-pacific-west-364-million-deal-2026-02-26/" TargetMode="External"/><Relationship Id="rId42" Type="http://schemas.openxmlformats.org/officeDocument/2006/relationships/hyperlink" Target="https://www.nytimes.com/2026/03/19/business/banking-regulation-capital-rules.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2026-03-26T23:39:54.405Z</dcterms:created>
  <dcterms:modified xsi:type="dcterms:W3CDTF">2026-03-26T23:39:54.405Z</dcterms:modified>
</cp:coreProperties>
</file>