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Assessing the Structural Integrity of the Florida Paradox: A Credit Risk Stress-Test of Bank OZK’s RESG Portfolio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"Florida Paradox" describes a unique phenomenon in the current commercial real estate cycle where a state facing acute systemic pressures—unprecedented insurance premium hikes and the most stringent condominium safety regulations in United States history—continues to lead the nation in luxury residential construction and ultra-high-net-worth wealth migration.</w:t>
      </w:r>
      <w:r w:rsidDel="00000000" w:rsidR="00000000" w:rsidRPr="00000000">
        <w:rPr>
          <w:rFonts w:ascii="Google Sans" w:cs="Google Sans" w:eastAsia="Google Sans" w:hAnsi="Google Sans"/>
          <w:color w:val="444746"/>
          <w:sz w:val="16"/>
          <w:szCs w:val="16"/>
          <w:vertAlign w:val="superscript"/>
          <w:rtl w:val="0"/>
        </w:rPr>
        <w:t xml:space="preserve">1</w:t>
      </w:r>
      <w:r w:rsidDel="00000000" w:rsidR="00000000" w:rsidRPr="00000000">
        <w:rPr>
          <w:rFonts w:ascii="Google Sans" w:cs="Google Sans" w:eastAsia="Google Sans" w:hAnsi="Google Sans"/>
          <w:color w:val="1f1f1f"/>
          <w:sz w:val="16"/>
          <w:szCs w:val="16"/>
          <w:rtl w:val="0"/>
        </w:rPr>
        <w:t xml:space="preserve"> For Bank OZK, this paradox is manifest in its $7.45 billion Real Estate Specialties Group (RESG) Florida loan book, which represents its largest geographic concentration.</w:t>
      </w:r>
      <w:r w:rsidDel="00000000" w:rsidR="00000000" w:rsidRPr="00000000">
        <w:rPr>
          <w:rFonts w:ascii="Google Sans" w:cs="Google Sans" w:eastAsia="Google Sans" w:hAnsi="Google Sans"/>
          <w:color w:val="444746"/>
          <w:sz w:val="16"/>
          <w:szCs w:val="16"/>
          <w:vertAlign w:val="superscript"/>
          <w:rtl w:val="0"/>
        </w:rPr>
        <w:t xml:space="preserve">3</w:t>
      </w:r>
      <w:r w:rsidDel="00000000" w:rsidR="00000000" w:rsidRPr="00000000">
        <w:rPr>
          <w:rFonts w:ascii="Google Sans" w:cs="Google Sans" w:eastAsia="Google Sans" w:hAnsi="Google Sans"/>
          <w:color w:val="1f1f1f"/>
          <w:sz w:val="16"/>
          <w:szCs w:val="16"/>
          <w:rtl w:val="0"/>
        </w:rPr>
        <w:t xml:space="preserve"> Skeptics argue that this concentration exposes the bank to a "perfect storm" of pre-sale walkaways, regulatory costs, and insurance-driven deal failures. However, a rigorous credit analysis suggests that the structural insulation of these loans, characterized by record-low loan-to-cost (LTC) ratios and a fundamental shift in buyer equity requirements, provides a significant buffer against a market correction. This report stress-tests the three primary risk vectors identified by market observers: pre-sale contract durability, the financial fallout of post-Surfside legislation (SB 4-D and HB 913), and the systemic impact of the Florida insurance crisis.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Architecture of Exposure: Analyzing Bank OZK’s Florida RESG Book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Bank OZK’s Florida exposure is not a monolith but a concentrated bet on high-barrier, luxury sub-markets. As of early 2026, the bank’s total assets stand at $40.8 billion, with the Florida RESG book comprising approximately 18% of the total balance sheet.</w:t>
      </w:r>
      <w:r w:rsidDel="00000000" w:rsidR="00000000" w:rsidRPr="00000000">
        <w:rPr>
          <w:rFonts w:ascii="Google Sans" w:cs="Google Sans" w:eastAsia="Google Sans" w:hAnsi="Google Sans"/>
          <w:color w:val="444746"/>
          <w:sz w:val="16"/>
          <w:szCs w:val="16"/>
          <w:vertAlign w:val="superscript"/>
          <w:rtl w:val="0"/>
        </w:rPr>
        <w:t xml:space="preserve">4</w:t>
      </w:r>
      <w:r w:rsidDel="00000000" w:rsidR="00000000" w:rsidRPr="00000000">
        <w:rPr>
          <w:rFonts w:ascii="Google Sans" w:cs="Google Sans" w:eastAsia="Google Sans" w:hAnsi="Google Sans"/>
          <w:color w:val="1f1f1f"/>
          <w:sz w:val="16"/>
          <w:szCs w:val="16"/>
          <w:rtl w:val="0"/>
        </w:rPr>
        <w:t xml:space="preserve"> The portfolio is geographically segmented into regions with distinct demand drivers, yet it is united by a common underwriting philosophy: lending to institutional-grade sponsors at a high basis of safety.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Region / Market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Loan Volume (Billions)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Key Projects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Primary Asset Class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Miami-Fort Lauderdale-WPB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$3.96B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Waldorf Astoria, Baccarat, S. Flagler 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Super-Luxury High-Rise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Tampa / St. Petersburg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$1.11B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Ritz-Carlton Residences Tampa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Luxury Condominium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Cape Coral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$0.499B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High-End Residential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Sarasota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$0.478B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Ritz-Carlton Sarasota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Luxury Branded Residences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Total Florida RESG Book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$7.45B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z w:val="16"/>
                <w:szCs w:val="16"/>
              </w:rPr>
            </w:pPr>
            <w:r w:rsidDel="00000000" w:rsidR="00000000" w:rsidRPr="00000000">
              <w:rPr>
                <w:rtl w:val="0"/>
              </w:rPr>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core of the "safety" argument lies in the bank’s reported weighted average loan-to-cost (LTC) of 45.9% and loan-to-value (LTV) of 39.1% for its top 14 Miami projects.</w:t>
      </w:r>
      <w:r w:rsidDel="00000000" w:rsidR="00000000" w:rsidRPr="00000000">
        <w:rPr>
          <w:rFonts w:ascii="Google Sans" w:cs="Google Sans" w:eastAsia="Google Sans" w:hAnsi="Google Sans"/>
          <w:color w:val="444746"/>
          <w:sz w:val="16"/>
          <w:szCs w:val="16"/>
          <w:vertAlign w:val="superscript"/>
          <w:rtl w:val="0"/>
        </w:rPr>
        <w:t xml:space="preserve">4</w:t>
      </w:r>
      <w:r w:rsidDel="00000000" w:rsidR="00000000" w:rsidRPr="00000000">
        <w:rPr>
          <w:rFonts w:ascii="Google Sans" w:cs="Google Sans" w:eastAsia="Google Sans" w:hAnsi="Google Sans"/>
          <w:color w:val="1f1f1f"/>
          <w:sz w:val="16"/>
          <w:szCs w:val="16"/>
          <w:rtl w:val="0"/>
        </w:rPr>
        <w:t xml:space="preserve"> From a credit perspective, this implies that the developer and its equity partners must absorb more than 50% of the project's cost before the bank faces a single dollar of principal loss. Furthermore, with 11 of the 14 largest Miami projects having pre-sales that cover 100% of the senior loan repayment, the bank is essentially financing a "closed-loop" transaction where the take-out is already secured by buyer deposits and contracts.</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Project-Specific Performance Metrics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To evaluate the durability of this book, one must examine the specific milestones of the "Marquee 14." These projects represent the pinnacle of the South Florida skyline and are being developed by sponsors with significant liquidity and track records.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16"/>
          <w:szCs w:val="16"/>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Project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Loan 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Sponsor(s)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Sales Status (Q1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Construction Progress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Waldorf Astoria Miami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$668M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PMG / Mohari / Greybrook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90% Pre-Sold </w:t>
            </w:r>
            <w:r w:rsidDel="00000000" w:rsidR="00000000" w:rsidRPr="00000000">
              <w:rPr>
                <w:rFonts w:ascii="Google Sans" w:cs="Google Sans" w:eastAsia="Google Sans" w:hAnsi="Google Sans"/>
                <w:color w:val="444746"/>
                <w:sz w:val="16"/>
                <w:szCs w:val="16"/>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60th Floor Reached </w:t>
            </w:r>
            <w:r w:rsidDel="00000000" w:rsidR="00000000" w:rsidRPr="00000000">
              <w:rPr>
                <w:rFonts w:ascii="Google Sans" w:cs="Google Sans" w:eastAsia="Google Sans" w:hAnsi="Google Sans"/>
                <w:color w:val="444746"/>
                <w:sz w:val="16"/>
                <w:szCs w:val="16"/>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Four Seasons Coconut Grove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$324M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CMC Group / Fort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Jan 2026 Origination </w:t>
            </w:r>
            <w:r w:rsidDel="00000000" w:rsidR="00000000" w:rsidRPr="00000000">
              <w:rPr>
                <w:rFonts w:ascii="Google Sans" w:cs="Google Sans" w:eastAsia="Google Sans" w:hAnsi="Google Sans"/>
                <w:color w:val="444746"/>
                <w:sz w:val="16"/>
                <w:szCs w:val="16"/>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Foundation/Site Prep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Baccarat Residences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$328M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Related Group / GTIS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95%+ Pre-Sold </w:t>
            </w:r>
            <w:r w:rsidDel="00000000" w:rsidR="00000000" w:rsidRPr="00000000">
              <w:rPr>
                <w:rFonts w:ascii="Google Sans" w:cs="Google Sans" w:eastAsia="Google Sans" w:hAnsi="Google Sans"/>
                <w:color w:val="444746"/>
                <w:sz w:val="16"/>
                <w:szCs w:val="16"/>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40th Floor Reached </w:t>
            </w:r>
            <w:r w:rsidDel="00000000" w:rsidR="00000000" w:rsidRPr="00000000">
              <w:rPr>
                <w:rFonts w:ascii="Google Sans" w:cs="Google Sans" w:eastAsia="Google Sans" w:hAnsi="Google Sans"/>
                <w:color w:val="444746"/>
                <w:sz w:val="16"/>
                <w:szCs w:val="16"/>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South Flagler 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$475M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Related Ross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Strong (Prices $6M-$72M)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Topped Out Nov 2025 </w:t>
            </w:r>
            <w:r w:rsidDel="00000000" w:rsidR="00000000" w:rsidRPr="00000000">
              <w:rPr>
                <w:rFonts w:ascii="Google Sans" w:cs="Google Sans" w:eastAsia="Google Sans" w:hAnsi="Google Sans"/>
                <w:color w:val="444746"/>
                <w:sz w:val="16"/>
                <w:szCs w:val="16"/>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Ritz-Carlton Pompano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$259M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Fortune / Oak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92% Pre-Sold </w:t>
            </w:r>
            <w:r w:rsidDel="00000000" w:rsidR="00000000" w:rsidRPr="00000000">
              <w:rPr>
                <w:rFonts w:ascii="Google Sans" w:cs="Google Sans" w:eastAsia="Google Sans" w:hAnsi="Google Sans"/>
                <w:color w:val="444746"/>
                <w:sz w:val="16"/>
                <w:szCs w:val="16"/>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Nearing Completion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Vita at Grove Isle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$239M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CMC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High Absorption </w:t>
            </w:r>
            <w:r w:rsidDel="00000000" w:rsidR="00000000" w:rsidRPr="00000000">
              <w:rPr>
                <w:rFonts w:ascii="Google Sans" w:cs="Google Sans" w:eastAsia="Google Sans" w:hAnsi="Google Sans"/>
                <w:color w:val="444746"/>
                <w:sz w:val="16"/>
                <w:szCs w:val="16"/>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Substantially Complete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Wynwood Plaza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$215M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L&amp;L / Oak Row / Shorenstein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N/A (Mixed-Use Office/Resi)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Construction Wrapped </w:t>
            </w:r>
            <w:r w:rsidDel="00000000" w:rsidR="00000000" w:rsidRPr="00000000">
              <w:rPr>
                <w:rFonts w:ascii="Google Sans" w:cs="Google Sans" w:eastAsia="Google Sans" w:hAnsi="Google Sans"/>
                <w:color w:val="444746"/>
                <w:sz w:val="16"/>
                <w:szCs w:val="16"/>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Waldorf Astoria Pompano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$160M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Related Group / Merrimac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70%+ Pre-Sold </w:t>
            </w:r>
            <w:r w:rsidDel="00000000" w:rsidR="00000000" w:rsidRPr="00000000">
              <w:rPr>
                <w:rFonts w:ascii="Google Sans" w:cs="Google Sans" w:eastAsia="Google Sans" w:hAnsi="Google Sans"/>
                <w:color w:val="444746"/>
                <w:sz w:val="16"/>
                <w:szCs w:val="16"/>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Vertical Construction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West Palm Beach Condo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$475M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Related Ross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2025 Origination </w:t>
            </w:r>
            <w:r w:rsidDel="00000000" w:rsidR="00000000" w:rsidRPr="00000000">
              <w:rPr>
                <w:rFonts w:ascii="Google Sans" w:cs="Google Sans" w:eastAsia="Google Sans" w:hAnsi="Google Sans"/>
                <w:color w:val="444746"/>
                <w:sz w:val="16"/>
                <w:szCs w:val="16"/>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Groundbreaking</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Section 1: Pre-Sale Walkaway Risk — The 50% Equity Barrier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most common fear among construction lenders is the "walkaway" scenario: a market downturn between contract signing and building delivery that incentivizes buyers to forfeit their deposits. However, the structural reality of the 2025-2026 Florida cycle is fundamentally different from the 2008 collapse due to the evolution of deposit requirements and the profile of the luxury buyer.</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Typical Deposit Structure in the 2026 Market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In the current Florida luxury market, the standard deposit structure is designed to maximize buyer commitment and minimize speculative churn. Unlike the 2008 era, where 10% or 20% deposits were common, today's best-in-class residences require an aggregate of 40% to 50% of the purchase price before closing.</w:t>
      </w:r>
      <w:r w:rsidDel="00000000" w:rsidR="00000000" w:rsidRPr="00000000">
        <w:rPr>
          <w:rFonts w:ascii="Google Sans" w:cs="Google Sans" w:eastAsia="Google Sans" w:hAnsi="Google Sans"/>
          <w:color w:val="444746"/>
          <w:sz w:val="16"/>
          <w:szCs w:val="16"/>
          <w:vertAlign w:val="superscript"/>
          <w:rtl w:val="0"/>
        </w:rPr>
        <w:t xml:space="preserve">16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These deposits are typically staged according to construction milestones: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Reservation Agreement:</w:t>
      </w:r>
      <w:r w:rsidDel="00000000" w:rsidR="00000000" w:rsidRPr="00000000">
        <w:rPr>
          <w:rFonts w:ascii="Google Sans" w:cs="Google Sans" w:eastAsia="Google Sans" w:hAnsi="Google Sans"/>
          <w:color w:val="1f1f1f"/>
          <w:sz w:val="16"/>
          <w:szCs w:val="16"/>
          <w:rtl w:val="0"/>
        </w:rPr>
        <w:t xml:space="preserve"> $10,000 to $50,000 (fully refundable).</w:t>
      </w:r>
      <w:r w:rsidDel="00000000" w:rsidR="00000000" w:rsidRPr="00000000">
        <w:rPr>
          <w:rFonts w:ascii="Google Sans" w:cs="Google Sans" w:eastAsia="Google Sans" w:hAnsi="Google Sans"/>
          <w:color w:val="444746"/>
          <w:sz w:val="16"/>
          <w:szCs w:val="16"/>
          <w:vertAlign w:val="superscript"/>
          <w:rtl w:val="0"/>
        </w:rPr>
        <w:t xml:space="preserve">17</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Contract Signing:</w:t>
      </w:r>
      <w:r w:rsidDel="00000000" w:rsidR="00000000" w:rsidRPr="00000000">
        <w:rPr>
          <w:rFonts w:ascii="Google Sans" w:cs="Google Sans" w:eastAsia="Google Sans" w:hAnsi="Google Sans"/>
          <w:color w:val="1f1f1f"/>
          <w:sz w:val="16"/>
          <w:szCs w:val="16"/>
          <w:rtl w:val="0"/>
        </w:rPr>
        <w:t xml:space="preserve"> 10% to 20% of the purchase price.</w:t>
      </w:r>
      <w:r w:rsidDel="00000000" w:rsidR="00000000" w:rsidRPr="00000000">
        <w:rPr>
          <w:rFonts w:ascii="Google Sans" w:cs="Google Sans" w:eastAsia="Google Sans" w:hAnsi="Google Sans"/>
          <w:color w:val="444746"/>
          <w:sz w:val="16"/>
          <w:szCs w:val="16"/>
          <w:vertAlign w:val="superscript"/>
          <w:rtl w:val="0"/>
        </w:rPr>
        <w:t xml:space="preserve">16</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Groundbreaking:</w:t>
      </w:r>
      <w:r w:rsidDel="00000000" w:rsidR="00000000" w:rsidRPr="00000000">
        <w:rPr>
          <w:rFonts w:ascii="Google Sans" w:cs="Google Sans" w:eastAsia="Google Sans" w:hAnsi="Google Sans"/>
          <w:color w:val="1f1f1f"/>
          <w:sz w:val="16"/>
          <w:szCs w:val="16"/>
          <w:rtl w:val="0"/>
        </w:rPr>
        <w:t xml:space="preserve"> An additional 10%.</w:t>
      </w:r>
      <w:r w:rsidDel="00000000" w:rsidR="00000000" w:rsidRPr="00000000">
        <w:rPr>
          <w:rFonts w:ascii="Google Sans" w:cs="Google Sans" w:eastAsia="Google Sans" w:hAnsi="Google Sans"/>
          <w:color w:val="444746"/>
          <w:sz w:val="16"/>
          <w:szCs w:val="16"/>
          <w:vertAlign w:val="superscript"/>
          <w:rtl w:val="0"/>
        </w:rPr>
        <w:t xml:space="preserve">17</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Mid-Construction / Milestone:</w:t>
      </w:r>
      <w:r w:rsidDel="00000000" w:rsidR="00000000" w:rsidRPr="00000000">
        <w:rPr>
          <w:rFonts w:ascii="Google Sans" w:cs="Google Sans" w:eastAsia="Google Sans" w:hAnsi="Google Sans"/>
          <w:color w:val="1f1f1f"/>
          <w:sz w:val="16"/>
          <w:szCs w:val="16"/>
          <w:rtl w:val="0"/>
        </w:rPr>
        <w:t xml:space="preserve"> 10%.</w:t>
      </w:r>
      <w:r w:rsidDel="00000000" w:rsidR="00000000" w:rsidRPr="00000000">
        <w:rPr>
          <w:rFonts w:ascii="Google Sans" w:cs="Google Sans" w:eastAsia="Google Sans" w:hAnsi="Google Sans"/>
          <w:color w:val="444746"/>
          <w:sz w:val="16"/>
          <w:szCs w:val="16"/>
          <w:vertAlign w:val="superscript"/>
          <w:rtl w:val="0"/>
        </w:rPr>
        <w:t xml:space="preserve">16</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Structural Top-Off:</w:t>
      </w:r>
      <w:r w:rsidDel="00000000" w:rsidR="00000000" w:rsidRPr="00000000">
        <w:rPr>
          <w:rFonts w:ascii="Google Sans" w:cs="Google Sans" w:eastAsia="Google Sans" w:hAnsi="Google Sans"/>
          <w:color w:val="1f1f1f"/>
          <w:sz w:val="16"/>
          <w:szCs w:val="16"/>
          <w:rtl w:val="0"/>
        </w:rPr>
        <w:t xml:space="preserve"> A final 10%.</w:t>
      </w:r>
      <w:r w:rsidDel="00000000" w:rsidR="00000000" w:rsidRPr="00000000">
        <w:rPr>
          <w:rFonts w:ascii="Google Sans" w:cs="Google Sans" w:eastAsia="Google Sans" w:hAnsi="Google Sans"/>
          <w:color w:val="444746"/>
          <w:sz w:val="16"/>
          <w:szCs w:val="16"/>
          <w:vertAlign w:val="superscript"/>
          <w:rtl w:val="0"/>
        </w:rPr>
        <w:t xml:space="preserve">16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By the time a project like the Waldorf Astoria Miami reaches its 60th floor, the majority of the 387 unit owners have already funded 40% to 50% of their unit’s value into escrow.</w:t>
      </w:r>
      <w:r w:rsidDel="00000000" w:rsidR="00000000" w:rsidRPr="00000000">
        <w:rPr>
          <w:rFonts w:ascii="Google Sans" w:cs="Google Sans" w:eastAsia="Google Sans" w:hAnsi="Google Sans"/>
          <w:color w:val="444746"/>
          <w:sz w:val="16"/>
          <w:szCs w:val="16"/>
          <w:vertAlign w:val="superscript"/>
          <w:rtl w:val="0"/>
        </w:rPr>
        <w:t xml:space="preserve">8</w:t>
      </w:r>
      <w:r w:rsidDel="00000000" w:rsidR="00000000" w:rsidRPr="00000000">
        <w:rPr>
          <w:rFonts w:ascii="Google Sans" w:cs="Google Sans" w:eastAsia="Google Sans" w:hAnsi="Google Sans"/>
          <w:color w:val="1f1f1f"/>
          <w:sz w:val="16"/>
          <w:szCs w:val="16"/>
          <w:rtl w:val="0"/>
        </w:rPr>
        <w:t xml:space="preserve"> This creates a massive economic barrier. For a buyer of a $10 million unit to walk away, they must be willing to suffer a $5 million loss. In essence, the market value of the condominium would have to decline by more than 50% for it to be economically rational for the buyer to default on their closing obligation, assuming no other legal or personal liabilities.</w:t>
      </w:r>
      <w:r w:rsidDel="00000000" w:rsidR="00000000" w:rsidRPr="00000000">
        <w:rPr>
          <w:rFonts w:ascii="Google Sans" w:cs="Google Sans" w:eastAsia="Google Sans" w:hAnsi="Google Sans"/>
          <w:color w:val="444746"/>
          <w:sz w:val="16"/>
          <w:szCs w:val="16"/>
          <w:vertAlign w:val="superscript"/>
          <w:rtl w:val="0"/>
        </w:rPr>
        <w:t xml:space="preserve">18</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Legal and Economic Conditions for Rescission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Florida law provides robust protections for buyers, but these are primarily focused on the disclosure phase rather than the construction phase. Under Florida Statute 718.503, buyers have a 15-day "cooling-off" period after signing a contract and receiving all required disclosures.</w:t>
      </w:r>
      <w:r w:rsidDel="00000000" w:rsidR="00000000" w:rsidRPr="00000000">
        <w:rPr>
          <w:rFonts w:ascii="Google Sans" w:cs="Google Sans" w:eastAsia="Google Sans" w:hAnsi="Google Sans"/>
          <w:color w:val="444746"/>
          <w:sz w:val="16"/>
          <w:szCs w:val="16"/>
          <w:vertAlign w:val="superscript"/>
          <w:rtl w:val="0"/>
        </w:rPr>
        <w:t xml:space="preserve">21</w:t>
      </w:r>
      <w:r w:rsidDel="00000000" w:rsidR="00000000" w:rsidRPr="00000000">
        <w:rPr>
          <w:rFonts w:ascii="Google Sans" w:cs="Google Sans" w:eastAsia="Google Sans" w:hAnsi="Google Sans"/>
          <w:color w:val="1f1f1f"/>
          <w:sz w:val="16"/>
          <w:szCs w:val="16"/>
          <w:rtl w:val="0"/>
        </w:rPr>
        <w:t xml:space="preserve"> After this period, the contract becomes binding.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primary legal exit for a buyer during construction is a "Material Adverse Change" (MAC) by the developer. If the developer modifies the project in a way that materially alters the offering to the buyer’s detriment—such as reducing the size of the unit, changing the view corridor, or removing promised amenities—the buyer may have a 15-day window to rescind the contract and recover their deposit.</w:t>
      </w:r>
      <w:r w:rsidDel="00000000" w:rsidR="00000000" w:rsidRPr="00000000">
        <w:rPr>
          <w:rFonts w:ascii="Google Sans" w:cs="Google Sans" w:eastAsia="Google Sans" w:hAnsi="Google Sans"/>
          <w:color w:val="444746"/>
          <w:sz w:val="16"/>
          <w:szCs w:val="16"/>
          <w:vertAlign w:val="superscript"/>
          <w:rtl w:val="0"/>
        </w:rPr>
        <w:t xml:space="preserve">21</w:t>
      </w:r>
      <w:r w:rsidDel="00000000" w:rsidR="00000000" w:rsidRPr="00000000">
        <w:rPr>
          <w:rFonts w:ascii="Google Sans" w:cs="Google Sans" w:eastAsia="Google Sans" w:hAnsi="Google Sans"/>
          <w:color w:val="1f1f1f"/>
          <w:sz w:val="16"/>
          <w:szCs w:val="16"/>
          <w:rtl w:val="0"/>
        </w:rPr>
        <w:t xml:space="preserve"> However, institutional developers like those in OZK’s book (e.g., Related Group, PMG) are notoriously meticulous in adhering to the original prospectus to avoid such mass rescissions.</w:t>
      </w:r>
      <w:r w:rsidDel="00000000" w:rsidR="00000000" w:rsidRPr="00000000">
        <w:rPr>
          <w:rFonts w:ascii="Google Sans" w:cs="Google Sans" w:eastAsia="Google Sans" w:hAnsi="Google Sans"/>
          <w:color w:val="444746"/>
          <w:sz w:val="16"/>
          <w:szCs w:val="16"/>
          <w:vertAlign w:val="superscript"/>
          <w:rtl w:val="0"/>
        </w:rPr>
        <w:t xml:space="preserve">23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Economic walkaway risk is further mitigated by the profile of the current buyer. While the 2008 cycle was driven by domestic speculators and "NINJA" (No Income, No Job, No Assets) loans, the 2026 cycle is defined by ultra-high-net-worth (UHNW) families and global capital.</w:t>
      </w:r>
      <w:r w:rsidDel="00000000" w:rsidR="00000000" w:rsidRPr="00000000">
        <w:rPr>
          <w:rFonts w:ascii="Google Sans" w:cs="Google Sans" w:eastAsia="Google Sans" w:hAnsi="Google Sans"/>
          <w:color w:val="444746"/>
          <w:sz w:val="16"/>
          <w:szCs w:val="16"/>
          <w:vertAlign w:val="superscript"/>
          <w:rtl w:val="0"/>
        </w:rPr>
        <w:t xml:space="preserve">1</w:t>
      </w:r>
      <w:r w:rsidDel="00000000" w:rsidR="00000000" w:rsidRPr="00000000">
        <w:rPr>
          <w:rFonts w:ascii="Google Sans" w:cs="Google Sans" w:eastAsia="Google Sans" w:hAnsi="Google Sans"/>
          <w:color w:val="1f1f1f"/>
          <w:sz w:val="16"/>
          <w:szCs w:val="16"/>
          <w:rtl w:val="0"/>
        </w:rPr>
        <w:t xml:space="preserve"> In early 2025, approximately 43% of all Miami home sales were all-cash deals, a figure that rises even higher in the ultra-luxury tier.</w:t>
      </w:r>
      <w:r w:rsidDel="00000000" w:rsidR="00000000" w:rsidRPr="00000000">
        <w:rPr>
          <w:rFonts w:ascii="Google Sans" w:cs="Google Sans" w:eastAsia="Google Sans" w:hAnsi="Google Sans"/>
          <w:color w:val="444746"/>
          <w:sz w:val="16"/>
          <w:szCs w:val="16"/>
          <w:vertAlign w:val="superscript"/>
          <w:rtl w:val="0"/>
        </w:rPr>
        <w:t xml:space="preserve">1</w:t>
      </w:r>
      <w:r w:rsidDel="00000000" w:rsidR="00000000" w:rsidRPr="00000000">
        <w:rPr>
          <w:rFonts w:ascii="Google Sans" w:cs="Google Sans" w:eastAsia="Google Sans" w:hAnsi="Google Sans"/>
          <w:color w:val="1f1f1f"/>
          <w:sz w:val="16"/>
          <w:szCs w:val="16"/>
          <w:rtl w:val="0"/>
        </w:rPr>
        <w:t xml:space="preserve"> These buyers are not "contract flippers" but "asset collectors" seeking primary or secondary residences in a tax-favorable jurisdiction.</w:t>
      </w:r>
      <w:r w:rsidDel="00000000" w:rsidR="00000000" w:rsidRPr="00000000">
        <w:rPr>
          <w:rFonts w:ascii="Google Sans" w:cs="Google Sans" w:eastAsia="Google Sans" w:hAnsi="Google Sans"/>
          <w:color w:val="444746"/>
          <w:sz w:val="16"/>
          <w:szCs w:val="16"/>
          <w:vertAlign w:val="superscript"/>
          <w:rtl w:val="0"/>
        </w:rPr>
        <w:t xml:space="preserve">2</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Historical Context: 2008 vs. 2026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2008 cycle serves as the ultimate benchmark for walkaway risk. During that meltdown, Miami-area properties fell by an average of 43% in value.</w:t>
      </w:r>
      <w:r w:rsidDel="00000000" w:rsidR="00000000" w:rsidRPr="00000000">
        <w:rPr>
          <w:rFonts w:ascii="Google Sans" w:cs="Google Sans" w:eastAsia="Google Sans" w:hAnsi="Google Sans"/>
          <w:color w:val="444746"/>
          <w:sz w:val="16"/>
          <w:szCs w:val="16"/>
          <w:vertAlign w:val="superscript"/>
          <w:rtl w:val="0"/>
        </w:rPr>
        <w:t xml:space="preserve">25</w:t>
      </w:r>
      <w:r w:rsidDel="00000000" w:rsidR="00000000" w:rsidRPr="00000000">
        <w:rPr>
          <w:rFonts w:ascii="Google Sans" w:cs="Google Sans" w:eastAsia="Google Sans" w:hAnsi="Google Sans"/>
          <w:color w:val="1f1f1f"/>
          <w:sz w:val="16"/>
          <w:szCs w:val="16"/>
          <w:rtl w:val="0"/>
        </w:rPr>
        <w:t xml:space="preserve"> Because buyers had only 20% down, a 40% drop meant they were "underwater" by 20% at the closing table, leading to an estimated 20% serious delinquency rate by 2010.</w:t>
      </w:r>
      <w:r w:rsidDel="00000000" w:rsidR="00000000" w:rsidRPr="00000000">
        <w:rPr>
          <w:rFonts w:ascii="Google Sans" w:cs="Google Sans" w:eastAsia="Google Sans" w:hAnsi="Google Sans"/>
          <w:color w:val="444746"/>
          <w:sz w:val="16"/>
          <w:szCs w:val="16"/>
          <w:vertAlign w:val="superscript"/>
          <w:rtl w:val="0"/>
        </w:rPr>
        <w:t xml:space="preserve">18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2008 Cycle (The Collapse)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2026 Cycle (The Correction)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Deposit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20% Standard </w:t>
            </w:r>
            <w:r w:rsidDel="00000000" w:rsidR="00000000" w:rsidRPr="00000000">
              <w:rPr>
                <w:rFonts w:ascii="Google Sans" w:cs="Google Sans" w:eastAsia="Google Sans" w:hAnsi="Google Sans"/>
                <w:color w:val="444746"/>
                <w:sz w:val="16"/>
                <w:szCs w:val="16"/>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40% to 50% Standard </w:t>
            </w:r>
            <w:r w:rsidDel="00000000" w:rsidR="00000000" w:rsidRPr="00000000">
              <w:rPr>
                <w:rFonts w:ascii="Google Sans" w:cs="Google Sans" w:eastAsia="Google Sans" w:hAnsi="Google Sans"/>
                <w:color w:val="444746"/>
                <w:sz w:val="16"/>
                <w:szCs w:val="16"/>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Buyer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Speculators / Debt-Fueled </w:t>
            </w:r>
            <w:r w:rsidDel="00000000" w:rsidR="00000000" w:rsidRPr="00000000">
              <w:rPr>
                <w:rFonts w:ascii="Google Sans" w:cs="Google Sans" w:eastAsia="Google Sans" w:hAnsi="Google Sans"/>
                <w:color w:val="444746"/>
                <w:sz w:val="16"/>
                <w:szCs w:val="16"/>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UHNW / 43% All-Cash </w:t>
            </w:r>
            <w:r w:rsidDel="00000000" w:rsidR="00000000" w:rsidRPr="00000000">
              <w:rPr>
                <w:rFonts w:ascii="Google Sans" w:cs="Google Sans" w:eastAsia="Google Sans" w:hAnsi="Google Sans"/>
                <w:color w:val="444746"/>
                <w:sz w:val="16"/>
                <w:szCs w:val="16"/>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Loan-to-Cost (LTC)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80% to 90% </w:t>
            </w:r>
            <w:r w:rsidDel="00000000" w:rsidR="00000000" w:rsidRPr="00000000">
              <w:rPr>
                <w:rFonts w:ascii="Google Sans" w:cs="Google Sans" w:eastAsia="Google Sans" w:hAnsi="Google Sans"/>
                <w:color w:val="444746"/>
                <w:sz w:val="16"/>
                <w:szCs w:val="16"/>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45.9% (Bank OZK Avg) </w:t>
            </w:r>
            <w:r w:rsidDel="00000000" w:rsidR="00000000" w:rsidRPr="00000000">
              <w:rPr>
                <w:rFonts w:ascii="Google Sans" w:cs="Google Sans" w:eastAsia="Google Sans" w:hAnsi="Google Sans"/>
                <w:color w:val="444746"/>
                <w:sz w:val="16"/>
                <w:szCs w:val="16"/>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Market Inventory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40-Month Supply </w:t>
            </w:r>
            <w:r w:rsidDel="00000000" w:rsidR="00000000" w:rsidRPr="00000000">
              <w:rPr>
                <w:rFonts w:ascii="Google Sans" w:cs="Google Sans" w:eastAsia="Google Sans" w:hAnsi="Google Sans"/>
                <w:color w:val="444746"/>
                <w:sz w:val="16"/>
                <w:szCs w:val="16"/>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23-Month Luxury Supply (Buyer's Market) </w:t>
            </w:r>
            <w:r w:rsidDel="00000000" w:rsidR="00000000" w:rsidRPr="00000000">
              <w:rPr>
                <w:rFonts w:ascii="Google Sans" w:cs="Google Sans" w:eastAsia="Google Sans" w:hAnsi="Google Sans"/>
                <w:color w:val="444746"/>
                <w:sz w:val="16"/>
                <w:szCs w:val="16"/>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Price Trajectory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-43% Annually </w:t>
            </w:r>
            <w:r w:rsidDel="00000000" w:rsidR="00000000" w:rsidRPr="00000000">
              <w:rPr>
                <w:rFonts w:ascii="Google Sans" w:cs="Google Sans" w:eastAsia="Google Sans" w:hAnsi="Google Sans"/>
                <w:color w:val="444746"/>
                <w:sz w:val="16"/>
                <w:szCs w:val="16"/>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+2% to +4% Stable/Soft </w:t>
            </w:r>
            <w:r w:rsidDel="00000000" w:rsidR="00000000" w:rsidRPr="00000000">
              <w:rPr>
                <w:rFonts w:ascii="Google Sans" w:cs="Google Sans" w:eastAsia="Google Sans" w:hAnsi="Google Sans"/>
                <w:color w:val="444746"/>
                <w:sz w:val="16"/>
                <w:szCs w:val="16"/>
                <w:vertAlign w:val="superscript"/>
                <w:rtl w:val="0"/>
              </w:rPr>
              <w:t xml:space="preserve">28</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In the current cycle, despite the "softening" of the market late in 2025, there has been no evidence of mass pre-sale cancellations in Miami's luxury developments.</w:t>
      </w:r>
      <w:r w:rsidDel="00000000" w:rsidR="00000000" w:rsidRPr="00000000">
        <w:rPr>
          <w:rFonts w:ascii="Google Sans" w:cs="Google Sans" w:eastAsia="Google Sans" w:hAnsi="Google Sans"/>
          <w:color w:val="444746"/>
          <w:sz w:val="16"/>
          <w:szCs w:val="16"/>
          <w:vertAlign w:val="superscript"/>
          <w:rtl w:val="0"/>
        </w:rPr>
        <w:t xml:space="preserve">6</w:t>
      </w:r>
      <w:r w:rsidDel="00000000" w:rsidR="00000000" w:rsidRPr="00000000">
        <w:rPr>
          <w:rFonts w:ascii="Google Sans" w:cs="Google Sans" w:eastAsia="Google Sans" w:hAnsi="Google Sans"/>
          <w:color w:val="1f1f1f"/>
          <w:sz w:val="16"/>
          <w:szCs w:val="16"/>
          <w:rtl w:val="0"/>
        </w:rPr>
        <w:t xml:space="preserve"> Instead, the market has entered a "Great Rebalancing," where volume has slowed, but prices have remained at record levels ($1,030 per square foot median).</w:t>
      </w:r>
      <w:r w:rsidDel="00000000" w:rsidR="00000000" w:rsidRPr="00000000">
        <w:rPr>
          <w:rFonts w:ascii="Google Sans" w:cs="Google Sans" w:eastAsia="Google Sans" w:hAnsi="Google Sans"/>
          <w:color w:val="444746"/>
          <w:sz w:val="16"/>
          <w:szCs w:val="16"/>
          <w:vertAlign w:val="superscript"/>
          <w:rtl w:val="0"/>
        </w:rPr>
        <w:t xml:space="preserve">28</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Lender Exposure in a Walkaway Scenario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If pre-sales fail to convert to closings, a construction lender like Bank OZK faces two primary risks: liquidity delay and principal impairment. However, Bank OZK’s specific underwriting provides a structural solution. If a buyer walks away, the developer retains the 50% deposit, which is typically used to pay down the construction loan.</w:t>
      </w:r>
      <w:r w:rsidDel="00000000" w:rsidR="00000000" w:rsidRPr="00000000">
        <w:rPr>
          <w:rFonts w:ascii="Google Sans" w:cs="Google Sans" w:eastAsia="Google Sans" w:hAnsi="Google Sans"/>
          <w:color w:val="444746"/>
          <w:sz w:val="16"/>
          <w:szCs w:val="16"/>
          <w:vertAlign w:val="superscript"/>
          <w:rtl w:val="0"/>
        </w:rPr>
        <w:t xml:space="preserve">16</w:t>
      </w:r>
      <w:r w:rsidDel="00000000" w:rsidR="00000000" w:rsidRPr="00000000">
        <w:rPr>
          <w:rFonts w:ascii="Google Sans" w:cs="Google Sans" w:eastAsia="Google Sans" w:hAnsi="Google Sans"/>
          <w:color w:val="1f1f1f"/>
          <w:sz w:val="16"/>
          <w:szCs w:val="16"/>
          <w:rtl w:val="0"/>
        </w:rPr>
        <w:t xml:space="preserve"> The bank’s basis in the remaining units is then dramatically reduced.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If a project is 90% pre-sold and half those buyers walk away, the bank still has a first-priority lien on the real estate at a 45.9% LTC.</w:t>
      </w:r>
      <w:r w:rsidDel="00000000" w:rsidR="00000000" w:rsidRPr="00000000">
        <w:rPr>
          <w:rFonts w:ascii="Google Sans" w:cs="Google Sans" w:eastAsia="Google Sans" w:hAnsi="Google Sans"/>
          <w:color w:val="444746"/>
          <w:sz w:val="16"/>
          <w:szCs w:val="16"/>
          <w:vertAlign w:val="superscript"/>
          <w:rtl w:val="0"/>
        </w:rPr>
        <w:t xml:space="preserve">4</w:t>
      </w:r>
      <w:r w:rsidDel="00000000" w:rsidR="00000000" w:rsidRPr="00000000">
        <w:rPr>
          <w:rFonts w:ascii="Google Sans" w:cs="Google Sans" w:eastAsia="Google Sans" w:hAnsi="Google Sans"/>
          <w:color w:val="1f1f1f"/>
          <w:sz w:val="16"/>
          <w:szCs w:val="16"/>
          <w:rtl w:val="0"/>
        </w:rPr>
        <w:t xml:space="preserve"> The bank can transition the construction loan into an "inventory loan" or, in the event of sponsor failure, take the asset through OREO (Other Real Estate Owned) and sell the units at a significant discount.</w:t>
      </w:r>
      <w:r w:rsidDel="00000000" w:rsidR="00000000" w:rsidRPr="00000000">
        <w:rPr>
          <w:rFonts w:ascii="Google Sans" w:cs="Google Sans" w:eastAsia="Google Sans" w:hAnsi="Google Sans"/>
          <w:color w:val="444746"/>
          <w:sz w:val="16"/>
          <w:szCs w:val="16"/>
          <w:vertAlign w:val="superscript"/>
          <w:rtl w:val="0"/>
        </w:rPr>
        <w:t xml:space="preserve">33</w:t>
      </w:r>
      <w:r w:rsidDel="00000000" w:rsidR="00000000" w:rsidRPr="00000000">
        <w:rPr>
          <w:rFonts w:ascii="Google Sans" w:cs="Google Sans" w:eastAsia="Google Sans" w:hAnsi="Google Sans"/>
          <w:color w:val="1f1f1f"/>
          <w:sz w:val="16"/>
          <w:szCs w:val="16"/>
          <w:rtl w:val="0"/>
        </w:rPr>
        <w:t xml:space="preserve"> Given that the bank's basis is effectively ~40% of the project's original value, it can liquidate the remaining units at a 50% discount to market and still be made whole.</w:t>
      </w:r>
      <w:r w:rsidDel="00000000" w:rsidR="00000000" w:rsidRPr="00000000">
        <w:rPr>
          <w:rFonts w:ascii="Google Sans" w:cs="Google Sans" w:eastAsia="Google Sans" w:hAnsi="Google Sans"/>
          <w:color w:val="444746"/>
          <w:sz w:val="16"/>
          <w:szCs w:val="16"/>
          <w:vertAlign w:val="superscript"/>
          <w:rtl w:val="0"/>
        </w:rPr>
        <w:t xml:space="preserve">4</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Section 2: The SB 4-D / SIRS Regulatory Impact — A Tale of Two Markets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regulatory fallout from the 2021 Surfside collapse has fundamentally altered the economics of Florida condominium ownership. Senate Bill 4-D and subsequent updates (HB 913, HB 1021) have ended the era of deferred maintenance, creating a "Day of Reckoning" for the state’s legacy condominium stock.</w:t>
      </w:r>
      <w:r w:rsidDel="00000000" w:rsidR="00000000" w:rsidRPr="00000000">
        <w:rPr>
          <w:rFonts w:ascii="Google Sans" w:cs="Google Sans" w:eastAsia="Google Sans" w:hAnsi="Google Sans"/>
          <w:color w:val="444746"/>
          <w:sz w:val="16"/>
          <w:szCs w:val="16"/>
          <w:vertAlign w:val="superscript"/>
          <w:rtl w:val="0"/>
        </w:rPr>
        <w:t xml:space="preserve">31</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Mandatory Structural Integrity Reserve Studies (SIRS)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As of January 1, 2026, all condominium associations in Florida must comply with mandatory structural reserve funding.</w:t>
      </w:r>
      <w:r w:rsidDel="00000000" w:rsidR="00000000" w:rsidRPr="00000000">
        <w:rPr>
          <w:rFonts w:ascii="Google Sans" w:cs="Google Sans" w:eastAsia="Google Sans" w:hAnsi="Google Sans"/>
          <w:color w:val="444746"/>
          <w:sz w:val="16"/>
          <w:szCs w:val="16"/>
          <w:vertAlign w:val="superscript"/>
          <w:rtl w:val="0"/>
        </w:rPr>
        <w:t xml:space="preserve">31</w:t>
      </w:r>
      <w:r w:rsidDel="00000000" w:rsidR="00000000" w:rsidRPr="00000000">
        <w:rPr>
          <w:rFonts w:ascii="Google Sans" w:cs="Google Sans" w:eastAsia="Google Sans" w:hAnsi="Google Sans"/>
          <w:color w:val="1f1f1f"/>
          <w:sz w:val="16"/>
          <w:szCs w:val="16"/>
          <w:rtl w:val="0"/>
        </w:rPr>
        <w:t xml:space="preserve"> The law requires associations to conduct a Structural Integrity Reserve Study (SIRS) every 10 years, identifying the replacement cost and remaining useful life of eight critical components:</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16"/>
          <w:szCs w:val="16"/>
        </w:rPr>
      </w:pPr>
      <w:r w:rsidDel="00000000" w:rsidR="00000000" w:rsidRPr="00000000">
        <w:rPr>
          <w:rFonts w:ascii="Google Sans" w:cs="Google Sans" w:eastAsia="Google Sans" w:hAnsi="Google Sans"/>
          <w:color w:val="1f1f1f"/>
          <w:sz w:val="16"/>
          <w:szCs w:val="16"/>
          <w:rtl w:val="0"/>
        </w:rPr>
        <w:t xml:space="preserve">Roof</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color w:val="1f1f1f"/>
          <w:sz w:val="16"/>
          <w:szCs w:val="16"/>
          <w:rtl w:val="0"/>
        </w:rPr>
        <w:t xml:space="preserve">Load-bearing structure (including foundation)</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color w:val="1f1f1f"/>
          <w:sz w:val="16"/>
          <w:szCs w:val="16"/>
          <w:rtl w:val="0"/>
        </w:rPr>
        <w:t xml:space="preserve">Fire protection systems</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color w:val="1f1f1f"/>
          <w:sz w:val="16"/>
          <w:szCs w:val="16"/>
          <w:rtl w:val="0"/>
        </w:rPr>
        <w:t xml:space="preserve">Plumbing</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color w:val="1f1f1f"/>
          <w:sz w:val="16"/>
          <w:szCs w:val="16"/>
          <w:rtl w:val="0"/>
        </w:rPr>
        <w:t xml:space="preserve">Electrical systems</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color w:val="1f1f1f"/>
          <w:sz w:val="16"/>
          <w:szCs w:val="16"/>
          <w:rtl w:val="0"/>
        </w:rPr>
        <w:t xml:space="preserve">Waterproofing and exterior painting</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color w:val="1f1f1f"/>
          <w:sz w:val="16"/>
          <w:szCs w:val="16"/>
          <w:rtl w:val="0"/>
        </w:rPr>
        <w:t xml:space="preserve">Windows and exterior doors</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16"/>
          <w:szCs w:val="16"/>
        </w:rPr>
      </w:pPr>
      <w:r w:rsidDel="00000000" w:rsidR="00000000" w:rsidRPr="00000000">
        <w:rPr>
          <w:rFonts w:ascii="Google Sans" w:cs="Google Sans" w:eastAsia="Google Sans" w:hAnsi="Google Sans"/>
          <w:color w:val="1f1f1f"/>
          <w:sz w:val="16"/>
          <w:szCs w:val="16"/>
          <w:rtl w:val="0"/>
        </w:rPr>
        <w:t xml:space="preserve">Any other item over $25,000 impacting safety.</w:t>
      </w:r>
      <w:r w:rsidDel="00000000" w:rsidR="00000000" w:rsidRPr="00000000">
        <w:rPr>
          <w:rFonts w:ascii="Google Sans" w:cs="Google Sans" w:eastAsia="Google Sans" w:hAnsi="Google Sans"/>
          <w:color w:val="444746"/>
          <w:sz w:val="16"/>
          <w:szCs w:val="16"/>
          <w:vertAlign w:val="superscript"/>
          <w:rtl w:val="0"/>
        </w:rPr>
        <w:t xml:space="preserve">35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Crucially, associations can no longer vote to waive or reduce the funding of these structural reserves.</w:t>
      </w:r>
      <w:r w:rsidDel="00000000" w:rsidR="00000000" w:rsidRPr="00000000">
        <w:rPr>
          <w:rFonts w:ascii="Google Sans" w:cs="Google Sans" w:eastAsia="Google Sans" w:hAnsi="Google Sans"/>
          <w:color w:val="444746"/>
          <w:sz w:val="16"/>
          <w:szCs w:val="16"/>
          <w:vertAlign w:val="superscript"/>
          <w:rtl w:val="0"/>
        </w:rPr>
        <w:t xml:space="preserve">35</w:t>
      </w:r>
      <w:r w:rsidDel="00000000" w:rsidR="00000000" w:rsidRPr="00000000">
        <w:rPr>
          <w:rFonts w:ascii="Google Sans" w:cs="Google Sans" w:eastAsia="Google Sans" w:hAnsi="Google Sans"/>
          <w:color w:val="1f1f1f"/>
          <w:sz w:val="16"/>
          <w:szCs w:val="16"/>
          <w:rtl w:val="0"/>
        </w:rPr>
        <w:t xml:space="preserve"> This has immediate and severe financial implications for older buildings that have historically neglected their reserve accounts. In Miami-Dade, average monthly HOA assessments in high-rise buildings have climbed by roughly $500 year-over-year, often exceeding $1,900 per month as boards "catch up" on decades of underfunding.</w:t>
      </w:r>
      <w:r w:rsidDel="00000000" w:rsidR="00000000" w:rsidRPr="00000000">
        <w:rPr>
          <w:rFonts w:ascii="Google Sans" w:cs="Google Sans" w:eastAsia="Google Sans" w:hAnsi="Google Sans"/>
          <w:color w:val="444746"/>
          <w:sz w:val="16"/>
          <w:szCs w:val="16"/>
          <w:vertAlign w:val="superscript"/>
          <w:rtl w:val="0"/>
        </w:rPr>
        <w:t xml:space="preserve">43</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New Construction: The Strategic Advantage of Compliance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While the regulatory burden is a "killer" for older buildings, it functions as a strategic tailwind for the new construction projects in Bank OZK’s portfolio.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b w:val="1"/>
          <w:bCs w:val="1"/>
          <w:color w:val="1f1f1f"/>
          <w:sz w:val="16"/>
          <w:szCs w:val="16"/>
          <w:rtl w:val="0"/>
        </w:rPr>
        <w:t xml:space="preserve">Exemption and Timeline:</w:t>
      </w:r>
      <w:r w:rsidDel="00000000" w:rsidR="00000000" w:rsidRPr="00000000">
        <w:rPr>
          <w:rFonts w:ascii="Google Sans" w:cs="Google Sans" w:eastAsia="Google Sans" w:hAnsi="Google Sans"/>
          <w:color w:val="1f1f1f"/>
          <w:sz w:val="16"/>
          <w:szCs w:val="16"/>
          <w:rtl w:val="0"/>
        </w:rPr>
        <w:t xml:space="preserve"> New construction projects are not immediately burdened by the same "catch-up" reserve requirements facing 30-year-old buildings. While developers must provide a "turnover inspection report" when control of the association is transferred to unit owners, the first full SIRS for a new building is generally not due until 10 years after its creation.</w:t>
      </w:r>
      <w:r w:rsidDel="00000000" w:rsidR="00000000" w:rsidRPr="00000000">
        <w:rPr>
          <w:rFonts w:ascii="Google Sans" w:cs="Google Sans" w:eastAsia="Google Sans" w:hAnsi="Google Sans"/>
          <w:color w:val="444746"/>
          <w:sz w:val="16"/>
          <w:szCs w:val="16"/>
          <w:vertAlign w:val="superscript"/>
          <w:rtl w:val="0"/>
        </w:rPr>
        <w:t xml:space="preserve">41</w:t>
      </w:r>
      <w:r w:rsidDel="00000000" w:rsidR="00000000" w:rsidRPr="00000000">
        <w:rPr>
          <w:rFonts w:ascii="Google Sans" w:cs="Google Sans" w:eastAsia="Google Sans" w:hAnsi="Google Sans"/>
          <w:color w:val="1f1f1f"/>
          <w:sz w:val="16"/>
          <w:szCs w:val="16"/>
          <w:rtl w:val="0"/>
        </w:rPr>
        <w:t xml:space="preserve"> This gives the initial buyers a "honeymoon period" where the building is brand-new, built to the most modern hurricane codes, and requires minimal immediate reserve contributions compared to a legacy building.</w:t>
      </w:r>
      <w:r w:rsidDel="00000000" w:rsidR="00000000" w:rsidRPr="00000000">
        <w:rPr>
          <w:rFonts w:ascii="Google Sans" w:cs="Google Sans" w:eastAsia="Google Sans" w:hAnsi="Google Sans"/>
          <w:color w:val="444746"/>
          <w:sz w:val="16"/>
          <w:szCs w:val="16"/>
          <w:vertAlign w:val="superscript"/>
          <w:rtl w:val="0"/>
        </w:rPr>
        <w:t xml:space="preserve">45</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b w:val="1"/>
          <w:bCs w:val="1"/>
          <w:color w:val="1f1f1f"/>
          <w:sz w:val="16"/>
          <w:szCs w:val="16"/>
          <w:rtl w:val="0"/>
        </w:rPr>
        <w:t xml:space="preserve">Market Bifurcation:</w:t>
      </w:r>
      <w:r w:rsidDel="00000000" w:rsidR="00000000" w:rsidRPr="00000000">
        <w:rPr>
          <w:rFonts w:ascii="Google Sans" w:cs="Google Sans" w:eastAsia="Google Sans" w:hAnsi="Google Sans"/>
          <w:color w:val="1f1f1f"/>
          <w:sz w:val="16"/>
          <w:szCs w:val="16"/>
          <w:rtl w:val="0"/>
        </w:rPr>
        <w:t xml:space="preserve"> The SIRS mandate is driving a massive bifurcation in the Florida market. Older buildings (30+ years) are seeing values collapse by as much as 22%, as owners flee before "hefty special assessments" kick in.</w:t>
      </w:r>
      <w:r w:rsidDel="00000000" w:rsidR="00000000" w:rsidRPr="00000000">
        <w:rPr>
          <w:rFonts w:ascii="Google Sans" w:cs="Google Sans" w:eastAsia="Google Sans" w:hAnsi="Google Sans"/>
          <w:color w:val="444746"/>
          <w:sz w:val="16"/>
          <w:szCs w:val="16"/>
          <w:vertAlign w:val="superscript"/>
          <w:rtl w:val="0"/>
        </w:rPr>
        <w:t xml:space="preserve">31</w:t>
      </w:r>
      <w:r w:rsidDel="00000000" w:rsidR="00000000" w:rsidRPr="00000000">
        <w:rPr>
          <w:rFonts w:ascii="Google Sans" w:cs="Google Sans" w:eastAsia="Google Sans" w:hAnsi="Google Sans"/>
          <w:color w:val="1f1f1f"/>
          <w:sz w:val="16"/>
          <w:szCs w:val="16"/>
          <w:rtl w:val="0"/>
        </w:rPr>
        <w:t xml:space="preserve"> Conversely, new construction is viewed as a "safe haven" because the structural integrity is guaranteed by the current building code and the total cost of ownership (TCO) is more predictable.</w:t>
      </w:r>
      <w:r w:rsidDel="00000000" w:rsidR="00000000" w:rsidRPr="00000000">
        <w:rPr>
          <w:rFonts w:ascii="Google Sans" w:cs="Google Sans" w:eastAsia="Google Sans" w:hAnsi="Google Sans"/>
          <w:color w:val="444746"/>
          <w:sz w:val="16"/>
          <w:szCs w:val="16"/>
          <w:vertAlign w:val="superscript"/>
          <w:rtl w:val="0"/>
        </w:rPr>
        <w:t xml:space="preserve">44</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Market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Regulatory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Financial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Buyer Sentiment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Older Condos (30+ Yrs)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Initial SIRS due Dec 31, 2025 </w:t>
            </w:r>
            <w:r w:rsidDel="00000000" w:rsidR="00000000" w:rsidRPr="00000000">
              <w:rPr>
                <w:rFonts w:ascii="Google Sans" w:cs="Google Sans" w:eastAsia="Google Sans" w:hAnsi="Google Sans"/>
                <w:color w:val="444746"/>
                <w:sz w:val="16"/>
                <w:szCs w:val="16"/>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Massive special assessments / Fee hikes </w:t>
            </w:r>
            <w:r w:rsidDel="00000000" w:rsidR="00000000" w:rsidRPr="00000000">
              <w:rPr>
                <w:rFonts w:ascii="Google Sans" w:cs="Google Sans" w:eastAsia="Google Sans" w:hAnsi="Google Sans"/>
                <w:color w:val="444746"/>
                <w:sz w:val="16"/>
                <w:szCs w:val="16"/>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Panic / Forced Selling </w:t>
            </w:r>
            <w:r w:rsidDel="00000000" w:rsidR="00000000" w:rsidRPr="00000000">
              <w:rPr>
                <w:rFonts w:ascii="Google Sans" w:cs="Google Sans" w:eastAsia="Google Sans" w:hAnsi="Google Sans"/>
                <w:color w:val="444746"/>
                <w:sz w:val="16"/>
                <w:szCs w:val="16"/>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New Construction (OZK)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Initial SIRS due 10 yrs from birth </w:t>
            </w:r>
            <w:r w:rsidDel="00000000" w:rsidR="00000000" w:rsidRPr="00000000">
              <w:rPr>
                <w:rFonts w:ascii="Google Sans" w:cs="Google Sans" w:eastAsia="Google Sans" w:hAnsi="Google Sans"/>
                <w:color w:val="444746"/>
                <w:sz w:val="16"/>
                <w:szCs w:val="16"/>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Predictable, baseline funding </w:t>
            </w:r>
            <w:r w:rsidDel="00000000" w:rsidR="00000000" w:rsidRPr="00000000">
              <w:rPr>
                <w:rFonts w:ascii="Google Sans" w:cs="Google Sans" w:eastAsia="Google Sans" w:hAnsi="Google Sans"/>
                <w:color w:val="444746"/>
                <w:sz w:val="16"/>
                <w:szCs w:val="16"/>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Flight to Quality / Branded Trust </w:t>
            </w:r>
            <w:r w:rsidDel="00000000" w:rsidR="00000000" w:rsidRPr="00000000">
              <w:rPr>
                <w:rFonts w:ascii="Google Sans" w:cs="Google Sans" w:eastAsia="Google Sans" w:hAnsi="Google Sans"/>
                <w:color w:val="444746"/>
                <w:sz w:val="16"/>
                <w:szCs w:val="16"/>
                <w:vertAlign w:val="superscript"/>
                <w:rtl w:val="0"/>
              </w:rPr>
              <w:t xml:space="preserve">34</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From a credit perspective, the regulatory environment is </w:t>
      </w:r>
      <w:r w:rsidDel="00000000" w:rsidR="00000000" w:rsidRPr="00000000">
        <w:rPr>
          <w:rFonts w:ascii="Google Sans" w:cs="Google Sans" w:eastAsia="Google Sans" w:hAnsi="Google Sans"/>
          <w:i w:val="1"/>
          <w:iCs w:val="1"/>
          <w:color w:val="1f1f1f"/>
          <w:sz w:val="16"/>
          <w:szCs w:val="16"/>
          <w:rtl w:val="0"/>
        </w:rPr>
        <w:t xml:space="preserve">helping</w:t>
      </w:r>
      <w:r w:rsidDel="00000000" w:rsidR="00000000" w:rsidRPr="00000000">
        <w:rPr>
          <w:rFonts w:ascii="Google Sans" w:cs="Google Sans" w:eastAsia="Google Sans" w:hAnsi="Google Sans"/>
          <w:color w:val="1f1f1f"/>
          <w:sz w:val="16"/>
          <w:szCs w:val="16"/>
          <w:rtl w:val="0"/>
        </w:rPr>
        <w:t xml:space="preserve"> Bank OZK. By making the legacy stock less attractive, the state is effectively funneling luxury demand into the very projects OZK is financing. The "TCO" for a new condo may be high, but it is transparent and built into the buyer’s initial underwriting, whereas the TCO for an older condo is an unpredictable moving target.</w:t>
      </w:r>
      <w:r w:rsidDel="00000000" w:rsidR="00000000" w:rsidRPr="00000000">
        <w:rPr>
          <w:rFonts w:ascii="Google Sans" w:cs="Google Sans" w:eastAsia="Google Sans" w:hAnsi="Google Sans"/>
          <w:color w:val="444746"/>
          <w:sz w:val="16"/>
          <w:szCs w:val="16"/>
          <w:vertAlign w:val="superscript"/>
          <w:rtl w:val="0"/>
        </w:rPr>
        <w:t xml:space="preserve">44</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Section 3: The Insurance Crisis — From Chaos to Stabilization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Florida property insurance market has been described as the "hurricane force" driving market instability for years.</w:t>
      </w:r>
      <w:r w:rsidDel="00000000" w:rsidR="00000000" w:rsidRPr="00000000">
        <w:rPr>
          <w:rFonts w:ascii="Google Sans" w:cs="Google Sans" w:eastAsia="Google Sans" w:hAnsi="Google Sans"/>
          <w:color w:val="444746"/>
          <w:sz w:val="16"/>
          <w:szCs w:val="16"/>
          <w:vertAlign w:val="superscript"/>
          <w:rtl w:val="0"/>
        </w:rPr>
        <w:t xml:space="preserve">53</w:t>
      </w:r>
      <w:r w:rsidDel="00000000" w:rsidR="00000000" w:rsidRPr="00000000">
        <w:rPr>
          <w:rFonts w:ascii="Google Sans" w:cs="Google Sans" w:eastAsia="Google Sans" w:hAnsi="Google Sans"/>
          <w:color w:val="1f1f1f"/>
          <w:sz w:val="16"/>
          <w:szCs w:val="16"/>
          <w:rtl w:val="0"/>
        </w:rPr>
        <w:t xml:space="preserve"> However, the 2025-2026 trajectory indicates a transition from an acute crisis to a stabilized, albeit expensive, new reality.</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Trajectory of Insurance Costs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Following years of double-digit premium increases, the Florida insurance market has begun to show "promising signs of stabilization" as of late 2025.</w:t>
      </w:r>
      <w:r w:rsidDel="00000000" w:rsidR="00000000" w:rsidRPr="00000000">
        <w:rPr>
          <w:rFonts w:ascii="Google Sans" w:cs="Google Sans" w:eastAsia="Google Sans" w:hAnsi="Google Sans"/>
          <w:color w:val="444746"/>
          <w:sz w:val="16"/>
          <w:szCs w:val="16"/>
          <w:vertAlign w:val="superscript"/>
          <w:rtl w:val="0"/>
        </w:rPr>
        <w:t xml:space="preserve">53</w:t>
      </w:r>
      <w:r w:rsidDel="00000000" w:rsidR="00000000" w:rsidRPr="00000000">
        <w:rPr>
          <w:rFonts w:ascii="Google Sans" w:cs="Google Sans" w:eastAsia="Google Sans" w:hAnsi="Google Sans"/>
          <w:color w:val="1f1f1f"/>
          <w:sz w:val="16"/>
          <w:szCs w:val="16"/>
          <w:rtl w:val="0"/>
        </w:rPr>
        <w:t xml:space="preserve"> Tort reforms passed in 2023 have successfully reduced litigation—the primary driver of Florida’s insurance imbalance—attracting over 17 new insurers to the state.</w:t>
      </w:r>
      <w:r w:rsidDel="00000000" w:rsidR="00000000" w:rsidRPr="00000000">
        <w:rPr>
          <w:rFonts w:ascii="Google Sans" w:cs="Google Sans" w:eastAsia="Google Sans" w:hAnsi="Google Sans"/>
          <w:color w:val="444746"/>
          <w:sz w:val="16"/>
          <w:szCs w:val="16"/>
          <w:vertAlign w:val="superscript"/>
          <w:rtl w:val="0"/>
        </w:rPr>
        <w:t xml:space="preserve">53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2020 Snapshot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2025/2026 Snapshot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Trend /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Avg. Annual Premium (FL)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$1,918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$2,625 </w:t>
            </w:r>
            <w:r w:rsidDel="00000000" w:rsidR="00000000" w:rsidRPr="00000000">
              <w:rPr>
                <w:rFonts w:ascii="Google Sans" w:cs="Google Sans" w:eastAsia="Google Sans" w:hAnsi="Google Sans"/>
                <w:color w:val="444746"/>
                <w:sz w:val="16"/>
                <w:szCs w:val="16"/>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Stabilization / 6% growth </w:t>
            </w:r>
            <w:r w:rsidDel="00000000" w:rsidR="00000000" w:rsidRPr="00000000">
              <w:rPr>
                <w:rFonts w:ascii="Google Sans" w:cs="Google Sans" w:eastAsia="Google Sans" w:hAnsi="Google Sans"/>
                <w:color w:val="444746"/>
                <w:sz w:val="16"/>
                <w:szCs w:val="16"/>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Avg. Annual Premium (Miami)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$1,913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$3,482 </w:t>
            </w:r>
            <w:r w:rsidDel="00000000" w:rsidR="00000000" w:rsidRPr="00000000">
              <w:rPr>
                <w:rFonts w:ascii="Google Sans" w:cs="Google Sans" w:eastAsia="Google Sans" w:hAnsi="Google Sans"/>
                <w:color w:val="444746"/>
                <w:sz w:val="16"/>
                <w:szCs w:val="16"/>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+40.7% over 4 years </w:t>
            </w:r>
            <w:r w:rsidDel="00000000" w:rsidR="00000000" w:rsidRPr="00000000">
              <w:rPr>
                <w:rFonts w:ascii="Google Sans" w:cs="Google Sans" w:eastAsia="Google Sans" w:hAnsi="Google Sans"/>
                <w:color w:val="444746"/>
                <w:sz w:val="16"/>
                <w:szCs w:val="16"/>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Citizens Policy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511,000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&lt;1,000,000 </w:t>
            </w:r>
            <w:r w:rsidDel="00000000" w:rsidR="00000000" w:rsidRPr="00000000">
              <w:rPr>
                <w:rFonts w:ascii="Google Sans" w:cs="Google Sans" w:eastAsia="Google Sans" w:hAnsi="Google Sans"/>
                <w:color w:val="444746"/>
                <w:sz w:val="16"/>
                <w:szCs w:val="16"/>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Depopulation (Positive sign) </w:t>
            </w:r>
            <w:r w:rsidDel="00000000" w:rsidR="00000000" w:rsidRPr="00000000">
              <w:rPr>
                <w:rFonts w:ascii="Google Sans" w:cs="Google Sans" w:eastAsia="Google Sans" w:hAnsi="Google Sans"/>
                <w:color w:val="444746"/>
                <w:sz w:val="16"/>
                <w:szCs w:val="16"/>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16"/>
                <w:szCs w:val="16"/>
                <w:shd w:fill="auto" w:val="clear"/>
              </w:rPr>
            </w:pPr>
            <w:r w:rsidDel="00000000" w:rsidR="00000000" w:rsidRPr="00000000">
              <w:rPr>
                <w:rFonts w:ascii="Google Sans" w:cs="Google Sans" w:eastAsia="Google Sans" w:hAnsi="Google Sans"/>
                <w:b w:val="1"/>
                <w:bCs w:val="1"/>
                <w:color w:val="1f1f1f"/>
                <w:sz w:val="16"/>
                <w:szCs w:val="16"/>
                <w:shd w:fill="auto" w:val="clear"/>
                <w:rtl w:val="0"/>
              </w:rPr>
              <w:t xml:space="preserve">Rate Filings (Late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16"/>
                <w:szCs w:val="16"/>
                <w:shd w:fill="auto" w:val="clear"/>
              </w:rPr>
            </w:pPr>
            <w:r w:rsidDel="00000000" w:rsidR="00000000" w:rsidRPr="00000000">
              <w:rPr>
                <w:rFonts w:ascii="Google Sans" w:cs="Google Sans" w:eastAsia="Google Sans" w:hAnsi="Google Sans"/>
                <w:color w:val="1f1f1f"/>
                <w:sz w:val="16"/>
                <w:szCs w:val="16"/>
                <w:shd w:fill="auto" w:val="clear"/>
                <w:rtl w:val="0"/>
              </w:rPr>
              <w:t xml:space="preserve">Mostly Increases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73 decreases / 94 flat </w:t>
            </w:r>
            <w:r w:rsidDel="00000000" w:rsidR="00000000" w:rsidRPr="00000000">
              <w:rPr>
                <w:rFonts w:ascii="Google Sans" w:cs="Google Sans" w:eastAsia="Google Sans" w:hAnsi="Google Sans"/>
                <w:color w:val="444746"/>
                <w:sz w:val="16"/>
                <w:szCs w:val="16"/>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shd w:fill="auto" w:val="clear"/>
                <w:rtl w:val="0"/>
              </w:rPr>
              <w:t xml:space="preserve">Competitive Pricing Returns </w:t>
            </w:r>
            <w:r w:rsidDel="00000000" w:rsidR="00000000" w:rsidRPr="00000000">
              <w:rPr>
                <w:rFonts w:ascii="Google Sans" w:cs="Google Sans" w:eastAsia="Google Sans" w:hAnsi="Google Sans"/>
                <w:color w:val="444746"/>
                <w:sz w:val="16"/>
                <w:szCs w:val="16"/>
                <w:vertAlign w:val="superscript"/>
                <w:rtl w:val="0"/>
              </w:rPr>
              <w:t xml:space="preserve">54</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While the average premium is 24% higher than the national average, the "fear of the unknown" that gripped the market in 2022-2023 has largely subsided.</w:t>
      </w:r>
      <w:r w:rsidDel="00000000" w:rsidR="00000000" w:rsidRPr="00000000">
        <w:rPr>
          <w:rFonts w:ascii="Google Sans" w:cs="Google Sans" w:eastAsia="Google Sans" w:hAnsi="Google Sans"/>
          <w:color w:val="444746"/>
          <w:sz w:val="16"/>
          <w:szCs w:val="16"/>
          <w:vertAlign w:val="superscript"/>
          <w:rtl w:val="0"/>
        </w:rPr>
        <w:t xml:space="preserve">53</w:t>
      </w:r>
      <w:r w:rsidDel="00000000" w:rsidR="00000000" w:rsidRPr="00000000">
        <w:rPr>
          <w:rFonts w:ascii="Google Sans" w:cs="Google Sans" w:eastAsia="Google Sans" w:hAnsi="Google Sans"/>
          <w:color w:val="1f1f1f"/>
          <w:sz w:val="16"/>
          <w:szCs w:val="16"/>
          <w:rtl w:val="0"/>
        </w:rPr>
        <w:t xml:space="preserve"> For 2026, most condominium associations are budgeting for property renewals that are "flat to +15%," a far cry from the 100% increases seen previously.</w:t>
      </w:r>
      <w:r w:rsidDel="00000000" w:rsidR="00000000" w:rsidRPr="00000000">
        <w:rPr>
          <w:rFonts w:ascii="Google Sans" w:cs="Google Sans" w:eastAsia="Google Sans" w:hAnsi="Google Sans"/>
          <w:color w:val="444746"/>
          <w:sz w:val="16"/>
          <w:szCs w:val="16"/>
          <w:vertAlign w:val="superscript"/>
          <w:rtl w:val="0"/>
        </w:rPr>
        <w:t xml:space="preserve">56</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Impact on Condo Closings and Deal Fallthrough</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Insurance has transitioned from a deal-breaker to a deal-gatekeeper. In the luxury segment, the primary impact of insurance costs is on the mortgage underwriting process. Lenders are now conducting rigorous reviews of an association’s master insurance policy and reserve levels before issuing a loan.</w:t>
      </w:r>
      <w:r w:rsidDel="00000000" w:rsidR="00000000" w:rsidRPr="00000000">
        <w:rPr>
          <w:rFonts w:ascii="Google Sans" w:cs="Google Sans" w:eastAsia="Google Sans" w:hAnsi="Google Sans"/>
          <w:color w:val="444746"/>
          <w:sz w:val="16"/>
          <w:szCs w:val="16"/>
          <w:vertAlign w:val="superscript"/>
          <w:rtl w:val="0"/>
        </w:rPr>
        <w:t xml:space="preserve">58</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If an association has a weak policy or high deductibles, lenders may:</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16"/>
          <w:szCs w:val="16"/>
        </w:rPr>
      </w:pPr>
      <w:r w:rsidDel="00000000" w:rsidR="00000000" w:rsidRPr="00000000">
        <w:rPr>
          <w:rFonts w:ascii="Google Sans" w:cs="Google Sans" w:eastAsia="Google Sans" w:hAnsi="Google Sans"/>
          <w:color w:val="1f1f1f"/>
          <w:sz w:val="16"/>
          <w:szCs w:val="16"/>
          <w:rtl w:val="0"/>
        </w:rPr>
        <w:t xml:space="preserve">Impose stricter underwriting conditions.</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color w:val="1f1f1f"/>
          <w:sz w:val="16"/>
          <w:szCs w:val="16"/>
          <w:rtl w:val="0"/>
        </w:rPr>
        <w:t xml:space="preserve">Require larger down payments.</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16"/>
          <w:szCs w:val="16"/>
        </w:rPr>
      </w:pPr>
      <w:r w:rsidDel="00000000" w:rsidR="00000000" w:rsidRPr="00000000">
        <w:rPr>
          <w:rFonts w:ascii="Google Sans" w:cs="Google Sans" w:eastAsia="Google Sans" w:hAnsi="Google Sans"/>
          <w:color w:val="1f1f1f"/>
          <w:sz w:val="16"/>
          <w:szCs w:val="16"/>
          <w:rtl w:val="0"/>
        </w:rPr>
        <w:t xml:space="preserve">Decline financing altogether.</w:t>
      </w:r>
      <w:r w:rsidDel="00000000" w:rsidR="00000000" w:rsidRPr="00000000">
        <w:rPr>
          <w:rFonts w:ascii="Google Sans" w:cs="Google Sans" w:eastAsia="Google Sans" w:hAnsi="Google Sans"/>
          <w:color w:val="444746"/>
          <w:sz w:val="16"/>
          <w:szCs w:val="16"/>
          <w:vertAlign w:val="superscript"/>
          <w:rtl w:val="0"/>
        </w:rPr>
        <w:t xml:space="preserve">57</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However, Bank OZK’s projects are uniquely insulated from this financing friction. Because a significant portion of the buyers are all-cash (43%), they do not require a lender’s approval of the insurance policy to close.</w:t>
      </w:r>
      <w:r w:rsidDel="00000000" w:rsidR="00000000" w:rsidRPr="00000000">
        <w:rPr>
          <w:rFonts w:ascii="Google Sans" w:cs="Google Sans" w:eastAsia="Google Sans" w:hAnsi="Google Sans"/>
          <w:color w:val="444746"/>
          <w:sz w:val="16"/>
          <w:szCs w:val="16"/>
          <w:vertAlign w:val="superscript"/>
          <w:rtl w:val="0"/>
        </w:rPr>
        <w:t xml:space="preserve">1</w:t>
      </w:r>
      <w:r w:rsidDel="00000000" w:rsidR="00000000" w:rsidRPr="00000000">
        <w:rPr>
          <w:rFonts w:ascii="Google Sans" w:cs="Google Sans" w:eastAsia="Google Sans" w:hAnsi="Google Sans"/>
          <w:color w:val="1f1f1f"/>
          <w:sz w:val="16"/>
          <w:szCs w:val="16"/>
          <w:rtl w:val="0"/>
        </w:rPr>
        <w:t xml:space="preserve"> For those who do seek financing, the "Branded Residences" in OZK’s book—managed by entities like Ritz-Carlton, Waldorf Astoria, and Four Seasons—tend to have the most robust insurance programs and proactive board governance, making them the most "financeable" assets in the state.</w:t>
      </w:r>
      <w:r w:rsidDel="00000000" w:rsidR="00000000" w:rsidRPr="00000000">
        <w:rPr>
          <w:rFonts w:ascii="Google Sans" w:cs="Google Sans" w:eastAsia="Google Sans" w:hAnsi="Google Sans"/>
          <w:color w:val="444746"/>
          <w:sz w:val="16"/>
          <w:szCs w:val="16"/>
          <w:vertAlign w:val="superscript"/>
          <w:rtl w:val="0"/>
        </w:rPr>
        <w:t xml:space="preserve">2</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There are indeed cases where insurance costs have caused deal fallthrough in the broader market, particularly for older buildings where a high "special assessment" for a new roof or structural work was combined with a 50% jump in insurance premiums, pushing the total monthly cost beyond the buyer's debt-to-income limits.</w:t>
      </w:r>
      <w:r w:rsidDel="00000000" w:rsidR="00000000" w:rsidRPr="00000000">
        <w:rPr>
          <w:rFonts w:ascii="Google Sans" w:cs="Google Sans" w:eastAsia="Google Sans" w:hAnsi="Google Sans"/>
          <w:color w:val="444746"/>
          <w:sz w:val="16"/>
          <w:szCs w:val="16"/>
          <w:vertAlign w:val="superscript"/>
          <w:rtl w:val="0"/>
        </w:rPr>
        <w:t xml:space="preserve">43</w:t>
      </w:r>
      <w:r w:rsidDel="00000000" w:rsidR="00000000" w:rsidRPr="00000000">
        <w:rPr>
          <w:rFonts w:ascii="Google Sans" w:cs="Google Sans" w:eastAsia="Google Sans" w:hAnsi="Google Sans"/>
          <w:color w:val="1f1f1f"/>
          <w:sz w:val="16"/>
          <w:szCs w:val="16"/>
          <w:rtl w:val="0"/>
        </w:rPr>
        <w:t xml:space="preserve"> However, in the ultra-luxury projects of Miami and West Palm Beach, these costs are generally absorbed by the UHNW buyer as a "cost of doing business" in a primary lifestyle market.</w:t>
      </w:r>
      <w:r w:rsidDel="00000000" w:rsidR="00000000" w:rsidRPr="00000000">
        <w:rPr>
          <w:rFonts w:ascii="Google Sans" w:cs="Google Sans" w:eastAsia="Google Sans" w:hAnsi="Google Sans"/>
          <w:color w:val="444746"/>
          <w:sz w:val="16"/>
          <w:szCs w:val="16"/>
          <w:vertAlign w:val="superscript"/>
          <w:rtl w:val="0"/>
        </w:rPr>
        <w:t xml:space="preserve">30</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Asset-Level Stress-Test: The Waldorf Astoria Miami and Baccarat Residences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To move beyond the macro-narrative, one must evaluate the two largest individual exposures in the bank’s Florida book: the Waldorf Astoria Miami ($668M) and the Baccarat Residences ($328M).</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Waldorf Astoria Miami ($668M)</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Waldorf Astoria Miami is the quintessential test of the super-luxury market. Rising 100 stories, it is the first "supertall" tower south of New York City.</w:t>
      </w:r>
      <w:r w:rsidDel="00000000" w:rsidR="00000000" w:rsidRPr="00000000">
        <w:rPr>
          <w:rFonts w:ascii="Google Sans" w:cs="Google Sans" w:eastAsia="Google Sans" w:hAnsi="Google Sans"/>
          <w:color w:val="444746"/>
          <w:sz w:val="16"/>
          <w:szCs w:val="16"/>
          <w:vertAlign w:val="superscript"/>
          <w:rtl w:val="0"/>
        </w:rPr>
        <w:t xml:space="preserve">2</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Repayment Security:</w:t>
      </w:r>
      <w:r w:rsidDel="00000000" w:rsidR="00000000" w:rsidRPr="00000000">
        <w:rPr>
          <w:rFonts w:ascii="Google Sans" w:cs="Google Sans" w:eastAsia="Google Sans" w:hAnsi="Google Sans"/>
          <w:color w:val="1f1f1f"/>
          <w:sz w:val="16"/>
          <w:szCs w:val="16"/>
          <w:rtl w:val="0"/>
        </w:rPr>
        <w:t xml:space="preserve"> The project is 90% pre-sold.</w:t>
      </w:r>
      <w:r w:rsidDel="00000000" w:rsidR="00000000" w:rsidRPr="00000000">
        <w:rPr>
          <w:rFonts w:ascii="Google Sans" w:cs="Google Sans" w:eastAsia="Google Sans" w:hAnsi="Google Sans"/>
          <w:color w:val="444746"/>
          <w:sz w:val="16"/>
          <w:szCs w:val="16"/>
          <w:vertAlign w:val="superscript"/>
          <w:rtl w:val="0"/>
        </w:rPr>
        <w:t xml:space="preserve">8</w:t>
      </w:r>
      <w:r w:rsidDel="00000000" w:rsidR="00000000" w:rsidRPr="00000000">
        <w:rPr>
          <w:rFonts w:ascii="Google Sans" w:cs="Google Sans" w:eastAsia="Google Sans" w:hAnsi="Google Sans"/>
          <w:color w:val="1f1f1f"/>
          <w:sz w:val="16"/>
          <w:szCs w:val="16"/>
          <w:rtl w:val="0"/>
        </w:rPr>
        <w:t xml:space="preserve"> Given the 50% deposit structure, approximately $334 million in buyer equity is already committed to the project.</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Construction Progress:</w:t>
      </w:r>
      <w:r w:rsidDel="00000000" w:rsidR="00000000" w:rsidRPr="00000000">
        <w:rPr>
          <w:rFonts w:ascii="Google Sans" w:cs="Google Sans" w:eastAsia="Google Sans" w:hAnsi="Google Sans"/>
          <w:color w:val="1f1f1f"/>
          <w:sz w:val="16"/>
          <w:szCs w:val="16"/>
          <w:rtl w:val="0"/>
        </w:rPr>
        <w:t xml:space="preserve"> As of February 2026, the tower has passed the 60th floor.</w:t>
      </w:r>
      <w:r w:rsidDel="00000000" w:rsidR="00000000" w:rsidRPr="00000000">
        <w:rPr>
          <w:rFonts w:ascii="Google Sans" w:cs="Google Sans" w:eastAsia="Google Sans" w:hAnsi="Google Sans"/>
          <w:color w:val="444746"/>
          <w:sz w:val="16"/>
          <w:szCs w:val="16"/>
          <w:vertAlign w:val="superscript"/>
          <w:rtl w:val="0"/>
        </w:rPr>
        <w:t xml:space="preserve">9</w:t>
      </w:r>
      <w:r w:rsidDel="00000000" w:rsidR="00000000" w:rsidRPr="00000000">
        <w:rPr>
          <w:rFonts w:ascii="Google Sans" w:cs="Google Sans" w:eastAsia="Google Sans" w:hAnsi="Google Sans"/>
          <w:color w:val="1f1f1f"/>
          <w:sz w:val="16"/>
          <w:szCs w:val="16"/>
          <w:rtl w:val="0"/>
        </w:rPr>
        <w:t xml:space="preserve"> Facade installation has extended through the fourth of the nine stacked glass cubes.</w:t>
      </w:r>
      <w:r w:rsidDel="00000000" w:rsidR="00000000" w:rsidRPr="00000000">
        <w:rPr>
          <w:rFonts w:ascii="Google Sans" w:cs="Google Sans" w:eastAsia="Google Sans" w:hAnsi="Google Sans"/>
          <w:color w:val="444746"/>
          <w:sz w:val="16"/>
          <w:szCs w:val="16"/>
          <w:vertAlign w:val="superscript"/>
          <w:rtl w:val="0"/>
        </w:rPr>
        <w:t xml:space="preserve">8</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TCO Analysis:</w:t>
      </w:r>
      <w:r w:rsidDel="00000000" w:rsidR="00000000" w:rsidRPr="00000000">
        <w:rPr>
          <w:rFonts w:ascii="Google Sans" w:cs="Google Sans" w:eastAsia="Google Sans" w:hAnsi="Google Sans"/>
          <w:color w:val="1f1f1f"/>
          <w:sz w:val="16"/>
          <w:szCs w:val="16"/>
          <w:rtl w:val="0"/>
        </w:rPr>
        <w:t xml:space="preserve"> For a unit priced at $4 million, the estimated insurance and HOA fees are high, but the "Waldorf Astoria" brand provides a floor for resale value. The project is expected to top off in late 2026, with a 2028 delivery.</w:t>
      </w:r>
      <w:r w:rsidDel="00000000" w:rsidR="00000000" w:rsidRPr="00000000">
        <w:rPr>
          <w:rFonts w:ascii="Google Sans" w:cs="Google Sans" w:eastAsia="Google Sans" w:hAnsi="Google Sans"/>
          <w:color w:val="444746"/>
          <w:sz w:val="16"/>
          <w:szCs w:val="16"/>
          <w:vertAlign w:val="superscript"/>
          <w:rtl w:val="0"/>
        </w:rPr>
        <w:t xml:space="preserve">8</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Baccarat Residences ($328M)</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Located along the Miami River in the heart of Brickell, the Baccarat project targets the "global financial hub" demographic.</w:t>
      </w:r>
      <w:r w:rsidDel="00000000" w:rsidR="00000000" w:rsidRPr="00000000">
        <w:rPr>
          <w:rFonts w:ascii="Google Sans" w:cs="Google Sans" w:eastAsia="Google Sans" w:hAnsi="Google Sans"/>
          <w:color w:val="444746"/>
          <w:sz w:val="16"/>
          <w:szCs w:val="16"/>
          <w:vertAlign w:val="superscript"/>
          <w:rtl w:val="0"/>
        </w:rPr>
        <w:t xml:space="preserve">2</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Repayment Security:</w:t>
      </w:r>
      <w:r w:rsidDel="00000000" w:rsidR="00000000" w:rsidRPr="00000000">
        <w:rPr>
          <w:rFonts w:ascii="Google Sans" w:cs="Google Sans" w:eastAsia="Google Sans" w:hAnsi="Google Sans"/>
          <w:color w:val="1f1f1f"/>
          <w:sz w:val="16"/>
          <w:szCs w:val="16"/>
          <w:rtl w:val="0"/>
        </w:rPr>
        <w:t xml:space="preserve"> The tower is "practically sold out" with 95%+ pre-sales.</w:t>
      </w:r>
      <w:r w:rsidDel="00000000" w:rsidR="00000000" w:rsidRPr="00000000">
        <w:rPr>
          <w:rFonts w:ascii="Google Sans" w:cs="Google Sans" w:eastAsia="Google Sans" w:hAnsi="Google Sans"/>
          <w:color w:val="444746"/>
          <w:sz w:val="16"/>
          <w:szCs w:val="16"/>
          <w:vertAlign w:val="superscript"/>
          <w:rtl w:val="0"/>
        </w:rPr>
        <w:t xml:space="preserve">10</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Construction Progress:</w:t>
      </w:r>
      <w:r w:rsidDel="00000000" w:rsidR="00000000" w:rsidRPr="00000000">
        <w:rPr>
          <w:rFonts w:ascii="Google Sans" w:cs="Google Sans" w:eastAsia="Google Sans" w:hAnsi="Google Sans"/>
          <w:color w:val="1f1f1f"/>
          <w:sz w:val="16"/>
          <w:szCs w:val="16"/>
          <w:rtl w:val="0"/>
        </w:rPr>
        <w:t xml:space="preserve"> The superstructure has reached the 40th floor (of 75) as of March 2026.</w:t>
      </w:r>
      <w:r w:rsidDel="00000000" w:rsidR="00000000" w:rsidRPr="00000000">
        <w:rPr>
          <w:rFonts w:ascii="Google Sans" w:cs="Google Sans" w:eastAsia="Google Sans" w:hAnsi="Google Sans"/>
          <w:color w:val="444746"/>
          <w:sz w:val="16"/>
          <w:szCs w:val="16"/>
          <w:vertAlign w:val="superscript"/>
          <w:rtl w:val="0"/>
        </w:rPr>
        <w:t xml:space="preserve">11</w:t>
      </w:r>
      <w:r w:rsidDel="00000000" w:rsidR="00000000" w:rsidRPr="00000000">
        <w:rPr>
          <w:rFonts w:ascii="Google Sans" w:cs="Google Sans" w:eastAsia="Google Sans" w:hAnsi="Google Sans"/>
          <w:color w:val="1f1f1f"/>
          <w:sz w:val="16"/>
          <w:szCs w:val="16"/>
          <w:rtl w:val="0"/>
        </w:rPr>
        <w:t xml:space="preserve"> Curtain wall installation is advancing just a few floors below the active formwork.</w:t>
      </w:r>
      <w:r w:rsidDel="00000000" w:rsidR="00000000" w:rsidRPr="00000000">
        <w:rPr>
          <w:rFonts w:ascii="Google Sans" w:cs="Google Sans" w:eastAsia="Google Sans" w:hAnsi="Google Sans"/>
          <w:color w:val="444746"/>
          <w:sz w:val="16"/>
          <w:szCs w:val="16"/>
          <w:vertAlign w:val="superscript"/>
          <w:rtl w:val="0"/>
        </w:rPr>
        <w:t xml:space="preserve">11</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Market Dynamics:</w:t>
      </w:r>
      <w:r w:rsidDel="00000000" w:rsidR="00000000" w:rsidRPr="00000000">
        <w:rPr>
          <w:rFonts w:ascii="Google Sans" w:cs="Google Sans" w:eastAsia="Google Sans" w:hAnsi="Google Sans"/>
          <w:color w:val="1f1f1f"/>
          <w:sz w:val="16"/>
          <w:szCs w:val="16"/>
          <w:rtl w:val="0"/>
        </w:rPr>
        <w:t xml:space="preserve"> The project is managed by SH Hotels &amp; Resorts and includes 75,000 square feet of amenities, including a private marina.</w:t>
      </w:r>
      <w:r w:rsidDel="00000000" w:rsidR="00000000" w:rsidRPr="00000000">
        <w:rPr>
          <w:rFonts w:ascii="Google Sans" w:cs="Google Sans" w:eastAsia="Google Sans" w:hAnsi="Google Sans"/>
          <w:color w:val="444746"/>
          <w:sz w:val="16"/>
          <w:szCs w:val="16"/>
          <w:vertAlign w:val="superscript"/>
          <w:rtl w:val="0"/>
        </w:rPr>
        <w:t xml:space="preserve">11</w:t>
      </w:r>
      <w:r w:rsidDel="00000000" w:rsidR="00000000" w:rsidRPr="00000000">
        <w:rPr>
          <w:rFonts w:ascii="Google Sans" w:cs="Google Sans" w:eastAsia="Google Sans" w:hAnsi="Google Sans"/>
          <w:color w:val="1f1f1f"/>
          <w:sz w:val="16"/>
          <w:szCs w:val="16"/>
          <w:rtl w:val="0"/>
        </w:rPr>
        <w:t xml:space="preserve"> The Brickell sub-market remains one of the tightest in the state, with median prices near $950 per square foot.</w:t>
      </w:r>
      <w:r w:rsidDel="00000000" w:rsidR="00000000" w:rsidRPr="00000000">
        <w:rPr>
          <w:rFonts w:ascii="Google Sans" w:cs="Google Sans" w:eastAsia="Google Sans" w:hAnsi="Google Sans"/>
          <w:color w:val="444746"/>
          <w:sz w:val="16"/>
          <w:szCs w:val="16"/>
          <w:vertAlign w:val="superscript"/>
          <w:rtl w:val="0"/>
        </w:rPr>
        <w:t xml:space="preserve">30</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South Flagler House and the West Palm Beach Boom</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$475 million loan for South Flagler House represents the bank’s bet on the West Palm Beach "Wall Street South" narrative.</w:t>
      </w:r>
      <w:r w:rsidDel="00000000" w:rsidR="00000000" w:rsidRPr="00000000">
        <w:rPr>
          <w:rFonts w:ascii="Google Sans" w:cs="Google Sans" w:eastAsia="Google Sans" w:hAnsi="Google Sans"/>
          <w:color w:val="444746"/>
          <w:sz w:val="16"/>
          <w:szCs w:val="16"/>
          <w:vertAlign w:val="superscript"/>
          <w:rtl w:val="0"/>
        </w:rPr>
        <w:t xml:space="preserve">15</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Timeline:</w:t>
      </w:r>
      <w:r w:rsidDel="00000000" w:rsidR="00000000" w:rsidRPr="00000000">
        <w:rPr>
          <w:rFonts w:ascii="Google Sans" w:cs="Google Sans" w:eastAsia="Google Sans" w:hAnsi="Google Sans"/>
          <w:color w:val="1f1f1f"/>
          <w:sz w:val="16"/>
          <w:szCs w:val="16"/>
          <w:rtl w:val="0"/>
        </w:rPr>
        <w:t xml:space="preserve"> The project topped out in November 2025, reaching its 28-story structural peak.</w:t>
      </w:r>
      <w:r w:rsidDel="00000000" w:rsidR="00000000" w:rsidRPr="00000000">
        <w:rPr>
          <w:rFonts w:ascii="Google Sans" w:cs="Google Sans" w:eastAsia="Google Sans" w:hAnsi="Google Sans"/>
          <w:color w:val="444746"/>
          <w:sz w:val="16"/>
          <w:szCs w:val="16"/>
          <w:vertAlign w:val="superscript"/>
          <w:rtl w:val="0"/>
        </w:rPr>
        <w:t xml:space="preserve">12</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Sales Pace:</w:t>
      </w:r>
      <w:r w:rsidDel="00000000" w:rsidR="00000000" w:rsidRPr="00000000">
        <w:rPr>
          <w:rFonts w:ascii="Google Sans" w:cs="Google Sans" w:eastAsia="Google Sans" w:hAnsi="Google Sans"/>
          <w:color w:val="1f1f1f"/>
          <w:sz w:val="16"/>
          <w:szCs w:val="16"/>
          <w:rtl w:val="0"/>
        </w:rPr>
        <w:t xml:space="preserve"> West Palm Beach saw a 30% year-over-year increase in luxury pending sales in early 2026, the largest in the U.S..</w:t>
      </w:r>
      <w:r w:rsidDel="00000000" w:rsidR="00000000" w:rsidRPr="00000000">
        <w:rPr>
          <w:rFonts w:ascii="Google Sans" w:cs="Google Sans" w:eastAsia="Google Sans" w:hAnsi="Google Sans"/>
          <w:color w:val="444746"/>
          <w:sz w:val="16"/>
          <w:szCs w:val="16"/>
          <w:vertAlign w:val="superscript"/>
          <w:rtl w:val="0"/>
        </w:rPr>
        <w:t xml:space="preserve">61</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Underwriting:</w:t>
      </w:r>
      <w:r w:rsidDel="00000000" w:rsidR="00000000" w:rsidRPr="00000000">
        <w:rPr>
          <w:rFonts w:ascii="Google Sans" w:cs="Google Sans" w:eastAsia="Google Sans" w:hAnsi="Google Sans"/>
          <w:color w:val="1f1f1f"/>
          <w:sz w:val="16"/>
          <w:szCs w:val="16"/>
          <w:rtl w:val="0"/>
        </w:rPr>
        <w:t xml:space="preserve"> With prices starting at $6 million and averaging over $2,500 per square foot, the project caters to the most price-insensitive tier of the market.</w:t>
      </w:r>
      <w:r w:rsidDel="00000000" w:rsidR="00000000" w:rsidRPr="00000000">
        <w:rPr>
          <w:rFonts w:ascii="Google Sans" w:cs="Google Sans" w:eastAsia="Google Sans" w:hAnsi="Google Sans"/>
          <w:color w:val="444746"/>
          <w:sz w:val="16"/>
          <w:szCs w:val="16"/>
          <w:vertAlign w:val="superscript"/>
          <w:rtl w:val="0"/>
        </w:rPr>
        <w:t xml:space="preserve">61</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Section 4: Quantitative Portfolio Resilience and Capital Adequacy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ultimate defense for Bank OZK is its capital position and loss reserve strategy. In early 2026, the bank reported a record Diluted EPS of $6.18 and total assets of $40.8 billion.</w:t>
      </w:r>
      <w:r w:rsidDel="00000000" w:rsidR="00000000" w:rsidRPr="00000000">
        <w:rPr>
          <w:rFonts w:ascii="Google Sans" w:cs="Google Sans" w:eastAsia="Google Sans" w:hAnsi="Google Sans"/>
          <w:color w:val="444746"/>
          <w:sz w:val="16"/>
          <w:szCs w:val="16"/>
          <w:vertAlign w:val="superscript"/>
          <w:rtl w:val="0"/>
        </w:rPr>
        <w:t xml:space="preserve">4</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Allowance for Credit Losses (ACL) Build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Since the start of the current commercial real estate cycle, Bank OZK has more than doubled its Allowance for Credit Losses (ACL), from $300 million to $632 million.</w:t>
      </w:r>
      <w:r w:rsidDel="00000000" w:rsidR="00000000" w:rsidRPr="00000000">
        <w:rPr>
          <w:rFonts w:ascii="Google Sans" w:cs="Google Sans" w:eastAsia="Google Sans" w:hAnsi="Google Sans"/>
          <w:color w:val="444746"/>
          <w:sz w:val="16"/>
          <w:szCs w:val="16"/>
          <w:vertAlign w:val="superscript"/>
          <w:rtl w:val="0"/>
        </w:rPr>
        <w:t xml:space="preserve">6</w:t>
      </w:r>
      <w:r w:rsidDel="00000000" w:rsidR="00000000" w:rsidRPr="00000000">
        <w:rPr>
          <w:rFonts w:ascii="Google Sans" w:cs="Google Sans" w:eastAsia="Google Sans" w:hAnsi="Google Sans"/>
          <w:color w:val="1f1f1f"/>
          <w:sz w:val="16"/>
          <w:szCs w:val="16"/>
          <w:rtl w:val="0"/>
        </w:rPr>
        <w:t xml:space="preserve"> Management explicitly stated that this build was a "prudent response" to the expectation that a prolonged cycle would eventually lead a small number of sponsors to withdraw support for individual projects.</w:t>
      </w:r>
      <w:r w:rsidDel="00000000" w:rsidR="00000000" w:rsidRPr="00000000">
        <w:rPr>
          <w:rFonts w:ascii="Google Sans" w:cs="Google Sans" w:eastAsia="Google Sans" w:hAnsi="Google Sans"/>
          <w:color w:val="444746"/>
          <w:sz w:val="16"/>
          <w:szCs w:val="16"/>
          <w:vertAlign w:val="superscript"/>
          <w:rtl w:val="0"/>
        </w:rPr>
        <w:t xml:space="preserve">6</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bank’s experience with "Substandard" and "Special Mention" loans in 2025 provides a roadmap for how it handles distress. For example, in a Chicago-based project (Lincoln Yards), the bank took a charge-off to reach a liquidation value and sold the asset at book value.</w:t>
      </w:r>
      <w:r w:rsidDel="00000000" w:rsidR="00000000" w:rsidRPr="00000000">
        <w:rPr>
          <w:rFonts w:ascii="Google Sans" w:cs="Google Sans" w:eastAsia="Google Sans" w:hAnsi="Google Sans"/>
          <w:color w:val="444746"/>
          <w:sz w:val="16"/>
          <w:szCs w:val="16"/>
          <w:vertAlign w:val="superscript"/>
          <w:rtl w:val="0"/>
        </w:rPr>
        <w:t xml:space="preserve">19</w:t>
      </w:r>
      <w:r w:rsidDel="00000000" w:rsidR="00000000" w:rsidRPr="00000000">
        <w:rPr>
          <w:rFonts w:ascii="Google Sans" w:cs="Google Sans" w:eastAsia="Google Sans" w:hAnsi="Google Sans"/>
          <w:color w:val="1f1f1f"/>
          <w:sz w:val="16"/>
          <w:szCs w:val="16"/>
          <w:rtl w:val="0"/>
        </w:rPr>
        <w:t xml:space="preserve"> In a Lake Tahoe development that has been substandard since 2019, the bank has still managed to earn $43 million in interest and fees while working collaboratively with the sponsor.</w:t>
      </w:r>
      <w:r w:rsidDel="00000000" w:rsidR="00000000" w:rsidRPr="00000000">
        <w:rPr>
          <w:rFonts w:ascii="Google Sans" w:cs="Google Sans" w:eastAsia="Google Sans" w:hAnsi="Google Sans"/>
          <w:color w:val="444746"/>
          <w:sz w:val="16"/>
          <w:szCs w:val="16"/>
          <w:vertAlign w:val="superscript"/>
          <w:rtl w:val="0"/>
        </w:rPr>
        <w:t xml:space="preserve">33</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Loan-to-Cost (LTC) as the Ultimate Safe-Haven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Mathematically, the 45.9% LTC ratio on the Florida RESG book is the most compelling argument for safety.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Pr>
        <w:drawing>
          <wp:inline distB="19050" distT="19050" distL="19050" distR="19050">
            <wp:extent cx="5905500" cy="31688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31688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Pr>
        <w:drawing>
          <wp:inline distB="19050" distT="19050" distL="19050" distR="19050">
            <wp:extent cx="5905500" cy="31688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31688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For Bank OZK to lose a single dollar of principal on its Florida book, the total value of these luxury developments would have to fall by more than 54% from their </w:t>
      </w:r>
      <w:r w:rsidDel="00000000" w:rsidR="00000000" w:rsidRPr="00000000">
        <w:rPr>
          <w:rFonts w:ascii="Google Sans" w:cs="Google Sans" w:eastAsia="Google Sans" w:hAnsi="Google Sans"/>
          <w:i w:val="1"/>
          <w:iCs w:val="1"/>
          <w:color w:val="1f1f1f"/>
          <w:sz w:val="16"/>
          <w:szCs w:val="16"/>
          <w:rtl w:val="0"/>
        </w:rPr>
        <w:t xml:space="preserve">cost</w:t>
      </w:r>
      <w:r w:rsidDel="00000000" w:rsidR="00000000" w:rsidRPr="00000000">
        <w:rPr>
          <w:rFonts w:ascii="Google Sans" w:cs="Google Sans" w:eastAsia="Google Sans" w:hAnsi="Google Sans"/>
          <w:color w:val="1f1f1f"/>
          <w:sz w:val="16"/>
          <w:szCs w:val="16"/>
          <w:rtl w:val="0"/>
        </w:rPr>
        <w:t xml:space="preserve"> basis.</w:t>
      </w:r>
      <w:r w:rsidDel="00000000" w:rsidR="00000000" w:rsidRPr="00000000">
        <w:rPr>
          <w:rFonts w:ascii="Google Sans" w:cs="Google Sans" w:eastAsia="Google Sans" w:hAnsi="Google Sans"/>
          <w:color w:val="444746"/>
          <w:sz w:val="16"/>
          <w:szCs w:val="16"/>
          <w:vertAlign w:val="superscript"/>
          <w:rtl w:val="0"/>
        </w:rPr>
        <w:t xml:space="preserve">4</w:t>
      </w:r>
      <w:r w:rsidDel="00000000" w:rsidR="00000000" w:rsidRPr="00000000">
        <w:rPr>
          <w:rFonts w:ascii="Google Sans" w:cs="Google Sans" w:eastAsia="Google Sans" w:hAnsi="Google Sans"/>
          <w:color w:val="1f1f1f"/>
          <w:sz w:val="16"/>
          <w:szCs w:val="16"/>
          <w:rtl w:val="0"/>
        </w:rPr>
        <w:t xml:space="preserve"> Given that "value" is typically 20-30% higher than "cost" in a successful development, the market-wide price drop would need to exceed 60% from peak valuation. This exceeds the worst-case scenario of the 2008 Great Recession, where the peak-to-trough drop in Miami was 43%.</w:t>
      </w:r>
      <w:r w:rsidDel="00000000" w:rsidR="00000000" w:rsidRPr="00000000">
        <w:rPr>
          <w:rFonts w:ascii="Google Sans" w:cs="Google Sans" w:eastAsia="Google Sans" w:hAnsi="Google Sans"/>
          <w:color w:val="444746"/>
          <w:sz w:val="16"/>
          <w:szCs w:val="16"/>
          <w:vertAlign w:val="superscript"/>
          <w:rtl w:val="0"/>
        </w:rPr>
        <w:t xml:space="preserve">25</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Synthesis: Reconciling the Florida Paradox</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stress-test of Bank OZK’s $7.45 billion Florida book reveals that the "Florida Paradox" is not a house of cards, but a market-wide "Flight to Quality" that favors the bank’s specific assets.</w:t>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Pre-sale walkaway risk is low</w:t>
      </w:r>
      <w:r w:rsidDel="00000000" w:rsidR="00000000" w:rsidRPr="00000000">
        <w:rPr>
          <w:rFonts w:ascii="Google Sans" w:cs="Google Sans" w:eastAsia="Google Sans" w:hAnsi="Google Sans"/>
          <w:color w:val="1f1f1f"/>
          <w:sz w:val="16"/>
          <w:szCs w:val="16"/>
          <w:rtl w:val="0"/>
        </w:rPr>
        <w:t xml:space="preserve"> because the 50% deposit wall makes walking away an irrational economic decision for the UHNW buyer.</w:t>
      </w:r>
      <w:r w:rsidDel="00000000" w:rsidR="00000000" w:rsidRPr="00000000">
        <w:rPr>
          <w:rFonts w:ascii="Google Sans" w:cs="Google Sans" w:eastAsia="Google Sans" w:hAnsi="Google Sans"/>
          <w:color w:val="444746"/>
          <w:sz w:val="16"/>
          <w:szCs w:val="16"/>
          <w:vertAlign w:val="superscript"/>
          <w:rtl w:val="0"/>
        </w:rPr>
        <w:t xml:space="preserve">18</w:t>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Regulatory impacts are positive</w:t>
      </w:r>
      <w:r w:rsidDel="00000000" w:rsidR="00000000" w:rsidRPr="00000000">
        <w:rPr>
          <w:rFonts w:ascii="Google Sans" w:cs="Google Sans" w:eastAsia="Google Sans" w:hAnsi="Google Sans"/>
          <w:color w:val="1f1f1f"/>
          <w:sz w:val="16"/>
          <w:szCs w:val="16"/>
          <w:rtl w:val="0"/>
        </w:rPr>
        <w:t xml:space="preserve"> for new construction. The SIRS mandate is destroying value in older buildings but validating the structural integrity and long-term cost-efficiency of the brand-new, code-compliant towers in OZK’s portfolio.</w:t>
      </w:r>
      <w:r w:rsidDel="00000000" w:rsidR="00000000" w:rsidRPr="00000000">
        <w:rPr>
          <w:rFonts w:ascii="Google Sans" w:cs="Google Sans" w:eastAsia="Google Sans" w:hAnsi="Google Sans"/>
          <w:color w:val="444746"/>
          <w:sz w:val="16"/>
          <w:szCs w:val="16"/>
          <w:vertAlign w:val="superscript"/>
          <w:rtl w:val="0"/>
        </w:rPr>
        <w:t xml:space="preserve">44</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The insurance crisis is stabilizing.</w:t>
      </w:r>
      <w:r w:rsidDel="00000000" w:rsidR="00000000" w:rsidRPr="00000000">
        <w:rPr>
          <w:rFonts w:ascii="Google Sans" w:cs="Google Sans" w:eastAsia="Google Sans" w:hAnsi="Google Sans"/>
          <w:color w:val="1f1f1f"/>
          <w:sz w:val="16"/>
          <w:szCs w:val="16"/>
          <w:rtl w:val="0"/>
        </w:rPr>
        <w:t xml:space="preserve"> While TCO is high, the saturation of cash buyers and the superior risk profile of branded residences mitigate the risk of closing failures.</w:t>
      </w:r>
      <w:r w:rsidDel="00000000" w:rsidR="00000000" w:rsidRPr="00000000">
        <w:rPr>
          <w:rFonts w:ascii="Google Sans" w:cs="Google Sans" w:eastAsia="Google Sans" w:hAnsi="Google Sans"/>
          <w:color w:val="444746"/>
          <w:sz w:val="16"/>
          <w:szCs w:val="16"/>
          <w:vertAlign w:val="superscript"/>
          <w:rtl w:val="0"/>
        </w:rPr>
        <w:t xml:space="preserve">2</w:t>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Underwriting provides massive margin.</w:t>
      </w:r>
      <w:r w:rsidDel="00000000" w:rsidR="00000000" w:rsidRPr="00000000">
        <w:rPr>
          <w:rFonts w:ascii="Google Sans" w:cs="Google Sans" w:eastAsia="Google Sans" w:hAnsi="Google Sans"/>
          <w:color w:val="1f1f1f"/>
          <w:sz w:val="16"/>
          <w:szCs w:val="16"/>
          <w:rtl w:val="0"/>
        </w:rPr>
        <w:t xml:space="preserve"> A 45.9% LTC and 39.1% LTV on the top Miami loans provide enough "skin in the game" from developers and buyers to insulate the bank from even a 2008-scale catastrophe.</w:t>
      </w:r>
      <w:r w:rsidDel="00000000" w:rsidR="00000000" w:rsidRPr="00000000">
        <w:rPr>
          <w:rFonts w:ascii="Google Sans" w:cs="Google Sans" w:eastAsia="Google Sans" w:hAnsi="Google Sans"/>
          <w:color w:val="444746"/>
          <w:sz w:val="16"/>
          <w:szCs w:val="16"/>
          <w:vertAlign w:val="superscript"/>
          <w:rtl w:val="0"/>
        </w:rPr>
        <w:t xml:space="preserve">4</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Conclusion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analysis of Bank OZK’s Florida RESG book indicates a high degree of resilience against systemic Florida risks. The bank is not merely lending into a "bubble," but is providing senior-secured financing for the primary residences of the world’s most mobile and liquid wealth class. The concentration of $7.45 billion in Florida is balanced by a weighted average equity cushion that exceeds 50% of project costs.</w:t>
      </w:r>
      <w:r w:rsidDel="00000000" w:rsidR="00000000" w:rsidRPr="00000000">
        <w:rPr>
          <w:rFonts w:ascii="Google Sans" w:cs="Google Sans" w:eastAsia="Google Sans" w:hAnsi="Google Sans"/>
          <w:color w:val="444746"/>
          <w:sz w:val="16"/>
          <w:szCs w:val="16"/>
          <w:vertAlign w:val="superscript"/>
          <w:rtl w:val="0"/>
        </w:rPr>
        <w:t xml:space="preserve">4</w:t>
      </w:r>
      <w:r w:rsidDel="00000000" w:rsidR="00000000" w:rsidRPr="00000000">
        <w:rPr>
          <w:rFonts w:ascii="Google Sans" w:cs="Google Sans" w:eastAsia="Google Sans" w:hAnsi="Google Sans"/>
          <w:color w:val="1f1f1f"/>
          <w:sz w:val="16"/>
          <w:szCs w:val="16"/>
          <w:rtl w:val="0"/>
        </w:rPr>
        <w:t xml:space="preserve"> While the broader Florida real estate market will undoubtedly face challenges from rising carry costs and a buyer's market in the luxury tier, the specific projects and structures held by Bank OZK are insulated by high buyer commitment, regulatory "honeymoon" periods for new construction, and a stabilization of the insurance market. The Florida Paradox, in this context, is a sustainable equilibrium for the state’s preeminent construction lender.</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sz w:val="16"/>
          <w:szCs w:val="16"/>
        </w:rPr>
      </w:pPr>
      <w:r w:rsidDel="00000000" w:rsidR="00000000" w:rsidRPr="00000000">
        <w:rPr>
          <w:rFonts w:ascii="Google Sans" w:cs="Google Sans" w:eastAsia="Google Sans" w:hAnsi="Google Sans"/>
          <w:sz w:val="16"/>
          <w:szCs w:val="16"/>
          <w:rtl w:val="0"/>
        </w:rPr>
        <w:t xml:space="preserve">Works cited</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South Florida Luxury Real Estate Market – September 2025 Report | MILLION, accessed March 24, 2026, </w:t>
      </w:r>
      <w:hyperlink r:id="rId8">
        <w:r w:rsidDel="00000000" w:rsidR="00000000" w:rsidRPr="00000000">
          <w:rPr>
            <w:rFonts w:ascii="Google Sans" w:cs="Google Sans" w:eastAsia="Google Sans" w:hAnsi="Google Sans"/>
            <w:color w:val="0000ee"/>
            <w:sz w:val="16"/>
            <w:szCs w:val="16"/>
            <w:u w:val="single"/>
            <w:rtl w:val="0"/>
          </w:rPr>
          <w:t xml:space="preserve">https://www.millionluxury.com/news/south-florida-luxury-real-estate-market-september-2025-report</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Miami Ultra-Luxury Real Estate 2026: Market Outlook, Top Developments, and How Elite Miami Realtors Are Redefining High-End Living - Ivan and Mike, accessed March 24, 2026, </w:t>
      </w:r>
      <w:hyperlink r:id="rId9">
        <w:r w:rsidDel="00000000" w:rsidR="00000000" w:rsidRPr="00000000">
          <w:rPr>
            <w:rFonts w:ascii="Google Sans" w:cs="Google Sans" w:eastAsia="Google Sans" w:hAnsi="Google Sans"/>
            <w:color w:val="0000ee"/>
            <w:sz w:val="16"/>
            <w:szCs w:val="16"/>
            <w:u w:val="single"/>
            <w:rtl w:val="0"/>
          </w:rPr>
          <w:t xml:space="preserve">https://ivanandmike.com/press/miami-ultra-luxury-real-estate-2026/</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Related Ross Secures $600 Million Construction Loan for South Flagler House in West Palm Beach, accessed March 24, 2026, </w:t>
      </w:r>
      <w:hyperlink r:id="rId10">
        <w:r w:rsidDel="00000000" w:rsidR="00000000" w:rsidRPr="00000000">
          <w:rPr>
            <w:rFonts w:ascii="Google Sans" w:cs="Google Sans" w:eastAsia="Google Sans" w:hAnsi="Google Sans"/>
            <w:color w:val="0000ee"/>
            <w:sz w:val="16"/>
            <w:szCs w:val="16"/>
            <w:u w:val="single"/>
            <w:rtl w:val="0"/>
          </w:rPr>
          <w:t xml:space="preserve">https://www.relatedross.com/press-releases/2025-06-11/related-ross-secures-600-million-construction-loan-south-flagler-house</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Bank OZK Announces Fourth Quarter and Full Year 2025 Earnings, accessed March 24, 2026, </w:t>
      </w:r>
      <w:hyperlink r:id="rId11">
        <w:r w:rsidDel="00000000" w:rsidR="00000000" w:rsidRPr="00000000">
          <w:rPr>
            <w:rFonts w:ascii="Google Sans" w:cs="Google Sans" w:eastAsia="Google Sans" w:hAnsi="Google Sans"/>
            <w:color w:val="0000ee"/>
            <w:sz w:val="16"/>
            <w:szCs w:val="16"/>
            <w:u w:val="single"/>
            <w:rtl w:val="0"/>
          </w:rPr>
          <w:t xml:space="preserve">https://ir.ozk.com/news-releases/news-release-details/bank-ozk-announces-fourth-quarter-and-full-year-2025-earnings/</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Bank OZK Announces Fourth Quarter and Full Year 2025 Earnings - Stock Titan, accessed March 24, 2026, </w:t>
      </w:r>
      <w:hyperlink r:id="rId12">
        <w:r w:rsidDel="00000000" w:rsidR="00000000" w:rsidRPr="00000000">
          <w:rPr>
            <w:rFonts w:ascii="Google Sans" w:cs="Google Sans" w:eastAsia="Google Sans" w:hAnsi="Google Sans"/>
            <w:color w:val="0000ee"/>
            <w:sz w:val="16"/>
            <w:szCs w:val="16"/>
            <w:u w:val="single"/>
            <w:rtl w:val="0"/>
          </w:rPr>
          <w:t xml:space="preserve">https://www.stocktitan.net/news/OZK/bank-ozk-announces-fourth-quarter-and-full-year-2025-eoo1l1ahjxnu.html</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Bank OZK (OZK) Q4 2025 Earnings Call Transcript | The Motley Fool, accessed March 24, 2026, </w:t>
      </w:r>
      <w:hyperlink r:id="rId13">
        <w:r w:rsidDel="00000000" w:rsidR="00000000" w:rsidRPr="00000000">
          <w:rPr>
            <w:rFonts w:ascii="Google Sans" w:cs="Google Sans" w:eastAsia="Google Sans" w:hAnsi="Google Sans"/>
            <w:color w:val="0000ee"/>
            <w:sz w:val="16"/>
            <w:szCs w:val="16"/>
            <w:u w:val="single"/>
            <w:rtl w:val="0"/>
          </w:rPr>
          <w:t xml:space="preserve">https://www.fool.com/earnings/call-transcripts/2026/01/22/bank-ozk-ozk-q4-2025-earnings-call-transcript/</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Bank OZK — South Florida and Miami Real Estate News, Media and ..., accessed March 24, 2026, </w:t>
      </w:r>
      <w:hyperlink r:id="rId14">
        <w:r w:rsidDel="00000000" w:rsidR="00000000" w:rsidRPr="00000000">
          <w:rPr>
            <w:rFonts w:ascii="Google Sans" w:cs="Google Sans" w:eastAsia="Google Sans" w:hAnsi="Google Sans"/>
            <w:color w:val="0000ee"/>
            <w:sz w:val="16"/>
            <w:szCs w:val="16"/>
            <w:u w:val="single"/>
            <w:rtl w:val="0"/>
          </w:rPr>
          <w:t xml:space="preserve">https://profilemiamire.com/miamirealestate/tag/Bank+OZK</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Waldorf Astoria Hotel &amp; Residences Miami Reaches Construction Milestone as Superstructure Passes the 50th Floor - Florida YIMBY, accessed March 24, 2026, </w:t>
      </w:r>
      <w:hyperlink r:id="rId15">
        <w:r w:rsidDel="00000000" w:rsidR="00000000" w:rsidRPr="00000000">
          <w:rPr>
            <w:rFonts w:ascii="Google Sans" w:cs="Google Sans" w:eastAsia="Google Sans" w:hAnsi="Google Sans"/>
            <w:color w:val="0000ee"/>
            <w:sz w:val="16"/>
            <w:szCs w:val="16"/>
            <w:u w:val="single"/>
            <w:rtl w:val="0"/>
          </w:rPr>
          <w:t xml:space="preserve">https://floridayimby.com/2025/12/waldorf-astoria-hotel-residences-miami-reaches-construction-milestone-as-superstructure-passes-the-50th-floor.html</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Waldorf Astoria Hotel &amp; Residences Miami Advances Into Sixth Cube as Construction Passes 60 Floors - Florida YIMBY, accessed March 24, 2026, </w:t>
      </w:r>
      <w:hyperlink r:id="rId16">
        <w:r w:rsidDel="00000000" w:rsidR="00000000" w:rsidRPr="00000000">
          <w:rPr>
            <w:rFonts w:ascii="Google Sans" w:cs="Google Sans" w:eastAsia="Google Sans" w:hAnsi="Google Sans"/>
            <w:color w:val="0000ee"/>
            <w:sz w:val="16"/>
            <w:szCs w:val="16"/>
            <w:u w:val="single"/>
            <w:rtl w:val="0"/>
          </w:rPr>
          <w:t xml:space="preserve">https://floridayimby.com/2026/02/waldorf-astoria-hotel-residences-miami-advances-into-sixth-cube-as-construction-passes-60-floors.html</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Baccarat Residences Brickell Miami | Prices &amp; Floor Plans, accessed March 24, 2026, </w:t>
      </w:r>
      <w:hyperlink r:id="rId17">
        <w:r w:rsidDel="00000000" w:rsidR="00000000" w:rsidRPr="00000000">
          <w:rPr>
            <w:rFonts w:ascii="Google Sans" w:cs="Google Sans" w:eastAsia="Google Sans" w:hAnsi="Google Sans"/>
            <w:color w:val="0000ee"/>
            <w:sz w:val="16"/>
            <w:szCs w:val="16"/>
            <w:u w:val="single"/>
            <w:rtl w:val="0"/>
          </w:rPr>
          <w:t xml:space="preserve">https://baccarat-brickell.com/</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Baccarat Residences Miami Continues Vertical Ascent Towards 75-Story Apex In Brickell, accessed March 24, 2026, </w:t>
      </w:r>
      <w:hyperlink r:id="rId18">
        <w:r w:rsidDel="00000000" w:rsidR="00000000" w:rsidRPr="00000000">
          <w:rPr>
            <w:rFonts w:ascii="Google Sans" w:cs="Google Sans" w:eastAsia="Google Sans" w:hAnsi="Google Sans"/>
            <w:color w:val="0000ee"/>
            <w:sz w:val="16"/>
            <w:szCs w:val="16"/>
            <w:u w:val="single"/>
            <w:rtl w:val="0"/>
          </w:rPr>
          <w:t xml:space="preserve">https://floridayimby.com/2026/03/baccarat-residences-miami-continues-vertical-ascent-towards-75-story-apex-in-brickell.html</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Related Ross' South Flagler House Tops Out in West Palm Beach, With Delivery Slated for 2027 - Traded, accessed March 24, 2026, </w:t>
      </w:r>
      <w:hyperlink r:id="rId19">
        <w:r w:rsidDel="00000000" w:rsidR="00000000" w:rsidRPr="00000000">
          <w:rPr>
            <w:rFonts w:ascii="Google Sans" w:cs="Google Sans" w:eastAsia="Google Sans" w:hAnsi="Google Sans"/>
            <w:color w:val="0000ee"/>
            <w:sz w:val="16"/>
            <w:szCs w:val="16"/>
            <w:u w:val="single"/>
            <w:rtl w:val="0"/>
          </w:rPr>
          <w:t xml:space="preserve">https://traded.co/blog/related-ross-south-flagler-house-tops-out-in-west-palm-beach-with-delivery-slated-for-2027/</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Construction Update &amp; Project Details - Ritz-Carlton Residences Pompano Beach, accessed March 24, 2026, </w:t>
      </w:r>
      <w:hyperlink r:id="rId20">
        <w:r w:rsidDel="00000000" w:rsidR="00000000" w:rsidRPr="00000000">
          <w:rPr>
            <w:rFonts w:ascii="Google Sans" w:cs="Google Sans" w:eastAsia="Google Sans" w:hAnsi="Google Sans"/>
            <w:color w:val="0000ee"/>
            <w:sz w:val="16"/>
            <w:szCs w:val="16"/>
            <w:u w:val="single"/>
            <w:rtl w:val="0"/>
          </w:rPr>
          <w:t xml:space="preserve">https://theritzcarltonresidencespompanobeach.com/blog/ritz-carlton-residences-pompano-beach-construction-update-and-project-details</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Construction Wraps Up on Wynwood Plaza in Miami's Wynwood Arts District, accessed March 24, 2026, </w:t>
      </w:r>
      <w:hyperlink r:id="rId21">
        <w:r w:rsidDel="00000000" w:rsidR="00000000" w:rsidRPr="00000000">
          <w:rPr>
            <w:rFonts w:ascii="Google Sans" w:cs="Google Sans" w:eastAsia="Google Sans" w:hAnsi="Google Sans"/>
            <w:color w:val="0000ee"/>
            <w:sz w:val="16"/>
            <w:szCs w:val="16"/>
            <w:u w:val="single"/>
            <w:rtl w:val="0"/>
          </w:rPr>
          <w:t xml:space="preserve">https://thewynwoodplaza.com/news/construction-wraps-up-on-wynwood-plaza-in-miamis-wynwood-arts-district/</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George Gleason Of Bank OZK Lends $475M To Stephen Ross For South Flagler House Development | Traded, accessed March 24, 2026, </w:t>
      </w:r>
      <w:hyperlink r:id="rId22">
        <w:r w:rsidDel="00000000" w:rsidR="00000000" w:rsidRPr="00000000">
          <w:rPr>
            <w:rFonts w:ascii="Google Sans" w:cs="Google Sans" w:eastAsia="Google Sans" w:hAnsi="Google Sans"/>
            <w:color w:val="0000ee"/>
            <w:sz w:val="16"/>
            <w:szCs w:val="16"/>
            <w:u w:val="single"/>
            <w:rtl w:val="0"/>
          </w:rPr>
          <w:t xml:space="preserve">https://traded.co/deals/florida/development-site/loan/1355-south-flagler-drive-3/</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Navigating the Deposit Structure in Miami's Pre-Construction Projects - MILLION Luxury, accessed March 24, 2026, </w:t>
      </w:r>
      <w:hyperlink r:id="rId23">
        <w:r w:rsidDel="00000000" w:rsidR="00000000" w:rsidRPr="00000000">
          <w:rPr>
            <w:rFonts w:ascii="Google Sans" w:cs="Google Sans" w:eastAsia="Google Sans" w:hAnsi="Google Sans"/>
            <w:color w:val="0000ee"/>
            <w:sz w:val="16"/>
            <w:szCs w:val="16"/>
            <w:u w:val="single"/>
            <w:rtl w:val="0"/>
          </w:rPr>
          <w:t xml:space="preserve">https://www.millionluxury.com/news/miami-pre-construction-deposit-structure</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How Deposit Structures Work for Pre-Construction Condos, accessed March 24, 2026, </w:t>
      </w:r>
      <w:hyperlink r:id="rId24">
        <w:r w:rsidDel="00000000" w:rsidR="00000000" w:rsidRPr="00000000">
          <w:rPr>
            <w:rFonts w:ascii="Google Sans" w:cs="Google Sans" w:eastAsia="Google Sans" w:hAnsi="Google Sans"/>
            <w:color w:val="0000ee"/>
            <w:sz w:val="16"/>
            <w:szCs w:val="16"/>
            <w:u w:val="single"/>
            <w:rtl w:val="0"/>
          </w:rPr>
          <w:t xml:space="preserve">https://blog.condosglobal.com/how-deposit-structures-work-for-pre-construction-condos/</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The Financial Crisis Anniversary: How Miami's Condo Market Survived, accessed March 24, 2026, </w:t>
      </w:r>
      <w:hyperlink r:id="rId25">
        <w:r w:rsidDel="00000000" w:rsidR="00000000" w:rsidRPr="00000000">
          <w:rPr>
            <w:rFonts w:ascii="Google Sans" w:cs="Google Sans" w:eastAsia="Google Sans" w:hAnsi="Google Sans"/>
            <w:color w:val="0000ee"/>
            <w:sz w:val="16"/>
            <w:szCs w:val="16"/>
            <w:u w:val="single"/>
            <w:rtl w:val="0"/>
          </w:rPr>
          <w:t xml:space="preserve">https://www.multihousingnews.com/the-financial-crisis-anniversary-how-miamis-condo-market-survived/</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The Big Read Prime property + Add to myFT - The condo king betting that Miami's Covid-era boom is here to stay - El Espacio 23, accessed March 24, 2026, </w:t>
      </w:r>
      <w:hyperlink r:id="rId26">
        <w:r w:rsidDel="00000000" w:rsidR="00000000" w:rsidRPr="00000000">
          <w:rPr>
            <w:rFonts w:ascii="Google Sans" w:cs="Google Sans" w:eastAsia="Google Sans" w:hAnsi="Google Sans"/>
            <w:color w:val="0000ee"/>
            <w:sz w:val="16"/>
            <w:szCs w:val="16"/>
            <w:u w:val="single"/>
            <w:rtl w:val="0"/>
          </w:rPr>
          <w:t xml:space="preserve">https://elespacio23.org/wp-content/uploads/2026/01/FT.JMP_.Dec_.2023-2.pdf</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Best Timing to Buy Pre-Construction Units in Miami | MILLION | Redefine Lifestyle, accessed March 24, 2026, </w:t>
      </w:r>
      <w:hyperlink r:id="rId27">
        <w:r w:rsidDel="00000000" w:rsidR="00000000" w:rsidRPr="00000000">
          <w:rPr>
            <w:rFonts w:ascii="Google Sans" w:cs="Google Sans" w:eastAsia="Google Sans" w:hAnsi="Google Sans"/>
            <w:color w:val="0000ee"/>
            <w:sz w:val="16"/>
            <w:szCs w:val="16"/>
            <w:u w:val="single"/>
            <w:rtl w:val="0"/>
          </w:rPr>
          <w:t xml:space="preserve">https://www.millionluxury.com/news/best-timing-to-buy-pre-construction-units-in-miami</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Chapter 718 Section 503 - 2025 Florida Statutes, accessed March 24, 2026, </w:t>
      </w:r>
      <w:hyperlink r:id="rId28">
        <w:r w:rsidDel="00000000" w:rsidR="00000000" w:rsidRPr="00000000">
          <w:rPr>
            <w:rFonts w:ascii="Google Sans" w:cs="Google Sans" w:eastAsia="Google Sans" w:hAnsi="Google Sans"/>
            <w:color w:val="0000ee"/>
            <w:sz w:val="16"/>
            <w:szCs w:val="16"/>
            <w:u w:val="single"/>
            <w:rtl w:val="0"/>
          </w:rPr>
          <w:t xml:space="preserve">https://www.flsenate.gov/Laws/Statutes/2025/0718.503</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Getting Out of a Preconstruction Real Estate Contract in Florida ..., accessed March 24, 2026, </w:t>
      </w:r>
      <w:hyperlink r:id="rId29">
        <w:r w:rsidDel="00000000" w:rsidR="00000000" w:rsidRPr="00000000">
          <w:rPr>
            <w:rFonts w:ascii="Google Sans" w:cs="Google Sans" w:eastAsia="Google Sans" w:hAnsi="Google Sans"/>
            <w:color w:val="0000ee"/>
            <w:sz w:val="16"/>
            <w:szCs w:val="16"/>
            <w:u w:val="single"/>
            <w:rtl w:val="0"/>
          </w:rPr>
          <w:t xml:space="preserve">https://www.southfloridalawpllc.com/2025/11/15/preconstruction-real-estate-contract/</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Condominium Purchaser's Cancellation Rights under Florida Statute section 718.503 |, accessed March 24, 2026, </w:t>
      </w:r>
      <w:hyperlink r:id="rId30">
        <w:r w:rsidDel="00000000" w:rsidR="00000000" w:rsidRPr="00000000">
          <w:rPr>
            <w:rFonts w:ascii="Google Sans" w:cs="Google Sans" w:eastAsia="Google Sans" w:hAnsi="Google Sans"/>
            <w:color w:val="0000ee"/>
            <w:sz w:val="16"/>
            <w:szCs w:val="16"/>
            <w:u w:val="single"/>
            <w:rtl w:val="0"/>
          </w:rPr>
          <w:t xml:space="preserve">https://floridarealestate.law/condominium-purchasers-cancellation-right-under-florida-statute-section-718-503/</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2008 – Housing Collapse and Discontinuation of Housing Development - Florida Policy Timeline, accessed March 24, 2026, </w:t>
      </w:r>
      <w:hyperlink r:id="rId31">
        <w:r w:rsidDel="00000000" w:rsidR="00000000" w:rsidRPr="00000000">
          <w:rPr>
            <w:rFonts w:ascii="Google Sans" w:cs="Google Sans" w:eastAsia="Google Sans" w:hAnsi="Google Sans"/>
            <w:color w:val="0000ee"/>
            <w:sz w:val="16"/>
            <w:szCs w:val="16"/>
            <w:u w:val="single"/>
            <w:rtl w:val="0"/>
          </w:rPr>
          <w:t xml:space="preserve">https://www.floridatimeline.org/timeline/2008-housing-collapse-and-discontinuation-of-housing-development/</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Miami-Area Properties Fall 43% in 2008 - Multifamily Executive, accessed March 24, 2026, </w:t>
      </w:r>
      <w:hyperlink r:id="rId32">
        <w:r w:rsidDel="00000000" w:rsidR="00000000" w:rsidRPr="00000000">
          <w:rPr>
            <w:rFonts w:ascii="Google Sans" w:cs="Google Sans" w:eastAsia="Google Sans" w:hAnsi="Google Sans"/>
            <w:color w:val="0000ee"/>
            <w:sz w:val="16"/>
            <w:szCs w:val="16"/>
            <w:u w:val="single"/>
            <w:rtl w:val="0"/>
          </w:rPr>
          <w:t xml:space="preserve">https://www.multifamilyexecutive.com/business-finance/business-trends/miami-area-properties-fall-43-in-2008_o</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Housing Market Now vs 2008? - Graystone Investment Group, accessed March 24, 2026, </w:t>
      </w:r>
      <w:hyperlink r:id="rId33">
        <w:r w:rsidDel="00000000" w:rsidR="00000000" w:rsidRPr="00000000">
          <w:rPr>
            <w:rFonts w:ascii="Google Sans" w:cs="Google Sans" w:eastAsia="Google Sans" w:hAnsi="Google Sans"/>
            <w:color w:val="0000ee"/>
            <w:sz w:val="16"/>
            <w:szCs w:val="16"/>
            <w:u w:val="single"/>
            <w:rtl w:val="0"/>
          </w:rPr>
          <w:t xml:space="preserve">https://graystoneig.com/articles/florida-housing-market-2025-vs-2008-inventory-surge-or-crash-a-guide-for-investors</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Miami-Dade Housing Inventory Significantly Shrinking | Bilzin Sumberg - JDSupra, accessed March 24, 2026, </w:t>
      </w:r>
      <w:hyperlink r:id="rId34">
        <w:r w:rsidDel="00000000" w:rsidR="00000000" w:rsidRPr="00000000">
          <w:rPr>
            <w:rFonts w:ascii="Google Sans" w:cs="Google Sans" w:eastAsia="Google Sans" w:hAnsi="Google Sans"/>
            <w:color w:val="0000ee"/>
            <w:sz w:val="16"/>
            <w:szCs w:val="16"/>
            <w:u w:val="single"/>
            <w:rtl w:val="0"/>
          </w:rPr>
          <w:t xml:space="preserve">https://www.jdsupra.com/legalnews/miami-dade-housing-inventory-significant-37186/</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Q4 2025 &amp; Annual Miami Luxury Condo Market Summary: Record Annual Prices, yet Buyer's Market Stays | CondoBlackBook Blog, accessed March 24, 2026, </w:t>
      </w:r>
      <w:hyperlink r:id="rId35">
        <w:r w:rsidDel="00000000" w:rsidR="00000000" w:rsidRPr="00000000">
          <w:rPr>
            <w:rFonts w:ascii="Google Sans" w:cs="Google Sans" w:eastAsia="Google Sans" w:hAnsi="Google Sans"/>
            <w:color w:val="0000ee"/>
            <w:sz w:val="16"/>
            <w:szCs w:val="16"/>
            <w:u w:val="single"/>
            <w:rtl w:val="0"/>
          </w:rPr>
          <w:t xml:space="preserve">https://www.condoblackbook.com/blog/q4-2025-and-annual-miami-luxury-condo-market-summary-record-annual-prices-yet-buyer-s-market-stays</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Watch Our 2026 Luxury Condo Market Video: There's a Change Coming… | CondoBlackBook Blog, accessed March 24, 2026, </w:t>
      </w:r>
      <w:hyperlink r:id="rId36">
        <w:r w:rsidDel="00000000" w:rsidR="00000000" w:rsidRPr="00000000">
          <w:rPr>
            <w:rFonts w:ascii="Google Sans" w:cs="Google Sans" w:eastAsia="Google Sans" w:hAnsi="Google Sans"/>
            <w:color w:val="0000ee"/>
            <w:sz w:val="16"/>
            <w:szCs w:val="16"/>
            <w:u w:val="single"/>
            <w:rtl w:val="0"/>
          </w:rPr>
          <w:t xml:space="preserve">https://www.condoblackbook.com/blog/watch-our-2026-luxury-condo-market-video-there-s-a-change-coming</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South Florida Ultra-Luxury Real Estate 2026: Pricing Power, Inventory Reality, and Where the Next Premium Is Forming | MILLION, accessed March 24, 2026, </w:t>
      </w:r>
      <w:hyperlink r:id="rId37">
        <w:r w:rsidDel="00000000" w:rsidR="00000000" w:rsidRPr="00000000">
          <w:rPr>
            <w:rFonts w:ascii="Google Sans" w:cs="Google Sans" w:eastAsia="Google Sans" w:hAnsi="Google Sans"/>
            <w:color w:val="0000ee"/>
            <w:sz w:val="16"/>
            <w:szCs w:val="16"/>
            <w:u w:val="single"/>
            <w:rtl w:val="0"/>
          </w:rPr>
          <w:t xml:space="preserve">https://www.millionluxury.com/news/south-florida-ultra-luxury-real-estate-2026</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The 2026 Florida Real Estate “Great Rebalancing”: What Buyers and Sellers Need to Know This January, accessed March 24, 2026, </w:t>
      </w:r>
      <w:hyperlink r:id="rId38">
        <w:r w:rsidDel="00000000" w:rsidR="00000000" w:rsidRPr="00000000">
          <w:rPr>
            <w:rFonts w:ascii="Google Sans" w:cs="Google Sans" w:eastAsia="Google Sans" w:hAnsi="Google Sans"/>
            <w:color w:val="0000ee"/>
            <w:sz w:val="16"/>
            <w:szCs w:val="16"/>
            <w:u w:val="single"/>
            <w:rtl w:val="0"/>
          </w:rPr>
          <w:t xml:space="preserve">https://www.listingswithkris.com/blog/the-2026-florida-real-estate-great-rebalancing-what-buyers-and-sellers-need-to-know-this-january/</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Miami Pre-Construction Deposit Structures: Typical Schedules and Strategy | MILLION, accessed March 24, 2026, </w:t>
      </w:r>
      <w:hyperlink r:id="rId39">
        <w:r w:rsidDel="00000000" w:rsidR="00000000" w:rsidRPr="00000000">
          <w:rPr>
            <w:rFonts w:ascii="Google Sans" w:cs="Google Sans" w:eastAsia="Google Sans" w:hAnsi="Google Sans"/>
            <w:color w:val="0000ee"/>
            <w:sz w:val="16"/>
            <w:szCs w:val="16"/>
            <w:u w:val="single"/>
            <w:rtl w:val="0"/>
          </w:rPr>
          <w:t xml:space="preserve">https://www.millionluxury.com/news/miami-pre-construction-deposit-structures</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Bank OZK Transcript of the Fourth Quarter 2025 Conference Call ..., accessed March 24, 2026, </w:t>
      </w:r>
      <w:hyperlink r:id="rId40">
        <w:r w:rsidDel="00000000" w:rsidR="00000000" w:rsidRPr="00000000">
          <w:rPr>
            <w:rFonts w:ascii="Google Sans" w:cs="Google Sans" w:eastAsia="Google Sans" w:hAnsi="Google Sans"/>
            <w:color w:val="0000ee"/>
            <w:sz w:val="16"/>
            <w:szCs w:val="16"/>
            <w:u w:val="single"/>
            <w:rtl w:val="0"/>
          </w:rPr>
          <w:t xml:space="preserve">https://ir.ozk.com/static-files/4e55b057-bd91-45cc-9cee-2b0f7d1467dd</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Bank OZK Transcript of the Third Quarter 2025 Conference Call ..., accessed March 24, 2026, </w:t>
      </w:r>
      <w:hyperlink r:id="rId41">
        <w:r w:rsidDel="00000000" w:rsidR="00000000" w:rsidRPr="00000000">
          <w:rPr>
            <w:rFonts w:ascii="Google Sans" w:cs="Google Sans" w:eastAsia="Google Sans" w:hAnsi="Google Sans"/>
            <w:color w:val="0000ee"/>
            <w:sz w:val="16"/>
            <w:szCs w:val="16"/>
            <w:u w:val="single"/>
            <w:rtl w:val="0"/>
          </w:rPr>
          <w:t xml:space="preserve">https://ir.ozk.com/static-files/a5f51aa4-e5d9-408f-89cc-129d41ae5da3</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Senate Bill 4-D: What You Need to Know - Rimkus Consulting Group, accessed March 24, 2026, </w:t>
      </w:r>
      <w:hyperlink r:id="rId42">
        <w:r w:rsidDel="00000000" w:rsidR="00000000" w:rsidRPr="00000000">
          <w:rPr>
            <w:rFonts w:ascii="Google Sans" w:cs="Google Sans" w:eastAsia="Google Sans" w:hAnsi="Google Sans"/>
            <w:color w:val="0000ee"/>
            <w:sz w:val="16"/>
            <w:szCs w:val="16"/>
            <w:u w:val="single"/>
            <w:rtl w:val="0"/>
          </w:rPr>
          <w:t xml:space="preserve">https://rimkus.com/article/what-sb-4-d-means-for-your-condo-a-closer-look-at-floridas-safety-legislation/</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2025 Condo Law | ManageCasa Compliance Tips, accessed March 24, 2026, </w:t>
      </w:r>
      <w:hyperlink r:id="rId43">
        <w:r w:rsidDel="00000000" w:rsidR="00000000" w:rsidRPr="00000000">
          <w:rPr>
            <w:rFonts w:ascii="Google Sans" w:cs="Google Sans" w:eastAsia="Google Sans" w:hAnsi="Google Sans"/>
            <w:color w:val="0000ee"/>
            <w:sz w:val="16"/>
            <w:szCs w:val="16"/>
            <w:u w:val="single"/>
            <w:rtl w:val="0"/>
          </w:rPr>
          <w:t xml:space="preserve">https://managecasa.com/articles/florida-2025-condo-law-funding-milestone-inspections-reserves</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2026 Legal News for Florida Condo Associations, accessed March 24, 2026, </w:t>
      </w:r>
      <w:hyperlink r:id="rId44">
        <w:r w:rsidDel="00000000" w:rsidR="00000000" w:rsidRPr="00000000">
          <w:rPr>
            <w:rFonts w:ascii="Google Sans" w:cs="Google Sans" w:eastAsia="Google Sans" w:hAnsi="Google Sans"/>
            <w:color w:val="0000ee"/>
            <w:sz w:val="16"/>
            <w:szCs w:val="16"/>
            <w:u w:val="single"/>
            <w:rtl w:val="0"/>
          </w:rPr>
          <w:t xml:space="preserve">https://hub.associaonline.com/blog/legal-news-for-condos-2026</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Reserve Study Costs in 2026: $1650–$16500 Ranges, Factors &amp; HB 913 Guide - FPAT, accessed March 24, 2026, </w:t>
      </w:r>
      <w:hyperlink r:id="rId45">
        <w:r w:rsidDel="00000000" w:rsidR="00000000" w:rsidRPr="00000000">
          <w:rPr>
            <w:rFonts w:ascii="Google Sans" w:cs="Google Sans" w:eastAsia="Google Sans" w:hAnsi="Google Sans"/>
            <w:color w:val="0000ee"/>
            <w:sz w:val="16"/>
            <w:szCs w:val="16"/>
            <w:u w:val="single"/>
            <w:rtl w:val="0"/>
          </w:rPr>
          <w:t xml:space="preserve">https://fpat.com/reserve-study-cost-florida/</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Structural Integrity Reserve Study (SIRS) 2026 | PropFusion, accessed March 24, 2026, </w:t>
      </w:r>
      <w:hyperlink r:id="rId46">
        <w:r w:rsidDel="00000000" w:rsidR="00000000" w:rsidRPr="00000000">
          <w:rPr>
            <w:rFonts w:ascii="Google Sans" w:cs="Google Sans" w:eastAsia="Google Sans" w:hAnsi="Google Sans"/>
            <w:color w:val="0000ee"/>
            <w:sz w:val="16"/>
            <w:szCs w:val="16"/>
            <w:u w:val="single"/>
            <w:rtl w:val="0"/>
          </w:rPr>
          <w:t xml:space="preserve">https://www.propfusion.com/law-guide/florida-sirs-requirements</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Structural Integrity Reserve Study Explained for Florida Condominiums, accessed March 24, 2026, </w:t>
      </w:r>
      <w:hyperlink r:id="rId47">
        <w:r w:rsidDel="00000000" w:rsidR="00000000" w:rsidRPr="00000000">
          <w:rPr>
            <w:rFonts w:ascii="Google Sans" w:cs="Google Sans" w:eastAsia="Google Sans" w:hAnsi="Google Sans"/>
            <w:color w:val="0000ee"/>
            <w:sz w:val="16"/>
            <w:szCs w:val="16"/>
            <w:u w:val="single"/>
            <w:rtl w:val="0"/>
          </w:rPr>
          <w:t xml:space="preserve">https://flengineeringllc.com/structural-integrity-reserve-study-florida/</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Structural Integrity Reserve Study at Developer Turnover - Building Mavens, accessed March 24, 2026, </w:t>
      </w:r>
      <w:hyperlink r:id="rId48">
        <w:r w:rsidDel="00000000" w:rsidR="00000000" w:rsidRPr="00000000">
          <w:rPr>
            <w:rFonts w:ascii="Google Sans" w:cs="Google Sans" w:eastAsia="Google Sans" w:hAnsi="Google Sans"/>
            <w:color w:val="0000ee"/>
            <w:sz w:val="16"/>
            <w:szCs w:val="16"/>
            <w:u w:val="single"/>
            <w:rtl w:val="0"/>
          </w:rPr>
          <w:t xml:space="preserve">https://buildingmavens.com/blog/structural-integrity-reserve-study-at-developer-turnover/</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FAQs - DBPR Condominium Information &amp; Resources - MyFloridaLicense.com, accessed March 24, 2026, </w:t>
      </w:r>
      <w:hyperlink r:id="rId49">
        <w:r w:rsidDel="00000000" w:rsidR="00000000" w:rsidRPr="00000000">
          <w:rPr>
            <w:rFonts w:ascii="Google Sans" w:cs="Google Sans" w:eastAsia="Google Sans" w:hAnsi="Google Sans"/>
            <w:color w:val="0000ee"/>
            <w:sz w:val="16"/>
            <w:szCs w:val="16"/>
            <w:u w:val="single"/>
            <w:rtl w:val="0"/>
          </w:rPr>
          <w:t xml:space="preserve">https://condos.myfloridalicense.com/faqs/</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The Rising Costs Making Florida Condos a Tougher Investment - KeyCrew, accessed March 24, 2026, </w:t>
      </w:r>
      <w:hyperlink r:id="rId50">
        <w:r w:rsidDel="00000000" w:rsidR="00000000" w:rsidRPr="00000000">
          <w:rPr>
            <w:rFonts w:ascii="Google Sans" w:cs="Google Sans" w:eastAsia="Google Sans" w:hAnsi="Google Sans"/>
            <w:color w:val="0000ee"/>
            <w:sz w:val="16"/>
            <w:szCs w:val="16"/>
            <w:u w:val="single"/>
            <w:rtl w:val="0"/>
          </w:rPr>
          <w:t xml:space="preserve">https://keycrew.co/journal/the-hidden-costs-sinking-florida-condo-investors-right-now/</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Condo Fees, Reserves, and Special Assessments: A 2026 Due‑Diligence Playbook for South Florida Luxury Buyers | MILLION | Redefine Lifestyle, accessed March 24, 2026, </w:t>
      </w:r>
      <w:hyperlink r:id="rId51">
        <w:r w:rsidDel="00000000" w:rsidR="00000000" w:rsidRPr="00000000">
          <w:rPr>
            <w:rFonts w:ascii="Google Sans" w:cs="Google Sans" w:eastAsia="Google Sans" w:hAnsi="Google Sans"/>
            <w:color w:val="0000ee"/>
            <w:sz w:val="16"/>
            <w:szCs w:val="16"/>
            <w:u w:val="single"/>
            <w:rtl w:val="0"/>
          </w:rPr>
          <w:t xml:space="preserve">https://www.millionluxury.com/news/south-florida-luxury-condo-fees-reserves-special-assessments-due-diligence-2026</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SIRS Requirements (2026): Structural Integrity Reserve Study Compliance Guide, accessed March 24, 2026, </w:t>
      </w:r>
      <w:hyperlink r:id="rId52">
        <w:r w:rsidDel="00000000" w:rsidR="00000000" w:rsidRPr="00000000">
          <w:rPr>
            <w:rFonts w:ascii="Google Sans" w:cs="Google Sans" w:eastAsia="Google Sans" w:hAnsi="Google Sans"/>
            <w:color w:val="0000ee"/>
            <w:sz w:val="16"/>
            <w:szCs w:val="16"/>
            <w:u w:val="single"/>
            <w:rtl w:val="0"/>
          </w:rPr>
          <w:t xml:space="preserve">https://criterium-cromer.com/structural-integrity-reserve-study-florida-2026/</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Statute § 718.112 - Online Sunshine, accessed March 24, 2026, </w:t>
      </w:r>
      <w:hyperlink r:id="rId53">
        <w:r w:rsidDel="00000000" w:rsidR="00000000" w:rsidRPr="00000000">
          <w:rPr>
            <w:rFonts w:ascii="Google Sans" w:cs="Google Sans" w:eastAsia="Google Sans" w:hAnsi="Google Sans"/>
            <w:color w:val="0000ee"/>
            <w:sz w:val="16"/>
            <w:szCs w:val="16"/>
            <w:u w:val="single"/>
            <w:rtl w:val="0"/>
          </w:rPr>
          <w:t xml:space="preserve">https://www.leg.state.fl.us/statutes/index.cfm?App_mode=Display_Statute&amp;URL=0700-0799/0718/Sections/0718.112.html</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condo owners flee market as expenses spiral - Mortgage Professional America, accessed March 24, 2026, </w:t>
      </w:r>
      <w:hyperlink r:id="rId54">
        <w:r w:rsidDel="00000000" w:rsidR="00000000" w:rsidRPr="00000000">
          <w:rPr>
            <w:rFonts w:ascii="Google Sans" w:cs="Google Sans" w:eastAsia="Google Sans" w:hAnsi="Google Sans"/>
            <w:color w:val="0000ee"/>
            <w:sz w:val="16"/>
            <w:szCs w:val="16"/>
            <w:u w:val="single"/>
            <w:rtl w:val="0"/>
          </w:rPr>
          <w:t xml:space="preserve">https://www.mpamag.com/us/mortgage-industry/market-updates/florida-condo-owners-flee-market-as-expenses-spiral/533231</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condo owners will pay more in 2025. Time is running out to sell. | Insights &amp; Events, accessed March 24, 2026, </w:t>
      </w:r>
      <w:hyperlink r:id="rId55">
        <w:r w:rsidDel="00000000" w:rsidR="00000000" w:rsidRPr="00000000">
          <w:rPr>
            <w:rFonts w:ascii="Google Sans" w:cs="Google Sans" w:eastAsia="Google Sans" w:hAnsi="Google Sans"/>
            <w:color w:val="0000ee"/>
            <w:sz w:val="16"/>
            <w:szCs w:val="16"/>
            <w:u w:val="single"/>
            <w:rtl w:val="0"/>
          </w:rPr>
          <w:t xml:space="preserve">https://www.bilzin.com/insights/publications/2025/01/florida-condo-owners-will-pay-more-in-2025</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Condo Prices See Sharpest Drop in 15 Years—as Insurance and HOA Costs Surge, accessed March 24, 2026, </w:t>
      </w:r>
      <w:hyperlink r:id="rId56">
        <w:r w:rsidDel="00000000" w:rsidR="00000000" w:rsidRPr="00000000">
          <w:rPr>
            <w:rFonts w:ascii="Google Sans" w:cs="Google Sans" w:eastAsia="Google Sans" w:hAnsi="Google Sans"/>
            <w:color w:val="0000ee"/>
            <w:sz w:val="16"/>
            <w:szCs w:val="16"/>
            <w:u w:val="single"/>
            <w:rtl w:val="0"/>
          </w:rPr>
          <w:t xml:space="preserve">https://www.realtor.com/news/trends/florida-condo-prices-decline-hoa-insurance/</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The 2025 Fort Lauderdale Condo Market Report - David Siddons Group, accessed March 24, 2026, </w:t>
      </w:r>
      <w:hyperlink r:id="rId57">
        <w:r w:rsidDel="00000000" w:rsidR="00000000" w:rsidRPr="00000000">
          <w:rPr>
            <w:rFonts w:ascii="Google Sans" w:cs="Google Sans" w:eastAsia="Google Sans" w:hAnsi="Google Sans"/>
            <w:color w:val="0000ee"/>
            <w:sz w:val="16"/>
            <w:szCs w:val="16"/>
            <w:u w:val="single"/>
            <w:rtl w:val="0"/>
          </w:rPr>
          <w:t xml:space="preserve">https://luxlifemiamiblog.com/the-2025-fort-lauderdale-condo-market-report-a-midyear-market-overview-for-buyers-sellers/</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11 Hard Truths About the 2025 Miami Luxury Real Estate Market (August 2025 Report)., accessed March 24, 2026, </w:t>
      </w:r>
      <w:hyperlink r:id="rId58">
        <w:r w:rsidDel="00000000" w:rsidR="00000000" w:rsidRPr="00000000">
          <w:rPr>
            <w:rFonts w:ascii="Google Sans" w:cs="Google Sans" w:eastAsia="Google Sans" w:hAnsi="Google Sans"/>
            <w:color w:val="0000ee"/>
            <w:sz w:val="16"/>
            <w:szCs w:val="16"/>
            <w:u w:val="single"/>
            <w:rtl w:val="0"/>
          </w:rPr>
          <w:t xml:space="preserve">https://luxlifemiamiblog.com/11-hard-truths-about-the-2025-miami-luxury-real-estate-market-august-2025-report/</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Time to Pay the Piper: New Mandatory Reserve Requirements for Florida Condominiums, accessed March 24, 2026, </w:t>
      </w:r>
      <w:hyperlink r:id="rId59">
        <w:r w:rsidDel="00000000" w:rsidR="00000000" w:rsidRPr="00000000">
          <w:rPr>
            <w:rFonts w:ascii="Google Sans" w:cs="Google Sans" w:eastAsia="Google Sans" w:hAnsi="Google Sans"/>
            <w:color w:val="0000ee"/>
            <w:sz w:val="16"/>
            <w:szCs w:val="16"/>
            <w:u w:val="single"/>
            <w:rtl w:val="0"/>
          </w:rPr>
          <w:t xml:space="preserve">https://www.bilzin.com/we-think-big/insights/publications/2022/11/new-mandatory-requirements-for-florida-condos</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Homeowners Insurance 2025: Trends &amp; Savings - Florida All Risk Insurance, accessed March 24, 2026, </w:t>
      </w:r>
      <w:hyperlink r:id="rId60">
        <w:r w:rsidDel="00000000" w:rsidR="00000000" w:rsidRPr="00000000">
          <w:rPr>
            <w:rFonts w:ascii="Google Sans" w:cs="Google Sans" w:eastAsia="Google Sans" w:hAnsi="Google Sans"/>
            <w:color w:val="0000ee"/>
            <w:sz w:val="16"/>
            <w:szCs w:val="16"/>
            <w:u w:val="single"/>
            <w:rtl w:val="0"/>
          </w:rPr>
          <w:t xml:space="preserve">https://floridaallrisk.com/florida-homeowners-insurance-2025/</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Home Insurance Costs Show Signs of Stabilizing After Years of Increases, accessed March 24, 2026, </w:t>
      </w:r>
      <w:hyperlink r:id="rId61">
        <w:r w:rsidDel="00000000" w:rsidR="00000000" w:rsidRPr="00000000">
          <w:rPr>
            <w:rFonts w:ascii="Google Sans" w:cs="Google Sans" w:eastAsia="Google Sans" w:hAnsi="Google Sans"/>
            <w:color w:val="0000ee"/>
            <w:sz w:val="16"/>
            <w:szCs w:val="16"/>
            <w:u w:val="single"/>
            <w:rtl w:val="0"/>
          </w:rPr>
          <w:t xml:space="preserve">https://www.jmco.com/articles/real-estate/florida-home-insurance-costs-show-signs-of-stabilizing-after-years-of-increases/</w:t>
        </w:r>
      </w:hyperlink>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CONDOMINIUM AND HOMEOWNERS INSURANCE POLICY RATE ..., accessed March 24, 2026, </w:t>
      </w:r>
      <w:hyperlink r:id="rId62">
        <w:r w:rsidDel="00000000" w:rsidR="00000000" w:rsidRPr="00000000">
          <w:rPr>
            <w:rFonts w:ascii="Google Sans" w:cs="Google Sans" w:eastAsia="Google Sans" w:hAnsi="Google Sans"/>
            <w:color w:val="0000ee"/>
            <w:sz w:val="16"/>
            <w:szCs w:val="16"/>
            <w:u w:val="single"/>
            <w:rtl w:val="0"/>
          </w:rPr>
          <w:t xml:space="preserve">https://metropolitan.fiu.edu/research/_assets/infographics/2025-condominium-and-homeowners-insurance-policy-rate-increases.pdf</w:t>
        </w:r>
      </w:hyperlink>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2026 Florida Condo Insurance Budgeting Outlook, accessed March 24, 2026, </w:t>
      </w:r>
      <w:hyperlink r:id="rId63">
        <w:r w:rsidDel="00000000" w:rsidR="00000000" w:rsidRPr="00000000">
          <w:rPr>
            <w:rFonts w:ascii="Google Sans" w:cs="Google Sans" w:eastAsia="Google Sans" w:hAnsi="Google Sans"/>
            <w:color w:val="0000ee"/>
            <w:sz w:val="16"/>
            <w:szCs w:val="16"/>
            <w:u w:val="single"/>
            <w:rtl w:val="0"/>
          </w:rPr>
          <w:t xml:space="preserve">https://insuranceresourcesllc.com/2026-condo-insurance-budgeting/</w:t>
        </w:r>
      </w:hyperlink>
      <w:r w:rsidDel="00000000" w:rsidR="00000000" w:rsidRPr="00000000">
        <w:rPr>
          <w:rtl w:val="0"/>
        </w:rPr>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Can Florida's crisis-struck condo market turn the corner in 2026? | Mortgage Professional, accessed March 24, 2026, </w:t>
      </w:r>
      <w:hyperlink r:id="rId64">
        <w:r w:rsidDel="00000000" w:rsidR="00000000" w:rsidRPr="00000000">
          <w:rPr>
            <w:rFonts w:ascii="Google Sans" w:cs="Google Sans" w:eastAsia="Google Sans" w:hAnsi="Google Sans"/>
            <w:color w:val="0000ee"/>
            <w:sz w:val="16"/>
            <w:szCs w:val="16"/>
            <w:u w:val="single"/>
            <w:rtl w:val="0"/>
          </w:rPr>
          <w:t xml:space="preserve">https://www.mpamag.com/us/mortgage-industry/industry-trends/can-floridas-crisis-struck-condo-market-turn-the-corner-in-2026/561281</w:t>
        </w:r>
      </w:hyperlink>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Condo Insurance, HOA Fees &amp; Financing (2026) - Jeff Twigg, accessed March 24, 2026, </w:t>
      </w:r>
      <w:hyperlink r:id="rId65">
        <w:r w:rsidDel="00000000" w:rsidR="00000000" w:rsidRPr="00000000">
          <w:rPr>
            <w:rFonts w:ascii="Google Sans" w:cs="Google Sans" w:eastAsia="Google Sans" w:hAnsi="Google Sans"/>
            <w:color w:val="0000ee"/>
            <w:sz w:val="16"/>
            <w:szCs w:val="16"/>
            <w:u w:val="single"/>
            <w:rtl w:val="0"/>
          </w:rPr>
          <w:t xml:space="preserve">https://www.jefftwigghomes.com/why-florida-home-insurance-keeps-rising</w:t>
        </w:r>
      </w:hyperlink>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Baccarat Residences For Sale - Miami Real Estate, accessed March 24, 2026, </w:t>
      </w:r>
      <w:hyperlink r:id="rId66">
        <w:r w:rsidDel="00000000" w:rsidR="00000000" w:rsidRPr="00000000">
          <w:rPr>
            <w:rFonts w:ascii="Google Sans" w:cs="Google Sans" w:eastAsia="Google Sans" w:hAnsi="Google Sans"/>
            <w:color w:val="0000ee"/>
            <w:sz w:val="16"/>
            <w:szCs w:val="16"/>
            <w:u w:val="single"/>
            <w:rtl w:val="0"/>
          </w:rPr>
          <w:t xml:space="preserve">https://www.zfc.com/real-estate/Miami/Baccarat-Residences/</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Baccarat Residences Miami - David Siddons Group, accessed March 24, 2026, </w:t>
      </w:r>
      <w:hyperlink r:id="rId67">
        <w:r w:rsidDel="00000000" w:rsidR="00000000" w:rsidRPr="00000000">
          <w:rPr>
            <w:rFonts w:ascii="Google Sans" w:cs="Google Sans" w:eastAsia="Google Sans" w:hAnsi="Google Sans"/>
            <w:color w:val="0000ee"/>
            <w:sz w:val="16"/>
            <w:szCs w:val="16"/>
            <w:u w:val="single"/>
            <w:rtl w:val="0"/>
          </w:rPr>
          <w:t xml:space="preserve">https://luxlifemiamiblog.com/condos/baccarat-residences-miami/</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Florida Market Surge: Luxury Pending Homes Sales Surpass Non-Luxury Purchases, accessed March 24, 2026, </w:t>
      </w:r>
      <w:hyperlink r:id="rId68">
        <w:r w:rsidDel="00000000" w:rsidR="00000000" w:rsidRPr="00000000">
          <w:rPr>
            <w:rFonts w:ascii="Google Sans" w:cs="Google Sans" w:eastAsia="Google Sans" w:hAnsi="Google Sans"/>
            <w:color w:val="0000ee"/>
            <w:sz w:val="16"/>
            <w:szCs w:val="16"/>
            <w:u w:val="single"/>
            <w:rtl w:val="0"/>
          </w:rPr>
          <w:t xml:space="preserve">https://themortgagepoint.com/2026/03/02/florida-market-surge-luxury-pending-homes-sales-surpass-non-luxury-purchases/</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Rising to New Heights: South Flagler House Tops Out at 28 Stories - Pembrooke &amp; Ives, accessed March 24, 2026, </w:t>
      </w:r>
      <w:hyperlink r:id="rId69">
        <w:r w:rsidDel="00000000" w:rsidR="00000000" w:rsidRPr="00000000">
          <w:rPr>
            <w:rFonts w:ascii="Google Sans" w:cs="Google Sans" w:eastAsia="Google Sans" w:hAnsi="Google Sans"/>
            <w:color w:val="0000ee"/>
            <w:sz w:val="16"/>
            <w:szCs w:val="16"/>
            <w:u w:val="single"/>
            <w:rtl w:val="0"/>
          </w:rPr>
          <w:t xml:space="preserve">https://www.pembrookeandives.com/journal/2025/11/17/rising-to-new-heights-south-flagler-house-tops-out-at-28-stories/</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South Flagler House Condos For Sale in West Palm Beach - ZFC Real Estate, accessed March 24, 2026, </w:t>
      </w:r>
      <w:hyperlink r:id="rId70">
        <w:r w:rsidDel="00000000" w:rsidR="00000000" w:rsidRPr="00000000">
          <w:rPr>
            <w:rFonts w:ascii="Google Sans" w:cs="Google Sans" w:eastAsia="Google Sans" w:hAnsi="Google Sans"/>
            <w:color w:val="0000ee"/>
            <w:sz w:val="16"/>
            <w:szCs w:val="16"/>
            <w:u w:val="single"/>
            <w:rtl w:val="0"/>
          </w:rPr>
          <w:t xml:space="preserve">https://www.zfc.com/real-estate/West-Palm-Beach/South-Flagler-House/</w:t>
        </w:r>
      </w:hyperlink>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Management Comments - Investor Relations | Bank OZK, accessed March 24, 2026, </w:t>
      </w:r>
      <w:hyperlink r:id="rId71">
        <w:r w:rsidDel="00000000" w:rsidR="00000000" w:rsidRPr="00000000">
          <w:rPr>
            <w:rFonts w:ascii="Google Sans" w:cs="Google Sans" w:eastAsia="Google Sans" w:hAnsi="Google Sans"/>
            <w:color w:val="0000ee"/>
            <w:sz w:val="16"/>
            <w:szCs w:val="16"/>
            <w:u w:val="single"/>
            <w:rtl w:val="0"/>
          </w:rPr>
          <w:t xml:space="preserve">https://ir.ozk.com/3Q25_Management_Comments</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Management Comments - Investor Relations | Bank OZK, accessed March 24, 2026, </w:t>
      </w:r>
      <w:hyperlink r:id="rId72">
        <w:r w:rsidDel="00000000" w:rsidR="00000000" w:rsidRPr="00000000">
          <w:rPr>
            <w:rFonts w:ascii="Google Sans" w:cs="Google Sans" w:eastAsia="Google Sans" w:hAnsi="Google Sans"/>
            <w:color w:val="0000ee"/>
            <w:sz w:val="16"/>
            <w:szCs w:val="16"/>
            <w:u w:val="single"/>
            <w:rtl w:val="0"/>
          </w:rPr>
          <w:t xml:space="preserve">https://ir.ozk.com/4Q25_Management_Comments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r.ozk.com/static-files/4e55b057-bd91-45cc-9cee-2b0f7d1467dd" TargetMode="External"/><Relationship Id="rId42" Type="http://schemas.openxmlformats.org/officeDocument/2006/relationships/hyperlink" Target="https://rimkus.com/article/what-sb-4-d-means-for-your-condo-a-closer-look-at-floridas-safety-legislation/" TargetMode="External"/><Relationship Id="rId41" Type="http://schemas.openxmlformats.org/officeDocument/2006/relationships/hyperlink" Target="https://ir.ozk.com/static-files/a5f51aa4-e5d9-408f-89cc-129d41ae5da3" TargetMode="External"/><Relationship Id="rId44" Type="http://schemas.openxmlformats.org/officeDocument/2006/relationships/hyperlink" Target="https://hub.associaonline.com/blog/legal-news-for-condos-2026" TargetMode="External"/><Relationship Id="rId43" Type="http://schemas.openxmlformats.org/officeDocument/2006/relationships/hyperlink" Target="https://managecasa.com/articles/florida-2025-condo-law-funding-milestone-inspections-reserves" TargetMode="External"/><Relationship Id="rId46" Type="http://schemas.openxmlformats.org/officeDocument/2006/relationships/hyperlink" Target="https://www.propfusion.com/law-guide/florida-sirs-requirements" TargetMode="External"/><Relationship Id="rId45" Type="http://schemas.openxmlformats.org/officeDocument/2006/relationships/hyperlink" Target="https://fpat.com/reserve-study-cost-florid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vanandmike.com/press/miami-ultra-luxury-real-estate-2026/" TargetMode="External"/><Relationship Id="rId48" Type="http://schemas.openxmlformats.org/officeDocument/2006/relationships/hyperlink" Target="https://buildingmavens.com/blog/structural-integrity-reserve-study-at-developer-turnover/" TargetMode="External"/><Relationship Id="rId47" Type="http://schemas.openxmlformats.org/officeDocument/2006/relationships/hyperlink" Target="https://flengineeringllc.com/structural-integrity-reserve-study-florida/" TargetMode="External"/><Relationship Id="rId49" Type="http://schemas.openxmlformats.org/officeDocument/2006/relationships/hyperlink" Target="https://condos.myfloridalicense.com/faq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millionluxury.com/news/south-florida-luxury-real-estate-market-september-2025-report" TargetMode="External"/><Relationship Id="rId72" Type="http://schemas.openxmlformats.org/officeDocument/2006/relationships/hyperlink" Target="https://ir.ozk.com/4Q25_Management_Comments" TargetMode="External"/><Relationship Id="rId31" Type="http://schemas.openxmlformats.org/officeDocument/2006/relationships/hyperlink" Target="https://www.floridatimeline.org/timeline/2008-housing-collapse-and-discontinuation-of-housing-development/" TargetMode="External"/><Relationship Id="rId30" Type="http://schemas.openxmlformats.org/officeDocument/2006/relationships/hyperlink" Target="https://floridarealestate.law/condominium-purchasers-cancellation-right-under-florida-statute-section-718-503/" TargetMode="External"/><Relationship Id="rId33" Type="http://schemas.openxmlformats.org/officeDocument/2006/relationships/hyperlink" Target="https://graystoneig.com/articles/florida-housing-market-2025-vs-2008-inventory-surge-or-crash-a-guide-for-investors" TargetMode="External"/><Relationship Id="rId32" Type="http://schemas.openxmlformats.org/officeDocument/2006/relationships/hyperlink" Target="https://www.multifamilyexecutive.com/business-finance/business-trends/miami-area-properties-fall-43-in-2008_o" TargetMode="External"/><Relationship Id="rId35" Type="http://schemas.openxmlformats.org/officeDocument/2006/relationships/hyperlink" Target="https://www.condoblackbook.com/blog/q4-2025-and-annual-miami-luxury-condo-market-summary-record-annual-prices-yet-buyer-s-market-stays" TargetMode="External"/><Relationship Id="rId34" Type="http://schemas.openxmlformats.org/officeDocument/2006/relationships/hyperlink" Target="https://www.jdsupra.com/legalnews/miami-dade-housing-inventory-significant-37186/" TargetMode="External"/><Relationship Id="rId71" Type="http://schemas.openxmlformats.org/officeDocument/2006/relationships/hyperlink" Target="https://ir.ozk.com/3Q25_Management_Comments" TargetMode="External"/><Relationship Id="rId70" Type="http://schemas.openxmlformats.org/officeDocument/2006/relationships/hyperlink" Target="https://www.zfc.com/real-estate/West-Palm-Beach/South-Flagler-House/" TargetMode="External"/><Relationship Id="rId37" Type="http://schemas.openxmlformats.org/officeDocument/2006/relationships/hyperlink" Target="https://www.millionluxury.com/news/south-florida-ultra-luxury-real-estate-2026" TargetMode="External"/><Relationship Id="rId36" Type="http://schemas.openxmlformats.org/officeDocument/2006/relationships/hyperlink" Target="https://www.condoblackbook.com/blog/watch-our-2026-luxury-condo-market-video-there-s-a-change-coming" TargetMode="External"/><Relationship Id="rId39" Type="http://schemas.openxmlformats.org/officeDocument/2006/relationships/hyperlink" Target="https://www.millionluxury.com/news/miami-pre-construction-deposit-structures" TargetMode="External"/><Relationship Id="rId38" Type="http://schemas.openxmlformats.org/officeDocument/2006/relationships/hyperlink" Target="https://www.listingswithkris.com/blog/the-2026-florida-real-estate-great-rebalancing-what-buyers-and-sellers-need-to-know-this-january/" TargetMode="External"/><Relationship Id="rId62" Type="http://schemas.openxmlformats.org/officeDocument/2006/relationships/hyperlink" Target="https://metropolitan.fiu.edu/research/_assets/infographics/2025-condominium-and-homeowners-insurance-policy-rate-increases.pdf" TargetMode="External"/><Relationship Id="rId61" Type="http://schemas.openxmlformats.org/officeDocument/2006/relationships/hyperlink" Target="https://www.jmco.com/articles/real-estate/florida-home-insurance-costs-show-signs-of-stabilizing-after-years-of-increases/" TargetMode="External"/><Relationship Id="rId20" Type="http://schemas.openxmlformats.org/officeDocument/2006/relationships/hyperlink" Target="https://theritzcarltonresidencespompanobeach.com/blog/ritz-carlton-residences-pompano-beach-construction-update-and-project-details" TargetMode="External"/><Relationship Id="rId64" Type="http://schemas.openxmlformats.org/officeDocument/2006/relationships/hyperlink" Target="https://www.mpamag.com/us/mortgage-industry/industry-trends/can-floridas-crisis-struck-condo-market-turn-the-corner-in-2026/561281" TargetMode="External"/><Relationship Id="rId63" Type="http://schemas.openxmlformats.org/officeDocument/2006/relationships/hyperlink" Target="https://insuranceresourcesllc.com/2026-condo-insurance-budgeting/" TargetMode="External"/><Relationship Id="rId22" Type="http://schemas.openxmlformats.org/officeDocument/2006/relationships/hyperlink" Target="https://traded.co/deals/florida/development-site/loan/1355-south-flagler-drive-3/" TargetMode="External"/><Relationship Id="rId66" Type="http://schemas.openxmlformats.org/officeDocument/2006/relationships/hyperlink" Target="https://www.zfc.com/real-estate/Miami/Baccarat-Residences/" TargetMode="External"/><Relationship Id="rId21" Type="http://schemas.openxmlformats.org/officeDocument/2006/relationships/hyperlink" Target="https://thewynwoodplaza.com/news/construction-wraps-up-on-wynwood-plaza-in-miamis-wynwood-arts-district/" TargetMode="External"/><Relationship Id="rId65" Type="http://schemas.openxmlformats.org/officeDocument/2006/relationships/hyperlink" Target="https://www.jefftwigghomes.com/why-florida-home-insurance-keeps-rising" TargetMode="External"/><Relationship Id="rId24" Type="http://schemas.openxmlformats.org/officeDocument/2006/relationships/hyperlink" Target="https://blog.condosglobal.com/how-deposit-structures-work-for-pre-construction-condos/" TargetMode="External"/><Relationship Id="rId68" Type="http://schemas.openxmlformats.org/officeDocument/2006/relationships/hyperlink" Target="https://themortgagepoint.com/2026/03/02/florida-market-surge-luxury-pending-homes-sales-surpass-non-luxury-purchases/" TargetMode="External"/><Relationship Id="rId23" Type="http://schemas.openxmlformats.org/officeDocument/2006/relationships/hyperlink" Target="https://www.millionluxury.com/news/miami-pre-construction-deposit-structure" TargetMode="External"/><Relationship Id="rId67" Type="http://schemas.openxmlformats.org/officeDocument/2006/relationships/hyperlink" Target="https://luxlifemiamiblog.com/condos/baccarat-residences-miami/" TargetMode="External"/><Relationship Id="rId60" Type="http://schemas.openxmlformats.org/officeDocument/2006/relationships/hyperlink" Target="https://floridaallrisk.com/florida-homeowners-insurance-2025/" TargetMode="External"/><Relationship Id="rId26" Type="http://schemas.openxmlformats.org/officeDocument/2006/relationships/hyperlink" Target="https://elespacio23.org/wp-content/uploads/2026/01/FT.JMP_.Dec_.2023-2.pdf" TargetMode="External"/><Relationship Id="rId25" Type="http://schemas.openxmlformats.org/officeDocument/2006/relationships/hyperlink" Target="https://www.multihousingnews.com/the-financial-crisis-anniversary-how-miamis-condo-market-survived/" TargetMode="External"/><Relationship Id="rId69" Type="http://schemas.openxmlformats.org/officeDocument/2006/relationships/hyperlink" Target="https://www.pembrookeandives.com/journal/2025/11/17/rising-to-new-heights-south-flagler-house-tops-out-at-28-stories/" TargetMode="External"/><Relationship Id="rId28" Type="http://schemas.openxmlformats.org/officeDocument/2006/relationships/hyperlink" Target="https://www.flsenate.gov/Laws/Statutes/2025/0718.503" TargetMode="External"/><Relationship Id="rId27" Type="http://schemas.openxmlformats.org/officeDocument/2006/relationships/hyperlink" Target="https://www.millionluxury.com/news/best-timing-to-buy-pre-construction-units-in-miami" TargetMode="External"/><Relationship Id="rId29" Type="http://schemas.openxmlformats.org/officeDocument/2006/relationships/hyperlink" Target="https://www.southfloridalawpllc.com/2025/11/15/preconstruction-real-estate-contract/" TargetMode="External"/><Relationship Id="rId51" Type="http://schemas.openxmlformats.org/officeDocument/2006/relationships/hyperlink" Target="https://www.millionluxury.com/news/south-florida-luxury-condo-fees-reserves-special-assessments-due-diligence-2026" TargetMode="External"/><Relationship Id="rId50" Type="http://schemas.openxmlformats.org/officeDocument/2006/relationships/hyperlink" Target="https://keycrew.co/journal/the-hidden-costs-sinking-florida-condo-investors-right-now/" TargetMode="External"/><Relationship Id="rId53" Type="http://schemas.openxmlformats.org/officeDocument/2006/relationships/hyperlink" Target="https://www.leg.state.fl.us/statutes/index.cfm?App_mode=Display_Statute&amp;URL=0700-0799/0718/Sections/0718.112.html" TargetMode="External"/><Relationship Id="rId52" Type="http://schemas.openxmlformats.org/officeDocument/2006/relationships/hyperlink" Target="https://criterium-cromer.com/structural-integrity-reserve-study-florida-2026/" TargetMode="External"/><Relationship Id="rId11" Type="http://schemas.openxmlformats.org/officeDocument/2006/relationships/hyperlink" Target="https://ir.ozk.com/news-releases/news-release-details/bank-ozk-announces-fourth-quarter-and-full-year-2025-earnings/" TargetMode="External"/><Relationship Id="rId55" Type="http://schemas.openxmlformats.org/officeDocument/2006/relationships/hyperlink" Target="https://www.bilzin.com/insights/publications/2025/01/florida-condo-owners-will-pay-more-in-2025" TargetMode="External"/><Relationship Id="rId10" Type="http://schemas.openxmlformats.org/officeDocument/2006/relationships/hyperlink" Target="https://www.relatedross.com/press-releases/2025-06-11/related-ross-secures-600-million-construction-loan-south-flagler-house" TargetMode="External"/><Relationship Id="rId54" Type="http://schemas.openxmlformats.org/officeDocument/2006/relationships/hyperlink" Target="https://www.mpamag.com/us/mortgage-industry/market-updates/florida-condo-owners-flee-market-as-expenses-spiral/533231" TargetMode="External"/><Relationship Id="rId13" Type="http://schemas.openxmlformats.org/officeDocument/2006/relationships/hyperlink" Target="https://www.fool.com/earnings/call-transcripts/2026/01/22/bank-ozk-ozk-q4-2025-earnings-call-transcript/" TargetMode="External"/><Relationship Id="rId57" Type="http://schemas.openxmlformats.org/officeDocument/2006/relationships/hyperlink" Target="https://luxlifemiamiblog.com/the-2025-fort-lauderdale-condo-market-report-a-midyear-market-overview-for-buyers-sellers/" TargetMode="External"/><Relationship Id="rId12" Type="http://schemas.openxmlformats.org/officeDocument/2006/relationships/hyperlink" Target="https://www.stocktitan.net/news/OZK/bank-ozk-announces-fourth-quarter-and-full-year-2025-eoo1l1ahjxnu.html" TargetMode="External"/><Relationship Id="rId56" Type="http://schemas.openxmlformats.org/officeDocument/2006/relationships/hyperlink" Target="https://www.realtor.com/news/trends/florida-condo-prices-decline-hoa-insurance/" TargetMode="External"/><Relationship Id="rId15" Type="http://schemas.openxmlformats.org/officeDocument/2006/relationships/hyperlink" Target="https://floridayimby.com/2025/12/waldorf-astoria-hotel-residences-miami-reaches-construction-milestone-as-superstructure-passes-the-50th-floor.html" TargetMode="External"/><Relationship Id="rId59" Type="http://schemas.openxmlformats.org/officeDocument/2006/relationships/hyperlink" Target="https://www.bilzin.com/we-think-big/insights/publications/2022/11/new-mandatory-requirements-for-florida-condos" TargetMode="External"/><Relationship Id="rId14" Type="http://schemas.openxmlformats.org/officeDocument/2006/relationships/hyperlink" Target="https://profilemiamire.com/miamirealestate/tag/Bank+OZK" TargetMode="External"/><Relationship Id="rId58" Type="http://schemas.openxmlformats.org/officeDocument/2006/relationships/hyperlink" Target="https://luxlifemiamiblog.com/11-hard-truths-about-the-2025-miami-luxury-real-estate-market-august-2025-report/" TargetMode="External"/><Relationship Id="rId17" Type="http://schemas.openxmlformats.org/officeDocument/2006/relationships/hyperlink" Target="https://baccarat-brickell.com/" TargetMode="External"/><Relationship Id="rId16" Type="http://schemas.openxmlformats.org/officeDocument/2006/relationships/hyperlink" Target="https://floridayimby.com/2026/02/waldorf-astoria-hotel-residences-miami-advances-into-sixth-cube-as-construction-passes-60-floors.html" TargetMode="External"/><Relationship Id="rId19" Type="http://schemas.openxmlformats.org/officeDocument/2006/relationships/hyperlink" Target="https://traded.co/blog/related-ross-south-flagler-house-tops-out-in-west-palm-beach-with-delivery-slated-for-2027/" TargetMode="External"/><Relationship Id="rId18" Type="http://schemas.openxmlformats.org/officeDocument/2006/relationships/hyperlink" Target="https://floridayimby.com/2026/03/baccarat-residences-miami-continues-vertical-ascent-towards-75-story-apex-in-brickell.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