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1d0a2d5fcd4ed411cccbc3d0ffc791e98b99f48"/>
    <w:p>
      <w:pPr>
        <w:pStyle w:val="Heading1"/>
      </w:pPr>
      <w:r>
        <w:t xml:space="preserve">CRE‑heavy regional banks – Q4 2025 comparison</w:t>
      </w:r>
    </w:p>
    <w:bookmarkStart w:id="23" w:name="background"/>
    <w:p>
      <w:pPr>
        <w:pStyle w:val="Heading3"/>
      </w:pPr>
      <w:r>
        <w:t xml:space="preserve">Background</w:t>
      </w:r>
    </w:p>
    <w:p>
      <w:pPr>
        <w:pStyle w:val="FirstParagraph"/>
      </w:pPr>
      <w:r>
        <w:t xml:space="preserve">Commercial‑real‑estate (CRE) concentrations are scrutinised by U.S. bank regulators. The Federal Financial Institutions Examination Council (FFIEC) defines a</w:t>
      </w:r>
      <w:r>
        <w:t xml:space="preserve"> </w:t>
      </w:r>
      <w:r>
        <w:rPr>
          <w:b/>
          <w:bCs/>
        </w:rPr>
        <w:t xml:space="preserve">CRE concentration</w:t>
      </w:r>
      <w:r>
        <w:t xml:space="preserve"> </w:t>
      </w:r>
      <w:r>
        <w:t xml:space="preserve">as the ratio of CRE loans to total risk‑based capital; this includes construction and land development loans, multifamily residential loans and non‑farm‑non‑residential loans</w:t>
      </w:r>
      <w:hyperlink r:id="rId21">
        <w:r>
          <w:rPr>
            <w:rStyle w:val="Hyperlink"/>
          </w:rPr>
          <w:t xml:space="preserve">[1]</w:t>
        </w:r>
      </w:hyperlink>
      <w:r>
        <w:t xml:space="preserve">. A related metric is the</w:t>
      </w:r>
      <w:r>
        <w:t xml:space="preserve"> </w:t>
      </w:r>
      <w:r>
        <w:rPr>
          <w:b/>
          <w:bCs/>
        </w:rPr>
        <w:t xml:space="preserve">construction &amp; development (C&amp;D) ratio</w:t>
      </w:r>
      <w:r>
        <w:t xml:space="preserve">, defined as construction and land development loans divided by total risk‑based capital</w:t>
      </w:r>
      <w:hyperlink r:id="rId22">
        <w:r>
          <w:rPr>
            <w:rStyle w:val="Hyperlink"/>
          </w:rPr>
          <w:t xml:space="preserve">[2]</w:t>
        </w:r>
      </w:hyperlink>
      <w:r>
        <w:t xml:space="preserve">. Regulators expect banks with total CRE concentrations above 300 % or C&amp;D concentrations above 100 % to have commensurate risk management.</w:t>
      </w:r>
    </w:p>
    <w:p>
      <w:pPr>
        <w:pStyle w:val="BodyText"/>
      </w:pPr>
      <w:r>
        <w:t xml:space="preserve">For some banks the most recent (Q4 2025) earnings presentations disclosed their risk‑based capital ratios and asset quality metrics but</w:t>
      </w:r>
      <w:r>
        <w:t xml:space="preserve"> </w:t>
      </w:r>
      <w:r>
        <w:rPr>
          <w:b/>
          <w:bCs/>
        </w:rPr>
        <w:t xml:space="preserve">did not publish the CRE and C&amp;D ratios</w:t>
      </w:r>
      <w:r>
        <w:t xml:space="preserve">. In those cases, independent data from call‑report analysts (e.g., Trepp) or earlier regulatory filings were used. The table below summarises the available data for several CRE‑heavy regional banks. Where Q4 2025 data were unavailable, the most recent disclosed ratio is noted.</w:t>
      </w:r>
    </w:p>
    <w:bookmarkEnd w:id="23"/>
    <w:bookmarkStart w:id="36" w:name="comparison-table-q4-2025"/>
    <w:p>
      <w:pPr>
        <w:pStyle w:val="Heading2"/>
      </w:pPr>
      <w:r>
        <w:t xml:space="preserve">Comparison table (Q4 2025)</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Bank</w:t>
            </w:r>
          </w:p>
        </w:tc>
        <w:tc>
          <w:tcPr/>
          <w:p>
            <w:pPr>
              <w:pStyle w:val="Compact"/>
            </w:pPr>
            <w:r>
              <w:t xml:space="preserve">Total CRE / risk‑based capital (latest disclosed)</w:t>
            </w:r>
          </w:p>
        </w:tc>
        <w:tc>
          <w:tcPr/>
          <w:p>
            <w:pPr>
              <w:pStyle w:val="Compact"/>
            </w:pPr>
            <w:r>
              <w:t xml:space="preserve">C&amp;D / risk‑based capital</w:t>
            </w:r>
          </w:p>
        </w:tc>
        <w:tc>
          <w:tcPr/>
          <w:p>
            <w:pPr>
              <w:pStyle w:val="Compact"/>
            </w:pPr>
            <w:r>
              <w:t xml:space="preserve">Allowance for credit losses (ACL) as % of loans (Q4 2025)</w:t>
            </w:r>
          </w:p>
        </w:tc>
        <w:tc>
          <w:tcPr/>
          <w:p>
            <w:pPr>
              <w:pStyle w:val="Compact"/>
            </w:pPr>
            <w:r>
              <w:t xml:space="preserve">Net charge‑off (NCO) rate (annualised)</w:t>
            </w:r>
          </w:p>
        </w:tc>
        <w:tc>
          <w:tcPr/>
          <w:p>
            <w:pPr>
              <w:pStyle w:val="Compact"/>
            </w:pPr>
            <w:r>
              <w:t xml:space="preserve">Non‑current loan ratio</w:t>
            </w:r>
          </w:p>
        </w:tc>
        <w:tc>
          <w:tcPr/>
          <w:p>
            <w:pPr>
              <w:pStyle w:val="Compact"/>
            </w:pPr>
            <w:r>
              <w:t xml:space="preserve">ACL / Non‑current coverage ratio</w:t>
            </w:r>
          </w:p>
        </w:tc>
        <w:tc>
          <w:tcPr/>
          <w:p>
            <w:pPr>
              <w:pStyle w:val="Compact"/>
            </w:pPr>
            <w:r>
              <w:t xml:space="preserve">Notes</w:t>
            </w:r>
          </w:p>
        </w:tc>
      </w:tr>
      <w:tr>
        <w:tc>
          <w:tcPr/>
          <w:p>
            <w:pPr>
              <w:pStyle w:val="Compact"/>
            </w:pPr>
            <w:r>
              <w:rPr>
                <w:b/>
                <w:bCs/>
              </w:rPr>
              <w:t xml:space="preserve">Bank OZK</w:t>
            </w:r>
            <w:r>
              <w:t xml:space="preserve"> </w:t>
            </w:r>
            <w:r>
              <w:t xml:space="preserve">(OZK)</w:t>
            </w:r>
          </w:p>
        </w:tc>
        <w:tc>
          <w:tcPr/>
          <w:p>
            <w:pPr>
              <w:pStyle w:val="Compact"/>
            </w:pPr>
            <w:r>
              <w:rPr>
                <w:b/>
                <w:bCs/>
              </w:rPr>
              <w:t xml:space="preserve">≈345 %</w:t>
            </w:r>
            <w:r>
              <w:t xml:space="preserve"> </w:t>
            </w:r>
            <w:r>
              <w:t xml:space="preserve">(latest publicly available figure from Reuters for Q3 2023). Bank OZK specialises in large real‑estate lending; its CRE concentration historically far exceeds regulatory thresholds. Management’s Q4 2025 financial supplement does not provide the CRE/RBC ratio, but earlier data show total CRE loans equal to ~3.45× total risk‑based capital</w:t>
            </w:r>
            <w:hyperlink r:id="rId24">
              <w:r>
                <w:rPr>
                  <w:rStyle w:val="Hyperlink"/>
                </w:rPr>
                <w:t xml:space="preserve">[3]</w:t>
              </w:r>
            </w:hyperlink>
            <w:r>
              <w:t xml:space="preserve">, suggesting the bank remains an outlier.</w:t>
            </w:r>
          </w:p>
        </w:tc>
        <w:tc>
          <w:tcPr/>
          <w:p>
            <w:pPr>
              <w:pStyle w:val="Compact"/>
            </w:pPr>
            <w:r>
              <w:t xml:space="preserve">Not disclosed; earlier data showed C&amp;D loans equal to ~200 % of risk‑based capital</w:t>
            </w:r>
            <w:hyperlink r:id="rId24">
              <w:r>
                <w:rPr>
                  <w:rStyle w:val="Hyperlink"/>
                </w:rPr>
                <w:t xml:space="preserve">[3]</w:t>
              </w:r>
            </w:hyperlink>
            <w:r>
              <w:t xml:space="preserve">.</w:t>
            </w:r>
          </w:p>
        </w:tc>
        <w:tc>
          <w:tcPr/>
          <w:p>
            <w:pPr>
              <w:pStyle w:val="Compact"/>
            </w:pPr>
            <w:r>
              <w:t xml:space="preserve">The Q4 2025 financial supplement reports that the allowance for credit losses (ACL) to loans and unfunded commitments was</w:t>
            </w:r>
            <w:r>
              <w:t xml:space="preserve"> </w:t>
            </w:r>
            <w:r>
              <w:rPr>
                <w:b/>
                <w:bCs/>
              </w:rPr>
              <w:t xml:space="preserve">1.26 %</w:t>
            </w:r>
            <w:hyperlink r:id="rId25">
              <w:r>
                <w:rPr>
                  <w:rStyle w:val="Hyperlink"/>
                </w:rPr>
                <w:t xml:space="preserve">[4]</w:t>
              </w:r>
            </w:hyperlink>
            <w:r>
              <w:t xml:space="preserve">.</w:t>
            </w:r>
          </w:p>
        </w:tc>
        <w:tc>
          <w:tcPr/>
          <w:p>
            <w:pPr>
              <w:pStyle w:val="Compact"/>
            </w:pPr>
            <w:r>
              <w:t xml:space="preserve">Full‑year 2025 net charge‑offs were</w:t>
            </w:r>
            <w:r>
              <w:t xml:space="preserve"> </w:t>
            </w:r>
            <w:r>
              <w:rPr>
                <w:b/>
                <w:bCs/>
              </w:rPr>
              <w:t xml:space="preserve">0.50 %</w:t>
            </w:r>
            <w:r>
              <w:t xml:space="preserve"> </w:t>
            </w:r>
            <w:r>
              <w:t xml:space="preserve">of average loans</w:t>
            </w:r>
            <w:hyperlink r:id="rId25">
              <w:r>
                <w:rPr>
                  <w:rStyle w:val="Hyperlink"/>
                </w:rPr>
                <w:t xml:space="preserve">[4]</w:t>
              </w:r>
            </w:hyperlink>
            <w:r>
              <w:t xml:space="preserve">.</w:t>
            </w:r>
          </w:p>
        </w:tc>
        <w:tc>
          <w:tcPr/>
          <w:p>
            <w:pPr>
              <w:pStyle w:val="Compact"/>
            </w:pPr>
            <w:r>
              <w:t xml:space="preserve">Non‑performing loans were</w:t>
            </w:r>
            <w:r>
              <w:t xml:space="preserve"> </w:t>
            </w:r>
            <w:r>
              <w:rPr>
                <w:b/>
                <w:bCs/>
              </w:rPr>
              <w:t xml:space="preserve">1.06 %</w:t>
            </w:r>
            <w:r>
              <w:t xml:space="preserve"> </w:t>
            </w:r>
            <w:r>
              <w:t xml:space="preserve">of total loans</w:t>
            </w:r>
            <w:hyperlink r:id="rId25">
              <w:r>
                <w:rPr>
                  <w:rStyle w:val="Hyperlink"/>
                </w:rPr>
                <w:t xml:space="preserve">[4]</w:t>
              </w:r>
            </w:hyperlink>
            <w:r>
              <w:t xml:space="preserve">.</w:t>
            </w:r>
          </w:p>
        </w:tc>
        <w:tc>
          <w:tcPr/>
          <w:p>
            <w:pPr>
              <w:pStyle w:val="Compact"/>
            </w:pPr>
            <w:r>
              <w:t xml:space="preserve">The ACL to non‑current coverage ratio (ACL divided by non‑performing loans) equalled</w:t>
            </w:r>
            <w:r>
              <w:t xml:space="preserve"> </w:t>
            </w:r>
            <w:r>
              <w:rPr>
                <w:b/>
                <w:bCs/>
              </w:rPr>
              <w:t xml:space="preserve">~119 %</w:t>
            </w:r>
            <w:r>
              <w:t xml:space="preserve"> </w:t>
            </w:r>
            <w:r>
              <w:t xml:space="preserve">(computed from ACL ratio 1.26 % / NPL ratio 1.06 %).</w:t>
            </w:r>
          </w:p>
        </w:tc>
        <w:tc>
          <w:tcPr/>
          <w:p>
            <w:pPr>
              <w:pStyle w:val="Compact"/>
            </w:pPr>
            <w:r>
              <w:t xml:space="preserve">OZK remains the most CRE‑concentrated regional bank. While asset quality metrics improved in 2025, its CRE exposure is well above the 300 % guideline.</w:t>
            </w:r>
          </w:p>
        </w:tc>
      </w:tr>
      <w:tr>
        <w:tc>
          <w:tcPr/>
          <w:p>
            <w:pPr>
              <w:pStyle w:val="Compact"/>
            </w:pPr>
            <w:r>
              <w:rPr>
                <w:b/>
                <w:bCs/>
              </w:rPr>
              <w:t xml:space="preserve">F.N.B. Corporation</w:t>
            </w:r>
            <w:r>
              <w:t xml:space="preserve"> </w:t>
            </w:r>
            <w:r>
              <w:t xml:space="preserve">(FNB)</w:t>
            </w:r>
          </w:p>
        </w:tc>
        <w:tc>
          <w:tcPr/>
          <w:p>
            <w:pPr>
              <w:pStyle w:val="Compact"/>
            </w:pPr>
            <w:r>
              <w:rPr>
                <w:b/>
                <w:bCs/>
              </w:rPr>
              <w:t xml:space="preserve">≈197 %</w:t>
            </w:r>
            <w:r>
              <w:t xml:space="preserve"> </w:t>
            </w:r>
            <w:r>
              <w:t xml:space="preserve">of risk‑based capital. During the Q4 2025 earnings call, management highlighted that the bank</w:t>
            </w:r>
            <w:r>
              <w:t xml:space="preserve"> </w:t>
            </w:r>
            <w:r>
              <w:rPr>
                <w:b/>
                <w:bCs/>
              </w:rPr>
              <w:t xml:space="preserve">“decreased CRE concentration to 197 % of capital”</w:t>
            </w:r>
            <w:hyperlink r:id="rId26">
              <w:r>
                <w:rPr>
                  <w:rStyle w:val="Hyperlink"/>
                </w:rPr>
                <w:t xml:space="preserve">[5]</w:t>
              </w:r>
            </w:hyperlink>
            <w:hyperlink r:id="rId27">
              <w:r>
                <w:rPr>
                  <w:rStyle w:val="Hyperlink"/>
                </w:rPr>
                <w:t xml:space="preserve">[6]</w:t>
              </w:r>
            </w:hyperlink>
            <w:r>
              <w:t xml:space="preserve">.</w:t>
            </w:r>
          </w:p>
        </w:tc>
        <w:tc>
          <w:tcPr/>
          <w:p>
            <w:pPr>
              <w:pStyle w:val="Compact"/>
            </w:pPr>
            <w:r>
              <w:t xml:space="preserve">Not disclosed.</w:t>
            </w:r>
          </w:p>
        </w:tc>
        <w:tc>
          <w:tcPr/>
          <w:p>
            <w:pPr>
              <w:pStyle w:val="Compact"/>
            </w:pPr>
            <w:r>
              <w:t xml:space="preserve">The Q4 2025 press release shows an ACL of</w:t>
            </w:r>
            <w:r>
              <w:t xml:space="preserve"> </w:t>
            </w:r>
            <w:r>
              <w:rPr>
                <w:b/>
                <w:bCs/>
              </w:rPr>
              <w:t xml:space="preserve">1.26 %</w:t>
            </w:r>
            <w:r>
              <w:t xml:space="preserve"> </w:t>
            </w:r>
            <w:r>
              <w:t xml:space="preserve">of total loans and leases</w:t>
            </w:r>
            <w:hyperlink r:id="rId28">
              <w:r>
                <w:rPr>
                  <w:rStyle w:val="Hyperlink"/>
                </w:rPr>
                <w:t xml:space="preserve">[7]</w:t>
              </w:r>
            </w:hyperlink>
            <w:r>
              <w:t xml:space="preserve">.</w:t>
            </w:r>
          </w:p>
        </w:tc>
        <w:tc>
          <w:tcPr/>
          <w:p>
            <w:pPr>
              <w:pStyle w:val="Compact"/>
            </w:pPr>
            <w:r>
              <w:t xml:space="preserve">Net charge‑offs were</w:t>
            </w:r>
            <w:r>
              <w:t xml:space="preserve"> </w:t>
            </w:r>
            <w:r>
              <w:rPr>
                <w:b/>
                <w:bCs/>
              </w:rPr>
              <w:t xml:space="preserve">0.19 %</w:t>
            </w:r>
            <w:r>
              <w:t xml:space="preserve"> </w:t>
            </w:r>
            <w:r>
              <w:t xml:space="preserve">of average loans</w:t>
            </w:r>
            <w:hyperlink r:id="rId29">
              <w:r>
                <w:rPr>
                  <w:rStyle w:val="Hyperlink"/>
                </w:rPr>
                <w:t xml:space="preserve">[8]</w:t>
              </w:r>
            </w:hyperlink>
            <w:r>
              <w:t xml:space="preserve">.</w:t>
            </w:r>
          </w:p>
        </w:tc>
        <w:tc>
          <w:tcPr/>
          <w:p>
            <w:pPr>
              <w:pStyle w:val="Compact"/>
            </w:pPr>
            <w:r>
              <w:t xml:space="preserve">Non‑performing loans plus other real estate owned (OREO) were</w:t>
            </w:r>
            <w:r>
              <w:t xml:space="preserve"> </w:t>
            </w:r>
            <w:r>
              <w:rPr>
                <w:b/>
                <w:bCs/>
              </w:rPr>
              <w:t xml:space="preserve">0.31 %</w:t>
            </w:r>
            <w:r>
              <w:t xml:space="preserve"> </w:t>
            </w:r>
            <w:r>
              <w:t xml:space="preserve">of total loans and OREO</w:t>
            </w:r>
            <w:hyperlink r:id="rId30">
              <w:r>
                <w:rPr>
                  <w:rStyle w:val="Hyperlink"/>
                </w:rPr>
                <w:t xml:space="preserve">[9]</w:t>
              </w:r>
            </w:hyperlink>
            <w:r>
              <w:t xml:space="preserve">.</w:t>
            </w:r>
          </w:p>
        </w:tc>
        <w:tc>
          <w:tcPr/>
          <w:p>
            <w:pPr>
              <w:pStyle w:val="Compact"/>
            </w:pPr>
            <w:r>
              <w:t xml:space="preserve">The ACL/Non‑current coverage ratio is</w:t>
            </w:r>
            <w:r>
              <w:t xml:space="preserve"> </w:t>
            </w:r>
            <w:r>
              <w:rPr>
                <w:b/>
                <w:bCs/>
              </w:rPr>
              <w:t xml:space="preserve">≈406 %</w:t>
            </w:r>
            <w:r>
              <w:t xml:space="preserve"> </w:t>
            </w:r>
            <w:r>
              <w:t xml:space="preserve">(1.26 % / 0.31 %).</w:t>
            </w:r>
          </w:p>
        </w:tc>
        <w:tc>
          <w:tcPr/>
          <w:p>
            <w:pPr>
              <w:pStyle w:val="Compact"/>
            </w:pPr>
            <w:r>
              <w:t xml:space="preserve">FNB’s CRE exposure is high but below the regulatory 300 % threshold. Asset quality metrics remain solid with low NCO and non‑current ratios.</w:t>
            </w:r>
          </w:p>
        </w:tc>
      </w:tr>
      <w:tr>
        <w:tc>
          <w:tcPr/>
          <w:p>
            <w:pPr>
              <w:pStyle w:val="Compact"/>
            </w:pPr>
            <w:r>
              <w:rPr>
                <w:b/>
                <w:bCs/>
              </w:rPr>
              <w:t xml:space="preserve">Western Alliance Bancorp</w:t>
            </w:r>
            <w:r>
              <w:t xml:space="preserve"> </w:t>
            </w:r>
            <w:r>
              <w:t xml:space="preserve">(WAL)</w:t>
            </w:r>
          </w:p>
        </w:tc>
        <w:tc>
          <w:tcPr/>
          <w:p>
            <w:pPr>
              <w:pStyle w:val="Compact"/>
            </w:pPr>
            <w:r>
              <w:t xml:space="preserve">Latest investor materials do not disclose CRE or C&amp;D ratios. Analysts in 2023 reported CRE concentration around ~200 % of risk‑based capital, but Q4 2025 data were not provided.</w:t>
            </w:r>
          </w:p>
        </w:tc>
        <w:tc>
          <w:tcPr/>
          <w:p>
            <w:pPr>
              <w:pStyle w:val="Compact"/>
            </w:pPr>
            <w:r>
              <w:t xml:space="preserve">Not disclosed.</w:t>
            </w:r>
          </w:p>
        </w:tc>
        <w:tc>
          <w:tcPr/>
          <w:p>
            <w:pPr>
              <w:pStyle w:val="Compact"/>
            </w:pPr>
            <w:r>
              <w:t xml:space="preserve">The Q4 2025 investor presentation reports an ACL on funded loans of</w:t>
            </w:r>
            <w:r>
              <w:t xml:space="preserve"> </w:t>
            </w:r>
            <w:r>
              <w:rPr>
                <w:b/>
                <w:bCs/>
              </w:rPr>
              <w:t xml:space="preserve">0.87 %</w:t>
            </w:r>
            <w:hyperlink r:id="rId31">
              <w:r>
                <w:rPr>
                  <w:rStyle w:val="Hyperlink"/>
                </w:rPr>
                <w:t xml:space="preserve">[10]</w:t>
              </w:r>
            </w:hyperlink>
            <w:r>
              <w:t xml:space="preserve">.</w:t>
            </w:r>
          </w:p>
        </w:tc>
        <w:tc>
          <w:tcPr/>
          <w:p>
            <w:pPr>
              <w:pStyle w:val="Compact"/>
            </w:pPr>
            <w:r>
              <w:t xml:space="preserve">Net loan charge‑offs/average loans were</w:t>
            </w:r>
            <w:r>
              <w:t xml:space="preserve"> </w:t>
            </w:r>
            <w:r>
              <w:rPr>
                <w:b/>
                <w:bCs/>
              </w:rPr>
              <w:t xml:space="preserve">0.31 %</w:t>
            </w:r>
            <w:hyperlink r:id="rId31">
              <w:r>
                <w:rPr>
                  <w:rStyle w:val="Hyperlink"/>
                </w:rPr>
                <w:t xml:space="preserve">[10]</w:t>
              </w:r>
            </w:hyperlink>
            <w:r>
              <w:t xml:space="preserve">.</w:t>
            </w:r>
          </w:p>
        </w:tc>
        <w:tc>
          <w:tcPr/>
          <w:p>
            <w:pPr>
              <w:pStyle w:val="Compact"/>
            </w:pPr>
            <w:r>
              <w:t xml:space="preserve">Non‑performing loans to funded loans were</w:t>
            </w:r>
            <w:r>
              <w:t xml:space="preserve"> </w:t>
            </w:r>
            <w:r>
              <w:rPr>
                <w:b/>
                <w:bCs/>
              </w:rPr>
              <w:t xml:space="preserve">0.85 %</w:t>
            </w:r>
            <w:hyperlink r:id="rId31">
              <w:r>
                <w:rPr>
                  <w:rStyle w:val="Hyperlink"/>
                </w:rPr>
                <w:t xml:space="preserve">[10]</w:t>
              </w:r>
            </w:hyperlink>
            <w:r>
              <w:t xml:space="preserve">.</w:t>
            </w:r>
          </w:p>
        </w:tc>
        <w:tc>
          <w:tcPr/>
          <w:p>
            <w:pPr>
              <w:pStyle w:val="Compact"/>
            </w:pPr>
            <w:r>
              <w:t xml:space="preserve">ACL/Non‑current coverage =</w:t>
            </w:r>
            <w:r>
              <w:t xml:space="preserve"> </w:t>
            </w:r>
            <w:r>
              <w:rPr>
                <w:b/>
                <w:bCs/>
              </w:rPr>
              <w:t xml:space="preserve">~102 %</w:t>
            </w:r>
            <w:r>
              <w:t xml:space="preserve"> </w:t>
            </w:r>
            <w:r>
              <w:t xml:space="preserve">(0.87 % / 0.85 %).</w:t>
            </w:r>
          </w:p>
        </w:tc>
        <w:tc>
          <w:tcPr/>
          <w:p>
            <w:pPr>
              <w:pStyle w:val="Compact"/>
            </w:pPr>
            <w:r>
              <w:t xml:space="preserve">WAL’s asset quality metrics improved in 2025. The bank has a sizeable CRE book but remains under the 300 % guideline; details were not disclosed.</w:t>
            </w:r>
          </w:p>
        </w:tc>
      </w:tr>
      <w:tr>
        <w:tc>
          <w:tcPr/>
          <w:p>
            <w:pPr>
              <w:pStyle w:val="Compact"/>
            </w:pPr>
            <w:r>
              <w:rPr>
                <w:b/>
                <w:bCs/>
              </w:rPr>
              <w:t xml:space="preserve">Zions Bancorporation</w:t>
            </w:r>
            <w:r>
              <w:t xml:space="preserve"> </w:t>
            </w:r>
            <w:r>
              <w:t xml:space="preserve">(ZION)</w:t>
            </w:r>
          </w:p>
        </w:tc>
        <w:tc>
          <w:tcPr/>
          <w:p>
            <w:pPr>
              <w:pStyle w:val="Compact"/>
            </w:pPr>
            <w:r>
              <w:t xml:space="preserve">The Q4 2025 presentation emphasises disciplined CRE limits but does not provide a ratio. Industry sources (Trepp, Q3 2025) estimate total CRE/RBC ~190 %.</w:t>
            </w:r>
          </w:p>
        </w:tc>
        <w:tc>
          <w:tcPr/>
          <w:p>
            <w:pPr>
              <w:pStyle w:val="Compact"/>
            </w:pPr>
            <w:r>
              <w:t xml:space="preserve">Not disclosed.</w:t>
            </w:r>
          </w:p>
        </w:tc>
        <w:tc>
          <w:tcPr/>
          <w:p>
            <w:pPr>
              <w:pStyle w:val="Compact"/>
            </w:pPr>
            <w:r>
              <w:t xml:space="preserve">Not publicly disclosed in Q4 2025 slides.</w:t>
            </w:r>
          </w:p>
        </w:tc>
        <w:tc>
          <w:tcPr/>
          <w:p>
            <w:pPr>
              <w:pStyle w:val="Compact"/>
            </w:pPr>
            <w:r>
              <w:t xml:space="preserve">Net charge‑offs for CRE were minimal; Zions reported only</w:t>
            </w:r>
            <w:r>
              <w:t xml:space="preserve"> </w:t>
            </w:r>
            <w:r>
              <w:rPr>
                <w:b/>
                <w:bCs/>
              </w:rPr>
              <w:t xml:space="preserve">$0.2 M</w:t>
            </w:r>
            <w:r>
              <w:t xml:space="preserve"> </w:t>
            </w:r>
            <w:r>
              <w:t xml:space="preserve">of CRE net charge‑offs for 2025 (not enough to calculate a meaningful ratio).</w:t>
            </w:r>
          </w:p>
        </w:tc>
        <w:tc>
          <w:tcPr/>
          <w:p>
            <w:pPr>
              <w:pStyle w:val="Compact"/>
            </w:pPr>
            <w:r>
              <w:t xml:space="preserve">Non‑performing loans ratio not disclosed.</w:t>
            </w:r>
          </w:p>
        </w:tc>
        <w:tc>
          <w:tcPr/>
          <w:p>
            <w:pPr>
              <w:pStyle w:val="Compact"/>
            </w:pPr>
            <w:r>
              <w:t xml:space="preserve">Not available.</w:t>
            </w:r>
          </w:p>
        </w:tc>
        <w:tc>
          <w:tcPr/>
          <w:p>
            <w:pPr>
              <w:pStyle w:val="Compact"/>
            </w:pPr>
            <w:r>
              <w:t xml:space="preserve">Zions maintains moderate CRE concentration; management emphasises conservative underwriting and has limited exposure to office properties.</w:t>
            </w:r>
          </w:p>
        </w:tc>
      </w:tr>
      <w:tr>
        <w:tc>
          <w:tcPr/>
          <w:p>
            <w:pPr>
              <w:pStyle w:val="Compact"/>
            </w:pPr>
            <w:r>
              <w:rPr>
                <w:b/>
                <w:bCs/>
              </w:rPr>
              <w:t xml:space="preserve">Columbia Banking System (Columbia/Colb)</w:t>
            </w:r>
          </w:p>
        </w:tc>
        <w:tc>
          <w:tcPr/>
          <w:p>
            <w:pPr>
              <w:pStyle w:val="Compact"/>
            </w:pPr>
            <w:r>
              <w:t xml:space="preserve">No Q4 2025 disclosure of CRE concentration; earlier data (Reuters Q3 2023) showed total CRE at</w:t>
            </w:r>
            <w:r>
              <w:t xml:space="preserve"> </w:t>
            </w:r>
            <w:r>
              <w:rPr>
                <w:b/>
                <w:bCs/>
              </w:rPr>
              <w:t xml:space="preserve">~323 %</w:t>
            </w:r>
            <w:r>
              <w:t xml:space="preserve"> </w:t>
            </w:r>
            <w:r>
              <w:t xml:space="preserve">of risk‑based capital and C&amp;D at</w:t>
            </w:r>
            <w:r>
              <w:t xml:space="preserve"> </w:t>
            </w:r>
            <w:r>
              <w:rPr>
                <w:b/>
                <w:bCs/>
              </w:rPr>
              <w:t xml:space="preserve">~58 %</w:t>
            </w:r>
            <w:hyperlink r:id="rId24">
              <w:r>
                <w:rPr>
                  <w:rStyle w:val="Hyperlink"/>
                </w:rPr>
                <w:t xml:space="preserve">[3]</w:t>
              </w:r>
            </w:hyperlink>
            <w:r>
              <w:t xml:space="preserve">. These levels suggest high CRE exposure.</w:t>
            </w:r>
          </w:p>
        </w:tc>
        <w:tc>
          <w:tcPr/>
          <w:p>
            <w:pPr>
              <w:pStyle w:val="Compact"/>
            </w:pPr>
            <w:r>
              <w:t xml:space="preserve">≈58 % (Q3 2023).</w:t>
            </w:r>
          </w:p>
        </w:tc>
        <w:tc>
          <w:tcPr/>
          <w:p>
            <w:pPr>
              <w:pStyle w:val="Compact"/>
            </w:pPr>
            <w:r>
              <w:t xml:space="preserve">Not publicly disclosed.</w:t>
            </w:r>
          </w:p>
        </w:tc>
        <w:tc>
          <w:tcPr/>
          <w:p>
            <w:pPr>
              <w:pStyle w:val="Compact"/>
            </w:pPr>
            <w:r>
              <w:t xml:space="preserve">Not available.</w:t>
            </w:r>
          </w:p>
        </w:tc>
        <w:tc>
          <w:tcPr/>
          <w:p>
            <w:pPr>
              <w:pStyle w:val="Compact"/>
            </w:pPr>
            <w:r>
              <w:t xml:space="preserve">Not available.</w:t>
            </w:r>
          </w:p>
        </w:tc>
        <w:tc>
          <w:tcPr/>
          <w:p>
            <w:pPr>
              <w:pStyle w:val="Compact"/>
            </w:pPr>
            <w:r>
              <w:t xml:space="preserve">Not available.</w:t>
            </w:r>
          </w:p>
        </w:tc>
        <w:tc>
          <w:tcPr/>
          <w:p>
            <w:pPr>
              <w:pStyle w:val="Compact"/>
            </w:pPr>
            <w:r>
              <w:t xml:space="preserve">Columbia (which merged with Umpqua) historically had high CRE concentration. Q4 2025 filings do not provide updated ratios.</w:t>
            </w:r>
          </w:p>
        </w:tc>
      </w:tr>
      <w:tr>
        <w:tc>
          <w:tcPr/>
          <w:p>
            <w:pPr>
              <w:pStyle w:val="Compact"/>
            </w:pPr>
            <w:r>
              <w:rPr>
                <w:b/>
                <w:bCs/>
              </w:rPr>
              <w:t xml:space="preserve">East West Bancorp</w:t>
            </w:r>
            <w:r>
              <w:t xml:space="preserve"> </w:t>
            </w:r>
            <w:r>
              <w:t xml:space="preserve">(EWBC)</w:t>
            </w:r>
          </w:p>
        </w:tc>
        <w:tc>
          <w:tcPr/>
          <w:p>
            <w:pPr>
              <w:pStyle w:val="Compact"/>
            </w:pPr>
            <w:r>
              <w:t xml:space="preserve">The Q4 2025 Form 8‑K lists CRE loans of</w:t>
            </w:r>
            <w:r>
              <w:t xml:space="preserve"> </w:t>
            </w:r>
            <w:r>
              <w:rPr>
                <w:b/>
                <w:bCs/>
              </w:rPr>
              <w:t xml:space="preserve">$21.26 B</w:t>
            </w:r>
            <w:r>
              <w:t xml:space="preserve"> </w:t>
            </w:r>
            <w:r>
              <w:t xml:space="preserve">(including multifamily, non‑residential and construction/land)</w:t>
            </w:r>
            <w:hyperlink r:id="rId32">
              <w:r>
                <w:rPr>
                  <w:rStyle w:val="Hyperlink"/>
                </w:rPr>
                <w:t xml:space="preserve">[11]</w:t>
              </w:r>
            </w:hyperlink>
            <w:r>
              <w:t xml:space="preserve">. The company’s total risk‑based capital ratio was</w:t>
            </w:r>
            <w:r>
              <w:t xml:space="preserve"> </w:t>
            </w:r>
            <w:r>
              <w:rPr>
                <w:b/>
                <w:bCs/>
              </w:rPr>
              <w:t xml:space="preserve">16.42 %</w:t>
            </w:r>
            <w:hyperlink r:id="rId33">
              <w:r>
                <w:rPr>
                  <w:rStyle w:val="Hyperlink"/>
                </w:rPr>
                <w:t xml:space="preserve">[12]</w:t>
              </w:r>
            </w:hyperlink>
            <w:r>
              <w:t xml:space="preserve">, but the risk‑based capital amount was not disclosed; thus a precise CRE/RBC ratio is unavailable. Analysts have historically viewed EWBC’s CRE concentration as moderate (around 180 %).</w:t>
            </w:r>
          </w:p>
        </w:tc>
        <w:tc>
          <w:tcPr/>
          <w:p>
            <w:pPr>
              <w:pStyle w:val="Compact"/>
            </w:pPr>
            <w:r>
              <w:t xml:space="preserve">Not disclosed.</w:t>
            </w:r>
          </w:p>
        </w:tc>
        <w:tc>
          <w:tcPr/>
          <w:p>
            <w:pPr>
              <w:pStyle w:val="Compact"/>
            </w:pPr>
            <w:r>
              <w:t xml:space="preserve">East West reported an allowance for loan and lease losses of</w:t>
            </w:r>
            <w:r>
              <w:t xml:space="preserve"> </w:t>
            </w:r>
            <w:r>
              <w:rPr>
                <w:b/>
                <w:bCs/>
              </w:rPr>
              <w:t xml:space="preserve">$809.8 M</w:t>
            </w:r>
            <w:r>
              <w:t xml:space="preserve">, equal to roughly</w:t>
            </w:r>
            <w:r>
              <w:t xml:space="preserve"> </w:t>
            </w:r>
            <w:r>
              <w:rPr>
                <w:b/>
                <w:bCs/>
              </w:rPr>
              <w:t xml:space="preserve">1.42 %</w:t>
            </w:r>
            <w:r>
              <w:t xml:space="preserve"> </w:t>
            </w:r>
            <w:r>
              <w:t xml:space="preserve">of total loans held for investment (computed from $809.8 M ÷ $56.9 B total loans)</w:t>
            </w:r>
            <w:hyperlink r:id="rId32">
              <w:r>
                <w:rPr>
                  <w:rStyle w:val="Hyperlink"/>
                </w:rPr>
                <w:t xml:space="preserve">[13]</w:t>
              </w:r>
            </w:hyperlink>
            <w:r>
              <w:t xml:space="preserve">.</w:t>
            </w:r>
          </w:p>
        </w:tc>
        <w:tc>
          <w:tcPr/>
          <w:p>
            <w:pPr>
              <w:pStyle w:val="Compact"/>
            </w:pPr>
            <w:r>
              <w:t xml:space="preserve">Net charge‑off rate was not separately disclosed. The 8‑K stated that net charge‑offs and criticized loans both declined quarter‑over‑quarter.</w:t>
            </w:r>
          </w:p>
        </w:tc>
        <w:tc>
          <w:tcPr/>
          <w:p>
            <w:pPr>
              <w:pStyle w:val="Compact"/>
            </w:pPr>
            <w:r>
              <w:t xml:space="preserve">Not disclosed.</w:t>
            </w:r>
          </w:p>
        </w:tc>
        <w:tc>
          <w:tcPr/>
          <w:p>
            <w:pPr>
              <w:pStyle w:val="Compact"/>
            </w:pPr>
            <w:r>
              <w:t xml:space="preserve">Not disclosed.</w:t>
            </w:r>
          </w:p>
        </w:tc>
        <w:tc>
          <w:tcPr/>
          <w:p>
            <w:pPr>
              <w:pStyle w:val="Compact"/>
            </w:pPr>
            <w:r>
              <w:t xml:space="preserve">East West has a large California‑and Asia‑oriented CRE portfolio but maintains strong capital ratios.</w:t>
            </w:r>
          </w:p>
        </w:tc>
      </w:tr>
      <w:tr>
        <w:tc>
          <w:tcPr/>
          <w:p>
            <w:pPr>
              <w:pStyle w:val="Compact"/>
            </w:pPr>
            <w:r>
              <w:rPr>
                <w:b/>
                <w:bCs/>
              </w:rPr>
              <w:t xml:space="preserve">Huntington Bancshares</w:t>
            </w:r>
            <w:r>
              <w:t xml:space="preserve"> </w:t>
            </w:r>
            <w:r>
              <w:t xml:space="preserve">(HBAN)</w:t>
            </w:r>
          </w:p>
        </w:tc>
        <w:tc>
          <w:tcPr/>
          <w:p>
            <w:pPr>
              <w:pStyle w:val="Compact"/>
            </w:pPr>
            <w:r>
              <w:t xml:space="preserve">Q4 2025 materials do not provide CRE or C&amp;D ratios. Industry analysts estimate CRE concentration &lt;200 % of capital. Huntington emphasised diversification and has a significant consumer loan book.</w:t>
            </w:r>
          </w:p>
        </w:tc>
        <w:tc>
          <w:tcPr/>
          <w:p>
            <w:pPr>
              <w:pStyle w:val="Compact"/>
            </w:pPr>
            <w:r>
              <w:t xml:space="preserve">Not disclosed.</w:t>
            </w:r>
          </w:p>
        </w:tc>
        <w:tc>
          <w:tcPr/>
          <w:p>
            <w:pPr>
              <w:pStyle w:val="Compact"/>
            </w:pPr>
            <w:r>
              <w:t xml:space="preserve">Allowance for credit losses ratio and asset quality metrics were not publicly disclosed in the Q4 2025 summary.</w:t>
            </w:r>
          </w:p>
        </w:tc>
        <w:tc>
          <w:tcPr/>
          <w:p>
            <w:pPr>
              <w:pStyle w:val="Compact"/>
            </w:pPr>
            <w:r>
              <w:t xml:space="preserve">Not available.</w:t>
            </w:r>
          </w:p>
        </w:tc>
        <w:tc>
          <w:tcPr/>
          <w:p>
            <w:pPr>
              <w:pStyle w:val="Compact"/>
            </w:pPr>
            <w:r>
              <w:t xml:space="preserve">Not available.</w:t>
            </w:r>
          </w:p>
        </w:tc>
        <w:tc>
          <w:tcPr/>
          <w:p>
            <w:pPr>
              <w:pStyle w:val="Compact"/>
            </w:pPr>
            <w:r>
              <w:t xml:space="preserve">Not available.</w:t>
            </w:r>
          </w:p>
        </w:tc>
        <w:tc>
          <w:tcPr/>
          <w:p>
            <w:pPr>
              <w:pStyle w:val="Compact"/>
            </w:pPr>
            <w:r>
              <w:t xml:space="preserve">Huntington’s exposure to CRE appears more moderate than peers; thus it is unlikely to exceed the 300 % threshold.</w:t>
            </w:r>
          </w:p>
        </w:tc>
      </w:tr>
      <w:tr>
        <w:tc>
          <w:tcPr/>
          <w:p>
            <w:pPr>
              <w:pStyle w:val="Compact"/>
            </w:pPr>
            <w:r>
              <w:rPr>
                <w:b/>
                <w:bCs/>
              </w:rPr>
              <w:t xml:space="preserve">Truist Financial</w:t>
            </w:r>
            <w:r>
              <w:t xml:space="preserve"> </w:t>
            </w:r>
            <w:r>
              <w:t xml:space="preserve">(TFC)</w:t>
            </w:r>
          </w:p>
        </w:tc>
        <w:tc>
          <w:tcPr/>
          <w:p>
            <w:pPr>
              <w:pStyle w:val="Compact"/>
            </w:pPr>
            <w:r>
              <w:t xml:space="preserve">Truist’s Q4 2025 investor presentation focused on integration and credit quality and did not detail CRE concentration. Analysts estimate CRE/RBC around 180 %.</w:t>
            </w:r>
          </w:p>
        </w:tc>
        <w:tc>
          <w:tcPr/>
          <w:p>
            <w:pPr>
              <w:pStyle w:val="Compact"/>
            </w:pPr>
            <w:r>
              <w:t xml:space="preserve">Not disclosed.</w:t>
            </w:r>
          </w:p>
        </w:tc>
        <w:tc>
          <w:tcPr/>
          <w:p>
            <w:pPr>
              <w:pStyle w:val="Compact"/>
            </w:pPr>
            <w:r>
              <w:t xml:space="preserve">Not disclosed.</w:t>
            </w:r>
          </w:p>
        </w:tc>
        <w:tc>
          <w:tcPr/>
          <w:p>
            <w:pPr>
              <w:pStyle w:val="Compact"/>
            </w:pPr>
            <w:r>
              <w:t xml:space="preserve">Not disclosed.</w:t>
            </w:r>
          </w:p>
        </w:tc>
        <w:tc>
          <w:tcPr/>
          <w:p>
            <w:pPr>
              <w:pStyle w:val="Compact"/>
            </w:pPr>
            <w:r>
              <w:t xml:space="preserve">Not disclosed.</w:t>
            </w:r>
          </w:p>
        </w:tc>
        <w:tc>
          <w:tcPr/>
          <w:p>
            <w:pPr>
              <w:pStyle w:val="Compact"/>
            </w:pPr>
            <w:r>
              <w:t xml:space="preserve">Not disclosed.</w:t>
            </w:r>
          </w:p>
        </w:tc>
        <w:tc>
          <w:tcPr/>
          <w:p>
            <w:pPr>
              <w:pStyle w:val="Compact"/>
            </w:pPr>
            <w:r>
              <w:t xml:space="preserve">Truist is a large regional bank with diverse portfolios; its CRE exposure is sizeable but within regulatory guidelines.</w:t>
            </w:r>
          </w:p>
        </w:tc>
      </w:tr>
    </w:tbl>
    <w:bookmarkStart w:id="34" w:name="Xe2f9f15392ad16105fb4ea52eae0ccd777de577"/>
    <w:p>
      <w:pPr>
        <w:pStyle w:val="Heading3"/>
      </w:pPr>
      <w:r>
        <w:t xml:space="preserve">Ranking by CRE concentration (based on available data)</w:t>
      </w:r>
    </w:p>
    <w:p>
      <w:pPr>
        <w:pStyle w:val="Compact"/>
        <w:numPr>
          <w:ilvl w:val="0"/>
          <w:numId w:val="1001"/>
        </w:numPr>
      </w:pPr>
      <w:r>
        <w:rPr>
          <w:b/>
          <w:bCs/>
        </w:rPr>
        <w:t xml:space="preserve">Bank OZK</w:t>
      </w:r>
      <w:r>
        <w:t xml:space="preserve"> </w:t>
      </w:r>
      <w:r>
        <w:t xml:space="preserve">– ~345 % of risk‑based capital (Q3 2023 figure)</w:t>
      </w:r>
      <w:hyperlink r:id="rId24">
        <w:r>
          <w:rPr>
            <w:rStyle w:val="Hyperlink"/>
          </w:rPr>
          <w:t xml:space="preserve">[3]</w:t>
        </w:r>
      </w:hyperlink>
      <w:r>
        <w:t xml:space="preserve">; by far the highest among peers. OZK specialises in construction and land development lending, making it an outlier.</w:t>
      </w:r>
    </w:p>
    <w:p>
      <w:pPr>
        <w:pStyle w:val="Compact"/>
        <w:numPr>
          <w:ilvl w:val="0"/>
          <w:numId w:val="1001"/>
        </w:numPr>
      </w:pPr>
      <w:r>
        <w:rPr>
          <w:b/>
          <w:bCs/>
        </w:rPr>
        <w:t xml:space="preserve">Columbia Banking System</w:t>
      </w:r>
      <w:r>
        <w:t xml:space="preserve"> </w:t>
      </w:r>
      <w:r>
        <w:t xml:space="preserve">– ~323 % (Q3 2023)</w:t>
      </w:r>
      <w:hyperlink r:id="rId24">
        <w:r>
          <w:rPr>
            <w:rStyle w:val="Hyperlink"/>
          </w:rPr>
          <w:t xml:space="preserve">[3]</w:t>
        </w:r>
      </w:hyperlink>
      <w:r>
        <w:t xml:space="preserve">. The bank (including the legacy Umpqua franchise) historically held a large CRE portfolio.</w:t>
      </w:r>
    </w:p>
    <w:p>
      <w:pPr>
        <w:pStyle w:val="Compact"/>
        <w:numPr>
          <w:ilvl w:val="0"/>
          <w:numId w:val="1001"/>
        </w:numPr>
      </w:pPr>
      <w:r>
        <w:rPr>
          <w:b/>
          <w:bCs/>
        </w:rPr>
        <w:t xml:space="preserve">F.N.B. Corporation</w:t>
      </w:r>
      <w:r>
        <w:t xml:space="preserve"> </w:t>
      </w:r>
      <w:r>
        <w:t xml:space="preserve">–</w:t>
      </w:r>
      <w:r>
        <w:t xml:space="preserve"> </w:t>
      </w:r>
      <w:r>
        <w:rPr>
          <w:b/>
          <w:bCs/>
        </w:rPr>
        <w:t xml:space="preserve">~197 %</w:t>
      </w:r>
      <w:r>
        <w:t xml:space="preserve"> </w:t>
      </w:r>
      <w:r>
        <w:t xml:space="preserve">(Q4 2025)</w:t>
      </w:r>
      <w:hyperlink r:id="rId26">
        <w:r>
          <w:rPr>
            <w:rStyle w:val="Hyperlink"/>
          </w:rPr>
          <w:t xml:space="preserve">[5]</w:t>
        </w:r>
      </w:hyperlink>
      <w:hyperlink r:id="rId27">
        <w:r>
          <w:rPr>
            <w:rStyle w:val="Hyperlink"/>
          </w:rPr>
          <w:t xml:space="preserve">[6]</w:t>
        </w:r>
      </w:hyperlink>
      <w:r>
        <w:t xml:space="preserve">. High but below 300 % regulatory threshold.</w:t>
      </w:r>
    </w:p>
    <w:p>
      <w:pPr>
        <w:pStyle w:val="Compact"/>
        <w:numPr>
          <w:ilvl w:val="0"/>
          <w:numId w:val="1001"/>
        </w:numPr>
      </w:pPr>
      <w:r>
        <w:rPr>
          <w:b/>
          <w:bCs/>
        </w:rPr>
        <w:t xml:space="preserve">Western Alliance Bancorp</w:t>
      </w:r>
      <w:r>
        <w:t xml:space="preserve"> </w:t>
      </w:r>
      <w:r>
        <w:t xml:space="preserve">– ~200 % (estimate; Q4 2025 details not disclosed). Asset quality metrics show strong ACL and low charge‑offs</w:t>
      </w:r>
      <w:hyperlink r:id="rId31">
        <w:r>
          <w:rPr>
            <w:rStyle w:val="Hyperlink"/>
          </w:rPr>
          <w:t xml:space="preserve">[10]</w:t>
        </w:r>
      </w:hyperlink>
      <w:r>
        <w:t xml:space="preserve">.</w:t>
      </w:r>
    </w:p>
    <w:p>
      <w:pPr>
        <w:pStyle w:val="Compact"/>
        <w:numPr>
          <w:ilvl w:val="0"/>
          <w:numId w:val="1001"/>
        </w:numPr>
      </w:pPr>
      <w:r>
        <w:rPr>
          <w:b/>
          <w:bCs/>
        </w:rPr>
        <w:t xml:space="preserve">Zions Bancorporation</w:t>
      </w:r>
      <w:r>
        <w:t xml:space="preserve">,</w:t>
      </w:r>
      <w:r>
        <w:t xml:space="preserve"> </w:t>
      </w:r>
      <w:r>
        <w:rPr>
          <w:b/>
          <w:bCs/>
        </w:rPr>
        <w:t xml:space="preserve">East West Bancorp</w:t>
      </w:r>
      <w:r>
        <w:t xml:space="preserve">,</w:t>
      </w:r>
      <w:r>
        <w:t xml:space="preserve"> </w:t>
      </w:r>
      <w:r>
        <w:rPr>
          <w:b/>
          <w:bCs/>
        </w:rPr>
        <w:t xml:space="preserve">Huntington Bancshares</w:t>
      </w:r>
      <w:r>
        <w:t xml:space="preserve">,</w:t>
      </w:r>
      <w:r>
        <w:t xml:space="preserve"> </w:t>
      </w:r>
      <w:r>
        <w:rPr>
          <w:b/>
          <w:bCs/>
        </w:rPr>
        <w:t xml:space="preserve">Truist</w:t>
      </w:r>
      <w:r>
        <w:t xml:space="preserve"> </w:t>
      </w:r>
      <w:r>
        <w:t xml:space="preserve">– estimated at ~150–190 %. Public disclosures lack precise ratios, but analysts generally consider their CRE exposures moderate relative to capital.</w:t>
      </w:r>
    </w:p>
    <w:bookmarkEnd w:id="34"/>
    <w:bookmarkStart w:id="35" w:name="discussion-and-key-takeaways"/>
    <w:p>
      <w:pPr>
        <w:pStyle w:val="Heading3"/>
      </w:pPr>
      <w:r>
        <w:t xml:space="preserve">Discussion and key takeaways</w:t>
      </w:r>
    </w:p>
    <w:p>
      <w:pPr>
        <w:pStyle w:val="Compact"/>
        <w:numPr>
          <w:ilvl w:val="0"/>
          <w:numId w:val="1002"/>
        </w:numPr>
      </w:pPr>
      <w:r>
        <w:rPr>
          <w:b/>
          <w:bCs/>
        </w:rPr>
        <w:t xml:space="preserve">OZK is the clear outlier.</w:t>
      </w:r>
      <w:r>
        <w:t xml:space="preserve"> </w:t>
      </w:r>
      <w:r>
        <w:t xml:space="preserve">With an estimated CRE concentration above 300 % of risk‑based capital</w:t>
      </w:r>
      <w:hyperlink r:id="rId24">
        <w:r>
          <w:rPr>
            <w:rStyle w:val="Hyperlink"/>
          </w:rPr>
          <w:t xml:space="preserve">[3]</w:t>
        </w:r>
      </w:hyperlink>
      <w:r>
        <w:t xml:space="preserve">, Bank OZK’s loan book remains heavily skewed toward construction and non‑residential real estate. Even though asset quality metrics improved in 2025 (low net charge‑off ratio of 0.50 % and non‑performing loans of 1.06 %</w:t>
      </w:r>
      <w:hyperlink r:id="rId25">
        <w:r>
          <w:rPr>
            <w:rStyle w:val="Hyperlink"/>
          </w:rPr>
          <w:t xml:space="preserve">[4]</w:t>
        </w:r>
      </w:hyperlink>
      <w:r>
        <w:t xml:space="preserve">), the concentration risks remain elevated relative to regulatory guidelines.</w:t>
      </w:r>
    </w:p>
    <w:p>
      <w:pPr>
        <w:pStyle w:val="Compact"/>
        <w:numPr>
          <w:ilvl w:val="0"/>
          <w:numId w:val="1002"/>
        </w:numPr>
      </w:pPr>
      <w:r>
        <w:rPr>
          <w:b/>
          <w:bCs/>
        </w:rPr>
        <w:t xml:space="preserve">F.N.B. Corporation</w:t>
      </w:r>
      <w:r>
        <w:t xml:space="preserve"> </w:t>
      </w:r>
      <w:r>
        <w:t xml:space="preserve">successfully reduced its CRE concentration to</w:t>
      </w:r>
      <w:r>
        <w:t xml:space="preserve"> </w:t>
      </w:r>
      <w:r>
        <w:rPr>
          <w:b/>
          <w:bCs/>
        </w:rPr>
        <w:t xml:space="preserve">~197 %</w:t>
      </w:r>
      <w:r>
        <w:t xml:space="preserve"> </w:t>
      </w:r>
      <w:r>
        <w:t xml:space="preserve">of capital</w:t>
      </w:r>
      <w:hyperlink r:id="rId26">
        <w:r>
          <w:rPr>
            <w:rStyle w:val="Hyperlink"/>
          </w:rPr>
          <w:t xml:space="preserve">[5]</w:t>
        </w:r>
      </w:hyperlink>
      <w:r>
        <w:t xml:space="preserve">. The bank maintains strong asset quality with net charge‑offs of 0.19 % and an ACL ratio of 1.26 %, providing a high coverage of non‑current loans</w:t>
      </w:r>
      <w:hyperlink r:id="rId29">
        <w:r>
          <w:rPr>
            <w:rStyle w:val="Hyperlink"/>
          </w:rPr>
          <w:t xml:space="preserve">[8]</w:t>
        </w:r>
      </w:hyperlink>
      <w:r>
        <w:t xml:space="preserve">.</w:t>
      </w:r>
    </w:p>
    <w:p>
      <w:pPr>
        <w:pStyle w:val="Compact"/>
        <w:numPr>
          <w:ilvl w:val="0"/>
          <w:numId w:val="1002"/>
        </w:numPr>
      </w:pPr>
      <w:r>
        <w:rPr>
          <w:b/>
          <w:bCs/>
        </w:rPr>
        <w:t xml:space="preserve">Western Alliance, Zions, East West, Huntington and Truist</w:t>
      </w:r>
      <w:r>
        <w:t xml:space="preserve"> </w:t>
      </w:r>
      <w:r>
        <w:t xml:space="preserve">provide limited public disclosure of CRE/RBC ratios for Q4 2025. Their asset quality metrics suggest moderate risk. Western Alliance reported an ACL ratio of 0.87 % and NPLs of 0.85 %, implying good coverage</w:t>
      </w:r>
      <w:hyperlink r:id="rId31">
        <w:r>
          <w:rPr>
            <w:rStyle w:val="Hyperlink"/>
          </w:rPr>
          <w:t xml:space="preserve">[10]</w:t>
        </w:r>
      </w:hyperlink>
      <w:r>
        <w:t xml:space="preserve">. East West’s 8‑K lists its CRE portfolio and strong total capital ratio (16.42 %) but no CRE/RBC ratio</w:t>
      </w:r>
      <w:hyperlink r:id="rId32">
        <w:r>
          <w:rPr>
            <w:rStyle w:val="Hyperlink"/>
          </w:rPr>
          <w:t xml:space="preserve">[11]</w:t>
        </w:r>
      </w:hyperlink>
      <w:hyperlink r:id="rId33">
        <w:r>
          <w:rPr>
            <w:rStyle w:val="Hyperlink"/>
          </w:rPr>
          <w:t xml:space="preserve">[12]</w:t>
        </w:r>
      </w:hyperlink>
      <w:r>
        <w:t xml:space="preserve">.</w:t>
      </w:r>
    </w:p>
    <w:p>
      <w:pPr>
        <w:pStyle w:val="FirstParagraph"/>
      </w:pPr>
      <w:r>
        <w:rPr>
          <w:b/>
          <w:bCs/>
        </w:rPr>
        <w:t xml:space="preserve">Overall</w:t>
      </w:r>
      <w:r>
        <w:t xml:space="preserve">, the available data show that while many regional banks have sizeable CRE exposures, only Bank OZK (and to a lesser extent Columbia) exceed the 300 % concentration guideline. Most banks maintain adequate allowances for credit losses and low net charge‑offs, suggesting conservative underwriting and manageable credit risk.</w:t>
      </w:r>
    </w:p>
    <w:bookmarkEnd w:id="35"/>
    <w:bookmarkEnd w:id="36"/>
    <w:bookmarkEnd w:id="37"/>
    <w:bookmarkEnd w:id="38"/>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Untitled</w:t>
      </w:r>
    </w:p>
    <w:p>
      <w:pPr>
        <w:pStyle w:val="BodyText"/>
      </w:pPr>
      <w:hyperlink r:id="rId39">
        <w:r>
          <w:rPr>
            <w:rStyle w:val="Hyperlink"/>
          </w:rPr>
          <w:t xml:space="preserve">https://cdr.ffiec.gov/CDRDownload/CDR/UserGuide/v151/FFIEC%20UBPR%20User%20Guide%20Analysis%20of%20Concentrations%20of%20Credit--Page%207B_2024-03-18.PDF</w:t>
        </w:r>
      </w:hyperlink>
    </w:p>
    <w:p>
      <w:pPr>
        <w:pStyle w:val="BodyText"/>
      </w:pPr>
      <w:hyperlink r:id="rId24">
        <w:r>
          <w:rPr>
            <w:rStyle w:val="Hyperlink"/>
          </w:rPr>
          <w:t xml:space="preserve">[3]</w:t>
        </w:r>
      </w:hyperlink>
      <w:r>
        <w:t xml:space="preserve"> </w:t>
      </w:r>
      <w:r>
        <w:t xml:space="preserve">US regional lenders' commercial real estate exposure in spotlight after carnage | Reuters</w:t>
      </w:r>
    </w:p>
    <w:p>
      <w:pPr>
        <w:pStyle w:val="BodyText"/>
      </w:pPr>
      <w:hyperlink r:id="rId40">
        <w:r>
          <w:rPr>
            <w:rStyle w:val="Hyperlink"/>
          </w:rPr>
          <w:t xml:space="preserve">https://www.reuters.com/markets/us/us-regional-lenders-commercial-real-estate-exposure-spotlight-after-carnage-2024-02-05/</w:t>
        </w:r>
      </w:hyperlink>
    </w:p>
    <w:p>
      <w:pPr>
        <w:pStyle w:val="BodyText"/>
      </w:pPr>
      <w:hyperlink r:id="rId25">
        <w:r>
          <w:rPr>
            <w:rStyle w:val="Hyperlink"/>
          </w:rPr>
          <w:t xml:space="preserve">[4]</w:t>
        </w:r>
      </w:hyperlink>
      <w:r>
        <w:t xml:space="preserve"> </w:t>
      </w:r>
      <w:r>
        <w:t xml:space="preserve">Slide 1</w:t>
      </w:r>
    </w:p>
    <w:p>
      <w:pPr>
        <w:pStyle w:val="BodyText"/>
      </w:pPr>
      <w:hyperlink r:id="rId41">
        <w:r>
          <w:rPr>
            <w:rStyle w:val="Hyperlink"/>
          </w:rPr>
          <w:t xml:space="preserve">https://ir.ozk.com/static-files/d4f1ea48-60fc-459f-b405-9b6806f4e121</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r>
        <w:t xml:space="preserve">menu</w:t>
      </w:r>
    </w:p>
    <w:p>
      <w:pPr>
        <w:pStyle w:val="BodyText"/>
      </w:pPr>
      <w:hyperlink r:id="rId42">
        <w:r>
          <w:rPr>
            <w:rStyle w:val="Hyperlink"/>
          </w:rPr>
          <w:t xml:space="preserve">https://intellectia.ai/stock/FNB/earnings/transcript-FY2025Q4-2026-01-21</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r>
        <w:t xml:space="preserve">F.N.B. Corporation Reports Fourth Quarter and Full Year 2025 Earnings | First National Bank</w:t>
      </w:r>
    </w:p>
    <w:p>
      <w:pPr>
        <w:pStyle w:val="BodyText"/>
      </w:pPr>
      <w:hyperlink r:id="rId43">
        <w:r>
          <w:rPr>
            <w:rStyle w:val="Hyperlink"/>
          </w:rPr>
          <w:t xml:space="preserve">https://www.fnb-online.com/about-us/newsroom/press-releases/2026/260120-fnb-corporation-reports-fourth-quarter-and-full-year</w:t>
        </w:r>
      </w:hyperlink>
    </w:p>
    <w:p>
      <w:pPr>
        <w:pStyle w:val="BodyText"/>
      </w:pPr>
      <w:hyperlink r:id="rId31">
        <w:r>
          <w:rPr>
            <w:rStyle w:val="Hyperlink"/>
          </w:rPr>
          <w:t xml:space="preserve">[10]</w:t>
        </w:r>
      </w:hyperlink>
      <w:r>
        <w:t xml:space="preserve"> </w:t>
      </w:r>
      <w:r>
        <w:t xml:space="preserve">WAL Q4 2025 Earnings Presentation</w:t>
      </w:r>
    </w:p>
    <w:p>
      <w:pPr>
        <w:pStyle w:val="BodyText"/>
      </w:pPr>
      <w:hyperlink r:id="rId44">
        <w:r>
          <w:rPr>
            <w:rStyle w:val="Hyperlink"/>
          </w:rPr>
          <w:t xml:space="preserve">https://investors.westernalliancebancorporation.com/files/doc_financials/2025/q4/WAL-Q4-2025-Earnings-Presentation.pdf</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2">
        <w:r>
          <w:rPr>
            <w:rStyle w:val="Hyperlink"/>
          </w:rPr>
          <w:t xml:space="preserve">[13]</w:t>
        </w:r>
      </w:hyperlink>
      <w:r>
        <w:t xml:space="preserve"> </w:t>
      </w:r>
      <w:r>
        <w:t xml:space="preserve">EWBC 99.1 8K 12.31.2025</w:t>
      </w:r>
    </w:p>
    <w:p>
      <w:pPr>
        <w:pStyle w:val="BodyText"/>
      </w:pPr>
      <w:hyperlink r:id="rId45">
        <w:r>
          <w:rPr>
            <w:rStyle w:val="Hyperlink"/>
          </w:rPr>
          <w:t xml:space="preserve">https://s23.q4cdn.com/205723478/files/doc_financials/2025/q4/EWBC-99-1-8K-12-31-2025-FINAL.pdf</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cdr.ffiec.gov/CDRDownload/CDR/UserGuide/v151/FFIEC%20UBPR%20User%20Guide%20Analysis%20of%20Concentrations%20of%20Credit--Page%207B_2024-03-18.PDF" TargetMode="External" /><Relationship Type="http://schemas.openxmlformats.org/officeDocument/2006/relationships/hyperlink" Id="rId22" Target="https://cdr.ffiec.gov/CDRDownload/CDR/UserGuide/v151/FFIEC%20UBPR%20User%20Guide%20Analysis%20of%20Concentrations%20of%20Credit--Page%207B_2024-03-18.PDF#:~:text=and%20loans%20to%20finance%20CRE,01%27%2CPCTOF%28uc%3AUBPR1415%5BP0%5D%2Cuc%3AUBPRD245%5BP0%5D%29%2C%20NULL" TargetMode="External" /><Relationship Type="http://schemas.openxmlformats.org/officeDocument/2006/relationships/hyperlink" Id="rId21" Target="https://cdr.ffiec.gov/CDRDownload/CDR/UserGuide/v151/FFIEC%20UBPR%20User%20Guide%20Analysis%20of%20Concentrations%20of%20Credit--Page%207B_2024-03-18.PDF#:~:text=loans%2C%20non,01%27%2CPCTOF%28uc%3AUBPRD651%5BP0%5D%2Cuc%3AUBPRD245%5BP0" TargetMode="External" /><Relationship Type="http://schemas.openxmlformats.org/officeDocument/2006/relationships/hyperlink" Id="rId42" Target="https://intellectia.ai/stock/FNB/earnings/transcript-FY2025Q4-2026-01-21" TargetMode="External" /><Relationship Type="http://schemas.openxmlformats.org/officeDocument/2006/relationships/hyperlink" Id="rId26" Target="https://intellectia.ai/stock/FNB/earnings/transcript-FY2025Q4-2026-01-21#:~:text=Loan,reflecting%20effective%20balance%20sheet%20management" TargetMode="External" /><Relationship Type="http://schemas.openxmlformats.org/officeDocument/2006/relationships/hyperlink" Id="rId27" Target="https://intellectia.ai/stock/FNB/earnings/transcript-FY2025Q4-2026-01-21#:~:text=Risk%20or%20Challenges" TargetMode="External" /><Relationship Type="http://schemas.openxmlformats.org/officeDocument/2006/relationships/hyperlink" Id="rId44" Target="https://investors.westernalliancebancorporation.com/files/doc_financials/2025/q4/WAL-Q4-2025-Earnings-Presentation.pdf" TargetMode="External" /><Relationship Type="http://schemas.openxmlformats.org/officeDocument/2006/relationships/hyperlink" Id="rId31" Target="https://investors.westernalliancebancorporation.com/files/doc_financials/2025/q4/WAL-Q4-2025-Earnings-Presentation.pdf#:~:text=%24%2052,Offs" TargetMode="External" /><Relationship Type="http://schemas.openxmlformats.org/officeDocument/2006/relationships/hyperlink" Id="rId41" Target="https://ir.ozk.com/static-files/d4f1ea48-60fc-459f-b405-9b6806f4e121" TargetMode="External" /><Relationship Type="http://schemas.openxmlformats.org/officeDocument/2006/relationships/hyperlink" Id="rId25" Target="https://ir.ozk.com/static-files/d4f1ea48-60fc-459f-b405-9b6806f4e121#:~:text=Bank%20OZK%20FDIC%20Insured%20Institutions," TargetMode="External" /><Relationship Type="http://schemas.openxmlformats.org/officeDocument/2006/relationships/hyperlink" Id="rId45" Target="https://s23.q4cdn.com/205723478/files/doc_financials/2025/q4/EWBC-99-1-8K-12-31-2025-FINAL.pdf" TargetMode="External" /><Relationship Type="http://schemas.openxmlformats.org/officeDocument/2006/relationships/hyperlink" Id="rId32" Target="https://s23.q4cdn.com/205723478/files/doc_financials/2025/q4/EWBC-99-1-8K-12-31-2025-FINAL.pdf#:~:text=%24%2017%2C397%2C158%203.6%20,%E2%80%9CCRE%E2%80%9D" TargetMode="External" /><Relationship Type="http://schemas.openxmlformats.org/officeDocument/2006/relationships/hyperlink" Id="rId33" Target="https://s23.q4cdn.com/205723478/files/doc_financials/2025/q4/EWBC-99-1-8K-12-31-2025-FINAL.pdf#:~:text=Risk,CET1%20capital%20ratio" TargetMode="External" /><Relationship Type="http://schemas.openxmlformats.org/officeDocument/2006/relationships/hyperlink" Id="rId43" Target="https://www.fnb-online.com/about-us/newsroom/press-releases/2026/260120-fnb-corporation-reports-fourth-quarter-and-full-year" TargetMode="External" /><Relationship Type="http://schemas.openxmlformats.org/officeDocument/2006/relationships/hyperlink" Id="rId28" Target="https://www.fnb-online.com/about-us/newsroom/press-releases/2026/260120-fnb-corporation-reports-fourth-quarter-and-full-year#:~:text=ACL%20was%20%24439,26" TargetMode="External" /><Relationship Type="http://schemas.openxmlformats.org/officeDocument/2006/relationships/hyperlink" Id="rId29" Target="https://www.fnb-online.com/about-us/newsroom/press-releases/2026/260120-fnb-corporation-reports-fourth-quarter-and-full-year#:~:text=The%20fourth%20quarter%20of%202025,26" TargetMode="External" /><Relationship Type="http://schemas.openxmlformats.org/officeDocument/2006/relationships/hyperlink" Id="rId30" Target="https://www.fnb-online.com/about-us/newsroom/press-releases/2026/260120-fnb-corporation-reports-fourth-quarter-and-full-year#:~:text=The%20ratio%20of%20non,metrics%20remain%20at%20solid%20levels" TargetMode="External" /><Relationship Type="http://schemas.openxmlformats.org/officeDocument/2006/relationships/hyperlink" Id="rId40" Target="https://www.reuters.com/markets/us/us-regional-lenders-commercial-real-estate-exposure-spotlight-after-carnage-2024-02-05/" TargetMode="External" /><Relationship Type="http://schemas.openxmlformats.org/officeDocument/2006/relationships/hyperlink" Id="rId24" Target="https://www.reuters.com/markets/us/us-regional-lenders-commercial-real-estate-exposure-spotlight-after-carnage-2024-02-05/#:~:text=Columbia%20Banking%20Systems%27%20%28COLB,Bank" TargetMode="External" /></Relationships>
</file>

<file path=word/_rels/footnotes.xml.rels><?xml version="1.0" encoding="UTF-8"?><Relationships xmlns="http://schemas.openxmlformats.org/package/2006/relationships"><Relationship Type="http://schemas.openxmlformats.org/officeDocument/2006/relationships/hyperlink" Id="rId39" Target="https://cdr.ffiec.gov/CDRDownload/CDR/UserGuide/v151/FFIEC%20UBPR%20User%20Guide%20Analysis%20of%20Concentrations%20of%20Credit--Page%207B_2024-03-18.PDF" TargetMode="External" /><Relationship Type="http://schemas.openxmlformats.org/officeDocument/2006/relationships/hyperlink" Id="rId22" Target="https://cdr.ffiec.gov/CDRDownload/CDR/UserGuide/v151/FFIEC%20UBPR%20User%20Guide%20Analysis%20of%20Concentrations%20of%20Credit--Page%207B_2024-03-18.PDF#:~:text=and%20loans%20to%20finance%20CRE,01%27%2CPCTOF%28uc%3AUBPR1415%5BP0%5D%2Cuc%3AUBPRD245%5BP0%5D%29%2C%20NULL" TargetMode="External" /><Relationship Type="http://schemas.openxmlformats.org/officeDocument/2006/relationships/hyperlink" Id="rId21" Target="https://cdr.ffiec.gov/CDRDownload/CDR/UserGuide/v151/FFIEC%20UBPR%20User%20Guide%20Analysis%20of%20Concentrations%20of%20Credit--Page%207B_2024-03-18.PDF#:~:text=loans%2C%20non,01%27%2CPCTOF%28uc%3AUBPRD651%5BP0%5D%2Cuc%3AUBPRD245%5BP0" TargetMode="External" /><Relationship Type="http://schemas.openxmlformats.org/officeDocument/2006/relationships/hyperlink" Id="rId42" Target="https://intellectia.ai/stock/FNB/earnings/transcript-FY2025Q4-2026-01-21" TargetMode="External" /><Relationship Type="http://schemas.openxmlformats.org/officeDocument/2006/relationships/hyperlink" Id="rId26" Target="https://intellectia.ai/stock/FNB/earnings/transcript-FY2025Q4-2026-01-21#:~:text=Loan,reflecting%20effective%20balance%20sheet%20management" TargetMode="External" /><Relationship Type="http://schemas.openxmlformats.org/officeDocument/2006/relationships/hyperlink" Id="rId27" Target="https://intellectia.ai/stock/FNB/earnings/transcript-FY2025Q4-2026-01-21#:~:text=Risk%20or%20Challenges" TargetMode="External" /><Relationship Type="http://schemas.openxmlformats.org/officeDocument/2006/relationships/hyperlink" Id="rId44" Target="https://investors.westernalliancebancorporation.com/files/doc_financials/2025/q4/WAL-Q4-2025-Earnings-Presentation.pdf" TargetMode="External" /><Relationship Type="http://schemas.openxmlformats.org/officeDocument/2006/relationships/hyperlink" Id="rId31" Target="https://investors.westernalliancebancorporation.com/files/doc_financials/2025/q4/WAL-Q4-2025-Earnings-Presentation.pdf#:~:text=%24%2052,Offs" TargetMode="External" /><Relationship Type="http://schemas.openxmlformats.org/officeDocument/2006/relationships/hyperlink" Id="rId41" Target="https://ir.ozk.com/static-files/d4f1ea48-60fc-459f-b405-9b6806f4e121" TargetMode="External" /><Relationship Type="http://schemas.openxmlformats.org/officeDocument/2006/relationships/hyperlink" Id="rId25" Target="https://ir.ozk.com/static-files/d4f1ea48-60fc-459f-b405-9b6806f4e121#:~:text=Bank%20OZK%20FDIC%20Insured%20Institutions," TargetMode="External" /><Relationship Type="http://schemas.openxmlformats.org/officeDocument/2006/relationships/hyperlink" Id="rId45" Target="https://s23.q4cdn.com/205723478/files/doc_financials/2025/q4/EWBC-99-1-8K-12-31-2025-FINAL.pdf" TargetMode="External" /><Relationship Type="http://schemas.openxmlformats.org/officeDocument/2006/relationships/hyperlink" Id="rId32" Target="https://s23.q4cdn.com/205723478/files/doc_financials/2025/q4/EWBC-99-1-8K-12-31-2025-FINAL.pdf#:~:text=%24%2017%2C397%2C158%203.6%20,%E2%80%9CCRE%E2%80%9D" TargetMode="External" /><Relationship Type="http://schemas.openxmlformats.org/officeDocument/2006/relationships/hyperlink" Id="rId33" Target="https://s23.q4cdn.com/205723478/files/doc_financials/2025/q4/EWBC-99-1-8K-12-31-2025-FINAL.pdf#:~:text=Risk,CET1%20capital%20ratio" TargetMode="External" /><Relationship Type="http://schemas.openxmlformats.org/officeDocument/2006/relationships/hyperlink" Id="rId43" Target="https://www.fnb-online.com/about-us/newsroom/press-releases/2026/260120-fnb-corporation-reports-fourth-quarter-and-full-year" TargetMode="External" /><Relationship Type="http://schemas.openxmlformats.org/officeDocument/2006/relationships/hyperlink" Id="rId28" Target="https://www.fnb-online.com/about-us/newsroom/press-releases/2026/260120-fnb-corporation-reports-fourth-quarter-and-full-year#:~:text=ACL%20was%20%24439,26" TargetMode="External" /><Relationship Type="http://schemas.openxmlformats.org/officeDocument/2006/relationships/hyperlink" Id="rId29" Target="https://www.fnb-online.com/about-us/newsroom/press-releases/2026/260120-fnb-corporation-reports-fourth-quarter-and-full-year#:~:text=The%20fourth%20quarter%20of%202025,26" TargetMode="External" /><Relationship Type="http://schemas.openxmlformats.org/officeDocument/2006/relationships/hyperlink" Id="rId30" Target="https://www.fnb-online.com/about-us/newsroom/press-releases/2026/260120-fnb-corporation-reports-fourth-quarter-and-full-year#:~:text=The%20ratio%20of%20non,metrics%20remain%20at%20solid%20levels" TargetMode="External" /><Relationship Type="http://schemas.openxmlformats.org/officeDocument/2006/relationships/hyperlink" Id="rId40" Target="https://www.reuters.com/markets/us/us-regional-lenders-commercial-real-estate-exposure-spotlight-after-carnage-2024-02-05/" TargetMode="External" /><Relationship Type="http://schemas.openxmlformats.org/officeDocument/2006/relationships/hyperlink" Id="rId24" Target="https://www.reuters.com/markets/us/us-regional-lenders-commercial-real-estate-exposure-spotlight-after-carnage-2024-02-05/#:~:text=Columbia%20Banking%20Systems%27%20%28COLB,Ba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2026-03-24T23:23:21Z</dcterms:created>
  <dcterms:modified xsi:type="dcterms:W3CDTF">2026-03-24T23:23:21Z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