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User:</w:t>
      </w:r>
    </w:p>
    <w:p>
      <w:pPr>
        <w:pStyle w:val="a0"/>
      </w:pPr>
      <w:r>
        <w:t xml:space="preserve">Provide a detailed analysis of global fertilizer supply chain dependency on the Persian Gulf and Strait of Hormuz:</w:t>
      </w:r>
    </w:p>
    <w:p>
      <w:pPr>
        <w:pStyle w:val="Compact"/>
        <w:numPr>
          <w:ilvl w:val="0"/>
          <w:numId w:val="1001"/>
        </w:numPr>
      </w:pPr>
      <w:r>
        <w:t xml:space="preserve">Map the top 10 global urea exporters by volume (million metric tons/year). For each, state whether exports transit Hormuz.</w:t>
      </w:r>
    </w:p>
    <w:p>
      <w:pPr>
        <w:pStyle w:val="Compact"/>
        <w:numPr>
          <w:ilvl w:val="0"/>
          <w:numId w:val="1001"/>
        </w:numPr>
      </w:pPr>
      <w:r>
        <w:t xml:space="preserve">Map the top 10 global DAP/phosphate exporters similarly.</w:t>
      </w:r>
    </w:p>
    <w:p>
      <w:pPr>
        <w:pStyle w:val="Compact"/>
        <w:numPr>
          <w:ilvl w:val="0"/>
          <w:numId w:val="1001"/>
        </w:numPr>
      </w:pPr>
      <w:r>
        <w:t xml:space="preserve">What is the current global urea inventory level vs historical average? Are inventories lean or well-stocked heading into spring 2026?</w:t>
      </w:r>
    </w:p>
    <w:p>
      <w:pPr>
        <w:pStyle w:val="Compact"/>
        <w:numPr>
          <w:ilvl w:val="0"/>
          <w:numId w:val="1001"/>
        </w:numPr>
      </w:pPr>
      <w:r>
        <w:t xml:space="preserve">India imports roughly what percentage of its fertilizer needs? What percentage comes from Gulf sources? Has India announced any emergency tenders or strategic reserve releases since March 1, 2026?</w:t>
      </w:r>
    </w:p>
    <w:p>
      <w:pPr>
        <w:pStyle w:val="Compact"/>
        <w:numPr>
          <w:ilvl w:val="0"/>
          <w:numId w:val="1001"/>
        </w:numPr>
      </w:pPr>
      <w:r>
        <w:t xml:space="preserve">Brazil’s upcoming planting season (safrinha) — what is their Gulf fertilizer dependency and timeline pressure?</w:t>
      </w:r>
    </w:p>
    <w:p>
      <w:pPr>
        <w:pStyle w:val="Compact"/>
        <w:numPr>
          <w:ilvl w:val="0"/>
          <w:numId w:val="1001"/>
        </w:numPr>
      </w:pPr>
      <w:r>
        <w:t xml:space="preserve">How long can global fertilizer markets sustain a Hormuz closure before physical shortages materialize at the farm level? Estimate in weeks.</w:t>
      </w:r>
    </w:p>
    <w:p>
      <w:pPr>
        <w:pStyle w:val="Compact"/>
        <w:numPr>
          <w:ilvl w:val="0"/>
          <w:numId w:val="1001"/>
        </w:numPr>
      </w:pPr>
      <w:r>
        <w:t xml:space="preserve">Are there any reports of fertilizer cargo ships being rerouted around Africa (Cape of Good Hope)? What does the additional transit time do to delivery schedules and spot prices?</w:t>
      </w:r>
    </w:p>
    <w:p>
      <w:pPr>
        <w:pStyle w:val="Compact"/>
        <w:numPr>
          <w:ilvl w:val="0"/>
          <w:numId w:val="1001"/>
        </w:numPr>
      </w:pPr>
      <w:r>
        <w:t xml:space="preserve">US domestic fertilizer production capacity — what percentage of US farmer needs can be met domestically without any imports?</w:t>
      </w:r>
    </w:p>
    <w:p>
      <w:pPr>
        <w:pStyle w:val="Compact"/>
        <w:numPr>
          <w:ilvl w:val="0"/>
          <w:numId w:val="1001"/>
        </w:numPr>
      </w:pPr>
      <w:r>
        <w:t xml:space="preserve">Have any US farm cooperatives, ag retailers, or state agriculture departments issued warnings or guidance about fertilizer availability for spring 2026?</w:t>
      </w:r>
    </w:p>
    <w:p>
      <w:pPr>
        <w:pStyle w:val="Compact"/>
        <w:numPr>
          <w:ilvl w:val="0"/>
          <w:numId w:val="1001"/>
        </w:numPr>
      </w:pPr>
      <w:r>
        <w:t xml:space="preserve">What happened to global food prices (wheat, corn, rice, soybeans) when fertilizer prices spiked in 2022? What is the transmission lag from fertilizer price to food price?</w:t>
      </w:r>
    </w:p>
    <w:p>
      <w:pPr>
        <w:pStyle w:val="FirstParagraph"/>
      </w:pPr>
      <w:r>
        <w:t xml:space="preserve">Cite sources with dates. Focus on actionable data for evaluating an investment in US-based fertilizer producers.</w:t>
      </w:r>
    </w:p>
    <w:p>
      <w:r>
        <w:pict>
          <v:rect style="width:0;height:1.5pt" o:hralign="center" o:hrstd="t" o:hr="t"/>
        </w:pict>
      </w:r>
    </w:p>
    <w:p>
      <w:pPr>
        <w:pStyle w:val="FirstParagraph"/>
      </w:pPr>
      <w:r>
        <w:rPr>
          <w:b/>
          <w:bCs/>
        </w:rPr>
        <w:t xml:space="preserve">Kimi:</w:t>
      </w:r>
    </w:p>
    <w:p>
      <w:pPr>
        <w:pStyle w:val="a0"/>
      </w:pPr>
      <w:r>
        <w:t xml:space="preserve">Based on my research, here is a detailed analysis of global fertilizer supply chain dependency on the Persian Gulf and Strait of Hormuz, with actionable data for evaluating US-based fertilizer producer investments.</w:t>
      </w:r>
    </w:p>
    <w:p>
      <w:r>
        <w:pict>
          <v:rect style="width:0;height:1.5pt" o:hralign="center" o:hrstd="t" o:hr="t"/>
        </w:pict>
      </w:r>
    </w:p>
    <w:bookmarkStart w:id="20" w:name="executive-summary"/>
    <w:p>
      <w:pPr>
        <w:pStyle w:val="2"/>
      </w:pPr>
      <w:r>
        <w:t xml:space="preserve">Executive Summary</w:t>
      </w:r>
    </w:p>
    <w:p>
      <w:pPr>
        <w:pStyle w:val="FirstParagraph"/>
      </w:pPr>
      <w:r>
        <w:t xml:space="preserve">The Strait of Hormuz closure in March 2026 has created an acute crisis for global fertilizer markets. Approximately</w:t>
      </w:r>
      <w:r>
        <w:t xml:space="preserve"> </w:t>
      </w:r>
      <w:r>
        <w:rPr>
          <w:b/>
          <w:bCs/>
        </w:rPr>
        <w:t xml:space="preserve">25-35% of globally traded ammonia and urea</w:t>
      </w:r>
      <w:r>
        <w:t xml:space="preserve"> </w:t>
      </w:r>
      <w:r>
        <w:t xml:space="preserve">transits through Hormuz, with the Middle East accounting for roughly</w:t>
      </w:r>
      <w:r>
        <w:t xml:space="preserve"> </w:t>
      </w:r>
      <w:r>
        <w:rPr>
          <w:b/>
          <w:bCs/>
        </w:rPr>
        <w:t xml:space="preserve">35% of global seaborne urea trade</w:t>
      </w:r>
      <w:r>
        <w:t xml:space="preserve"> </w:t>
      </w:r>
      <w:r>
        <w:t xml:space="preserve">(~20 million tonnes/year) . The simultaneous disruption of Hormuz and Red Sea/Suez routes has forced carriers to reroute around Africa, adding</w:t>
      </w:r>
      <w:r>
        <w:t xml:space="preserve"> </w:t>
      </w:r>
      <w:r>
        <w:rPr>
          <w:b/>
          <w:bCs/>
        </w:rPr>
        <w:t xml:space="preserve">10-14 days</w:t>
      </w:r>
      <w:r>
        <w:t xml:space="preserve"> </w:t>
      </w:r>
      <w:r>
        <w:t xml:space="preserve">and approximately</w:t>
      </w:r>
      <w:r>
        <w:t xml:space="preserve"> </w:t>
      </w:r>
      <w:r>
        <w:rPr>
          <w:b/>
          <w:bCs/>
        </w:rPr>
        <w:t xml:space="preserve">$1 million in fuel costs per voyage</w:t>
      </w:r>
      <w:r>
        <w:t xml:space="preserve"> </w:t>
      </w:r>
      <w:r>
        <w:t xml:space="preserve">.</w:t>
      </w:r>
    </w:p>
    <w:p>
      <w:r>
        <w:pict>
          <v:rect style="width:0;height:1.5pt" o:hralign="center" o:hrstd="t" o:hr="t"/>
        </w:pict>
      </w:r>
    </w:p>
    <w:bookmarkEnd w:id="20"/>
    <w:bookmarkStart w:id="21" w:name="top-10-global-urea-exporters-2024-data"/>
    <w:p>
      <w:pPr>
        <w:pStyle w:val="2"/>
      </w:pPr>
      <w:r>
        <w:t xml:space="preserve">1. Top 10 Global Urea Exporters (2024 Data)</w:t>
      </w:r>
    </w:p>
    <w:tbl>
      <w:tblPr>
        <w:tblStyle w:val="Table"/>
        <w:tblW w:type="pct" w:w="5000"/>
        <w:jc w:val="left"/>
        <w:tblLayout w:type="fixed"/>
        <w:tblLook w:firstRow="1" w:lastRow="0" w:firstColumn="0" w:lastColumn="0" w:noHBand="0" w:noVBand="0" w:val="0020"/>
      </w:tblPr>
      <w:tblGrid>
        <w:gridCol w:w="609"/>
        <w:gridCol w:w="913"/>
        <w:gridCol w:w="3046"/>
        <w:gridCol w:w="2640"/>
        <w:gridCol w:w="710"/>
      </w:tblGrid>
      <w:tr>
        <w:trPr>
          <w:tblHeader w:val="on"/>
        </w:trPr>
        <w:tc>
          <w:tcPr/>
          <w:p>
            <w:pPr>
              <w:pStyle w:val="Compact"/>
              <w:jc w:val="left"/>
            </w:pPr>
            <w:r>
              <w:t xml:space="preserve">Rank</w:t>
            </w:r>
          </w:p>
        </w:tc>
        <w:tc>
          <w:tcPr/>
          <w:p>
            <w:pPr>
              <w:pStyle w:val="Compact"/>
              <w:jc w:val="left"/>
            </w:pPr>
            <w:r>
              <w:t xml:space="preserve">Country</w:t>
            </w:r>
          </w:p>
        </w:tc>
        <w:tc>
          <w:tcPr/>
          <w:p>
            <w:pPr>
              <w:pStyle w:val="Compact"/>
              <w:jc w:val="left"/>
            </w:pPr>
            <w:r>
              <w:t xml:space="preserve">Volume (Million Metric Tons)</w:t>
            </w:r>
          </w:p>
        </w:tc>
        <w:tc>
          <w:tcPr/>
          <w:p>
            <w:pPr>
              <w:pStyle w:val="Compact"/>
              <w:jc w:val="left"/>
            </w:pPr>
            <w:r>
              <w:t xml:space="preserve">Hormuz Transit Required?</w:t>
            </w:r>
          </w:p>
        </w:tc>
        <w:tc>
          <w:tcPr/>
          <w:p>
            <w:pPr>
              <w:pStyle w:val="Compact"/>
              <w:jc w:val="left"/>
            </w:pPr>
            <w:r>
              <w:t xml:space="preserve">Notes</w:t>
            </w:r>
          </w:p>
        </w:tc>
      </w:tr>
      <w:tr>
        <w:tc>
          <w:tcPr/>
          <w:p>
            <w:pPr>
              <w:pStyle w:val="Compact"/>
              <w:jc w:val="left"/>
            </w:pPr>
            <w:r>
              <w:t xml:space="preserve">1</w:t>
            </w:r>
          </w:p>
        </w:tc>
        <w:tc>
          <w:tcPr/>
          <w:p>
            <w:pPr>
              <w:pStyle w:val="Compact"/>
              <w:jc w:val="left"/>
            </w:pPr>
            <w:r>
              <w:rPr>
                <w:b/>
                <w:bCs/>
              </w:rPr>
              <w:t xml:space="preserve">Russia</w:t>
            </w:r>
          </w:p>
        </w:tc>
        <w:tc>
          <w:tcPr/>
          <w:p>
            <w:pPr>
              <w:pStyle w:val="Compact"/>
              <w:jc w:val="left"/>
            </w:pPr>
            <w:r>
              <w:t xml:space="preserve">~6.8</w:t>
            </w:r>
          </w:p>
        </w:tc>
        <w:tc>
          <w:tcPr/>
          <w:p>
            <w:pPr>
              <w:pStyle w:val="Compact"/>
              <w:jc w:val="left"/>
            </w:pPr>
            <w:r>
              <w:rPr>
                <w:b/>
                <w:bCs/>
              </w:rPr>
              <w:t xml:space="preserve">No</w:t>
            </w:r>
          </w:p>
        </w:tc>
        <w:tc>
          <w:tcPr/>
          <w:p>
            <w:pPr>
              <w:pStyle w:val="Compact"/>
              <w:jc w:val="left"/>
            </w:pPr>
            <w:r>
              <w:t xml:space="preserve">Pipeline/Black Sea/Rail routes to Europe/Asia</w:t>
            </w:r>
          </w:p>
        </w:tc>
      </w:tr>
      <w:tr>
        <w:tc>
          <w:tcPr/>
          <w:p>
            <w:pPr>
              <w:pStyle w:val="Compact"/>
              <w:jc w:val="left"/>
            </w:pPr>
            <w:r>
              <w:t xml:space="preserve">2</w:t>
            </w:r>
          </w:p>
        </w:tc>
        <w:tc>
          <w:tcPr/>
          <w:p>
            <w:pPr>
              <w:pStyle w:val="Compact"/>
              <w:jc w:val="left"/>
            </w:pPr>
            <w:r>
              <w:rPr>
                <w:b/>
                <w:bCs/>
              </w:rPr>
              <w:t xml:space="preserve">Oman</w:t>
            </w:r>
          </w:p>
        </w:tc>
        <w:tc>
          <w:tcPr/>
          <w:p>
            <w:pPr>
              <w:pStyle w:val="Compact"/>
              <w:jc w:val="left"/>
            </w:pPr>
            <w:r>
              <w:t xml:space="preserve">~7.2</w:t>
            </w:r>
          </w:p>
        </w:tc>
        <w:tc>
          <w:tcPr/>
          <w:p>
            <w:pPr>
              <w:pStyle w:val="Compact"/>
              <w:jc w:val="left"/>
            </w:pPr>
            <w:r>
              <w:rPr>
                <w:b/>
                <w:bCs/>
              </w:rPr>
              <w:t xml:space="preserve">Yes</w:t>
            </w:r>
          </w:p>
        </w:tc>
        <w:tc>
          <w:tcPr/>
          <w:p>
            <w:pPr>
              <w:pStyle w:val="Compact"/>
              <w:jc w:val="left"/>
            </w:pPr>
            <w:r>
              <w:t xml:space="preserve">Major supplier to India; exports transit Hormuz</w:t>
            </w:r>
          </w:p>
        </w:tc>
      </w:tr>
      <w:tr>
        <w:tc>
          <w:tcPr/>
          <w:p>
            <w:pPr>
              <w:pStyle w:val="Compact"/>
              <w:jc w:val="left"/>
            </w:pPr>
            <w:r>
              <w:t xml:space="preserve">3</w:t>
            </w:r>
          </w:p>
        </w:tc>
        <w:tc>
          <w:tcPr/>
          <w:p>
            <w:pPr>
              <w:pStyle w:val="Compact"/>
              <w:jc w:val="left"/>
            </w:pPr>
            <w:r>
              <w:rPr>
                <w:b/>
                <w:bCs/>
              </w:rPr>
              <w:t xml:space="preserve">Qatar</w:t>
            </w:r>
          </w:p>
        </w:tc>
        <w:tc>
          <w:tcPr/>
          <w:p>
            <w:pPr>
              <w:pStyle w:val="Compact"/>
              <w:jc w:val="left"/>
            </w:pPr>
            <w:r>
              <w:t xml:space="preserve">~5.0</w:t>
            </w:r>
          </w:p>
        </w:tc>
        <w:tc>
          <w:tcPr/>
          <w:p>
            <w:pPr>
              <w:pStyle w:val="Compact"/>
              <w:jc w:val="left"/>
            </w:pPr>
            <w:r>
              <w:rPr>
                <w:b/>
                <w:bCs/>
              </w:rPr>
              <w:t xml:space="preserve">Yes</w:t>
            </w:r>
          </w:p>
        </w:tc>
        <w:tc>
          <w:tcPr/>
          <w:p>
            <w:pPr>
              <w:pStyle w:val="Compact"/>
              <w:jc w:val="left"/>
            </w:pPr>
            <w:r>
              <w:t xml:space="preserve">LNG-based production; all exports via Hormuz</w:t>
            </w:r>
          </w:p>
        </w:tc>
      </w:tr>
      <w:tr>
        <w:tc>
          <w:tcPr/>
          <w:p>
            <w:pPr>
              <w:pStyle w:val="Compact"/>
              <w:jc w:val="left"/>
            </w:pPr>
            <w:r>
              <w:t xml:space="preserve">4</w:t>
            </w:r>
          </w:p>
        </w:tc>
        <w:tc>
          <w:tcPr/>
          <w:p>
            <w:pPr>
              <w:pStyle w:val="Compact"/>
              <w:jc w:val="left"/>
            </w:pPr>
            <w:r>
              <w:rPr>
                <w:b/>
                <w:bCs/>
              </w:rPr>
              <w:t xml:space="preserve">Saudi Arabia</w:t>
            </w:r>
          </w:p>
        </w:tc>
        <w:tc>
          <w:tcPr/>
          <w:p>
            <w:pPr>
              <w:pStyle w:val="Compact"/>
              <w:jc w:val="left"/>
            </w:pPr>
            <w:r>
              <w:t xml:space="preserve">~4.4</w:t>
            </w:r>
          </w:p>
        </w:tc>
        <w:tc>
          <w:tcPr/>
          <w:p>
            <w:pPr>
              <w:pStyle w:val="Compact"/>
              <w:jc w:val="left"/>
            </w:pPr>
            <w:r>
              <w:rPr>
                <w:b/>
                <w:bCs/>
              </w:rPr>
              <w:t xml:space="preserve">Yes</w:t>
            </w:r>
          </w:p>
        </w:tc>
        <w:tc>
          <w:tcPr/>
          <w:p>
            <w:pPr>
              <w:pStyle w:val="Compact"/>
              <w:jc w:val="left"/>
            </w:pPr>
            <w:r>
              <w:t xml:space="preserve">Ras Tanura terminal; 28% of US urea imports in 2025</w:t>
            </w:r>
          </w:p>
        </w:tc>
      </w:tr>
      <w:tr>
        <w:tc>
          <w:tcPr/>
          <w:p>
            <w:pPr>
              <w:pStyle w:val="Compact"/>
              <w:jc w:val="left"/>
            </w:pPr>
            <w:r>
              <w:t xml:space="preserve">5</w:t>
            </w:r>
          </w:p>
        </w:tc>
        <w:tc>
          <w:tcPr/>
          <w:p>
            <w:pPr>
              <w:pStyle w:val="Compact"/>
              <w:jc w:val="left"/>
            </w:pPr>
            <w:r>
              <w:rPr>
                <w:b/>
                <w:bCs/>
              </w:rPr>
              <w:t xml:space="preserve">Egypt</w:t>
            </w:r>
          </w:p>
        </w:tc>
        <w:tc>
          <w:tcPr/>
          <w:p>
            <w:pPr>
              <w:pStyle w:val="Compact"/>
              <w:jc w:val="left"/>
            </w:pPr>
            <w:r>
              <w:t xml:space="preserve">~3.2</w:t>
            </w:r>
          </w:p>
        </w:tc>
        <w:tc>
          <w:tcPr/>
          <w:p>
            <w:pPr>
              <w:pStyle w:val="Compact"/>
              <w:jc w:val="left"/>
            </w:pPr>
            <w:r>
              <w:rPr>
                <w:b/>
                <w:bCs/>
              </w:rPr>
              <w:t xml:space="preserve">Partial</w:t>
            </w:r>
          </w:p>
        </w:tc>
        <w:tc>
          <w:tcPr/>
          <w:p>
            <w:pPr>
              <w:pStyle w:val="Compact"/>
              <w:jc w:val="left"/>
            </w:pPr>
            <w:r>
              <w:t xml:space="preserve">Some via Suez; Hormuz exposure limited</w:t>
            </w:r>
          </w:p>
        </w:tc>
      </w:tr>
      <w:tr>
        <w:tc>
          <w:tcPr/>
          <w:p>
            <w:pPr>
              <w:pStyle w:val="Compact"/>
              <w:jc w:val="left"/>
            </w:pPr>
            <w:r>
              <w:t xml:space="preserve">6</w:t>
            </w:r>
          </w:p>
        </w:tc>
        <w:tc>
          <w:tcPr/>
          <w:p>
            <w:pPr>
              <w:pStyle w:val="Compact"/>
              <w:jc w:val="left"/>
            </w:pPr>
            <w:r>
              <w:rPr>
                <w:b/>
                <w:bCs/>
              </w:rPr>
              <w:t xml:space="preserve">Nigeria</w:t>
            </w:r>
          </w:p>
        </w:tc>
        <w:tc>
          <w:tcPr/>
          <w:p>
            <w:pPr>
              <w:pStyle w:val="Compact"/>
              <w:jc w:val="left"/>
            </w:pPr>
            <w:r>
              <w:t xml:space="preserve">~3.1</w:t>
            </w:r>
          </w:p>
        </w:tc>
        <w:tc>
          <w:tcPr/>
          <w:p>
            <w:pPr>
              <w:pStyle w:val="Compact"/>
              <w:jc w:val="left"/>
            </w:pPr>
            <w:r>
              <w:rPr>
                <w:b/>
                <w:bCs/>
              </w:rPr>
              <w:t xml:space="preserve">No</w:t>
            </w:r>
          </w:p>
        </w:tc>
        <w:tc>
          <w:tcPr/>
          <w:p>
            <w:pPr>
              <w:pStyle w:val="Compact"/>
              <w:jc w:val="left"/>
            </w:pPr>
            <w:r>
              <w:t xml:space="preserve">Atlantic basin supplier</w:t>
            </w:r>
          </w:p>
        </w:tc>
      </w:tr>
      <w:tr>
        <w:tc>
          <w:tcPr/>
          <w:p>
            <w:pPr>
              <w:pStyle w:val="Compact"/>
              <w:jc w:val="left"/>
            </w:pPr>
            <w:r>
              <w:t xml:space="preserve">7</w:t>
            </w:r>
          </w:p>
        </w:tc>
        <w:tc>
          <w:tcPr/>
          <w:p>
            <w:pPr>
              <w:pStyle w:val="Compact"/>
              <w:jc w:val="left"/>
            </w:pPr>
            <w:r>
              <w:rPr>
                <w:b/>
                <w:bCs/>
              </w:rPr>
              <w:t xml:space="preserve">Malaysia</w:t>
            </w:r>
          </w:p>
        </w:tc>
        <w:tc>
          <w:tcPr/>
          <w:p>
            <w:pPr>
              <w:pStyle w:val="Compact"/>
              <w:jc w:val="left"/>
            </w:pPr>
            <w:r>
              <w:t xml:space="preserve">~2.0</w:t>
            </w:r>
          </w:p>
        </w:tc>
        <w:tc>
          <w:tcPr/>
          <w:p>
            <w:pPr>
              <w:pStyle w:val="Compact"/>
              <w:jc w:val="left"/>
            </w:pPr>
            <w:r>
              <w:rPr>
                <w:b/>
                <w:bCs/>
              </w:rPr>
              <w:t xml:space="preserve">No</w:t>
            </w:r>
          </w:p>
        </w:tc>
        <w:tc>
          <w:tcPr/>
          <w:p>
            <w:pPr>
              <w:pStyle w:val="Compact"/>
              <w:jc w:val="left"/>
            </w:pPr>
            <w:r>
              <w:t xml:space="preserve">Southeast Asian supply</w:t>
            </w:r>
          </w:p>
        </w:tc>
      </w:tr>
      <w:tr>
        <w:tc>
          <w:tcPr/>
          <w:p>
            <w:pPr>
              <w:pStyle w:val="Compact"/>
              <w:jc w:val="left"/>
            </w:pPr>
            <w:r>
              <w:t xml:space="preserve">8</w:t>
            </w:r>
          </w:p>
        </w:tc>
        <w:tc>
          <w:tcPr/>
          <w:p>
            <w:pPr>
              <w:pStyle w:val="Compact"/>
              <w:jc w:val="left"/>
            </w:pPr>
            <w:r>
              <w:rPr>
                <w:b/>
                <w:bCs/>
              </w:rPr>
              <w:t xml:space="preserve">Indonesia</w:t>
            </w:r>
          </w:p>
        </w:tc>
        <w:tc>
          <w:tcPr/>
          <w:p>
            <w:pPr>
              <w:pStyle w:val="Compact"/>
              <w:jc w:val="left"/>
            </w:pPr>
            <w:r>
              <w:t xml:space="preserve">~1.5</w:t>
            </w:r>
          </w:p>
        </w:tc>
        <w:tc>
          <w:tcPr/>
          <w:p>
            <w:pPr>
              <w:pStyle w:val="Compact"/>
              <w:jc w:val="left"/>
            </w:pPr>
            <w:r>
              <w:rPr>
                <w:b/>
                <w:bCs/>
              </w:rPr>
              <w:t xml:space="preserve">No</w:t>
            </w:r>
          </w:p>
        </w:tc>
        <w:tc>
          <w:tcPr/>
          <w:p>
            <w:pPr>
              <w:pStyle w:val="Compact"/>
              <w:jc w:val="left"/>
            </w:pPr>
            <w:r>
              <w:t xml:space="preserve">Regional Asian markets</w:t>
            </w:r>
          </w:p>
        </w:tc>
      </w:tr>
      <w:tr>
        <w:tc>
          <w:tcPr/>
          <w:p>
            <w:pPr>
              <w:pStyle w:val="Compact"/>
              <w:jc w:val="left"/>
            </w:pPr>
            <w:r>
              <w:t xml:space="preserve">9</w:t>
            </w:r>
          </w:p>
        </w:tc>
        <w:tc>
          <w:tcPr/>
          <w:p>
            <w:pPr>
              <w:pStyle w:val="Compact"/>
              <w:jc w:val="left"/>
            </w:pPr>
            <w:r>
              <w:rPr>
                <w:b/>
                <w:bCs/>
              </w:rPr>
              <w:t xml:space="preserve">Iran</w:t>
            </w:r>
          </w:p>
        </w:tc>
        <w:tc>
          <w:tcPr/>
          <w:p>
            <w:pPr>
              <w:pStyle w:val="Compact"/>
              <w:jc w:val="left"/>
            </w:pPr>
            <w:r>
              <w:t xml:space="preserve">~1.0+</w:t>
            </w:r>
          </w:p>
        </w:tc>
        <w:tc>
          <w:tcPr/>
          <w:p>
            <w:pPr>
              <w:pStyle w:val="Compact"/>
              <w:jc w:val="left"/>
            </w:pPr>
            <w:r>
              <w:rPr>
                <w:b/>
                <w:bCs/>
              </w:rPr>
              <w:t xml:space="preserve">Yes</w:t>
            </w:r>
          </w:p>
        </w:tc>
        <w:tc>
          <w:tcPr/>
          <w:p>
            <w:pPr>
              <w:pStyle w:val="Compact"/>
              <w:jc w:val="left"/>
            </w:pPr>
            <w:r>
              <w:t xml:space="preserve">Direct Hormuz dependency; exports now blocked</w:t>
            </w:r>
          </w:p>
        </w:tc>
      </w:tr>
      <w:tr>
        <w:tc>
          <w:tcPr/>
          <w:p>
            <w:pPr>
              <w:pStyle w:val="Compact"/>
              <w:jc w:val="left"/>
            </w:pPr>
            <w:r>
              <w:t xml:space="preserve">10</w:t>
            </w:r>
          </w:p>
        </w:tc>
        <w:tc>
          <w:tcPr/>
          <w:p>
            <w:pPr>
              <w:pStyle w:val="Compact"/>
              <w:jc w:val="left"/>
            </w:pPr>
            <w:r>
              <w:rPr>
                <w:b/>
                <w:bCs/>
              </w:rPr>
              <w:t xml:space="preserve">Algeria</w:t>
            </w:r>
          </w:p>
        </w:tc>
        <w:tc>
          <w:tcPr/>
          <w:p>
            <w:pPr>
              <w:pStyle w:val="Compact"/>
              <w:jc w:val="left"/>
            </w:pPr>
            <w:r>
              <w:t xml:space="preserve">~0.8</w:t>
            </w:r>
          </w:p>
        </w:tc>
        <w:tc>
          <w:tcPr/>
          <w:p>
            <w:pPr>
              <w:pStyle w:val="Compact"/>
              <w:jc w:val="left"/>
            </w:pPr>
            <w:r>
              <w:rPr>
                <w:b/>
                <w:bCs/>
              </w:rPr>
              <w:t xml:space="preserve">No</w:t>
            </w:r>
          </w:p>
        </w:tc>
        <w:tc>
          <w:tcPr/>
          <w:p>
            <w:pPr>
              <w:pStyle w:val="Compact"/>
              <w:jc w:val="left"/>
            </w:pPr>
            <w:r>
              <w:t xml:space="preserve">Mediterranean/Atlantic routes</w:t>
            </w:r>
          </w:p>
        </w:tc>
      </w:tr>
    </w:tbl>
    <w:p>
      <w:pPr>
        <w:pStyle w:val="a0"/>
      </w:pPr>
      <w:r>
        <w:rPr>
          <w:b/>
          <w:bCs/>
        </w:rPr>
        <w:t xml:space="preserve">Key Insight:</w:t>
      </w:r>
      <w:r>
        <w:t xml:space="preserve"> </w:t>
      </w:r>
      <w:r>
        <w:t xml:space="preserve">The top three Hormuz-dependent exporters (Oman, Qatar, Saudi Arabia) represent approximately</w:t>
      </w:r>
      <w:r>
        <w:t xml:space="preserve"> </w:t>
      </w:r>
      <w:r>
        <w:rPr>
          <w:b/>
          <w:bCs/>
        </w:rPr>
        <w:t xml:space="preserve">16.6 million tonnes</w:t>
      </w:r>
      <w:r>
        <w:t xml:space="preserve"> </w:t>
      </w:r>
      <w:r>
        <w:t xml:space="preserve">of annual urea exports—roughly</w:t>
      </w:r>
      <w:r>
        <w:t xml:space="preserve"> </w:t>
      </w:r>
      <w:r>
        <w:rPr>
          <w:b/>
          <w:bCs/>
        </w:rPr>
        <w:t xml:space="preserve">30% of global seaborne trade</w:t>
      </w:r>
      <w:r>
        <w:t xml:space="preserve"> </w:t>
      </w:r>
      <w:r>
        <w:t xml:space="preserve">.</w:t>
      </w:r>
    </w:p>
    <w:p>
      <w:r>
        <w:pict>
          <v:rect style="width:0;height:1.5pt" o:hralign="center" o:hrstd="t" o:hr="t"/>
        </w:pict>
      </w:r>
    </w:p>
    <w:bookmarkEnd w:id="21"/>
    <w:bookmarkStart w:id="22" w:name="X60f5074ae9c8a7fde7a309e79ebc84b32e1f259"/>
    <w:p>
      <w:pPr>
        <w:pStyle w:val="2"/>
      </w:pPr>
      <w:r>
        <w:t xml:space="preserve">2. Top 10 Global DAP/Phosphate Exporters (2024 Data)</w:t>
      </w:r>
    </w:p>
    <w:tbl>
      <w:tblPr>
        <w:tblStyle w:val="Table"/>
        <w:tblW w:type="pct" w:w="5000"/>
        <w:jc w:val="left"/>
        <w:tblLayout w:type="fixed"/>
        <w:tblLook w:firstRow="1" w:lastRow="0" w:firstColumn="0" w:lastColumn="0" w:noHBand="0" w:noVBand="0" w:val="0020"/>
      </w:tblPr>
      <w:tblGrid>
        <w:gridCol w:w="609"/>
        <w:gridCol w:w="913"/>
        <w:gridCol w:w="3046"/>
        <w:gridCol w:w="2640"/>
        <w:gridCol w:w="710"/>
      </w:tblGrid>
      <w:tr>
        <w:trPr>
          <w:tblHeader w:val="on"/>
        </w:trPr>
        <w:tc>
          <w:tcPr/>
          <w:p>
            <w:pPr>
              <w:pStyle w:val="Compact"/>
              <w:jc w:val="left"/>
            </w:pPr>
            <w:r>
              <w:t xml:space="preserve">Rank</w:t>
            </w:r>
          </w:p>
        </w:tc>
        <w:tc>
          <w:tcPr/>
          <w:p>
            <w:pPr>
              <w:pStyle w:val="Compact"/>
              <w:jc w:val="left"/>
            </w:pPr>
            <w:r>
              <w:t xml:space="preserve">Country</w:t>
            </w:r>
          </w:p>
        </w:tc>
        <w:tc>
          <w:tcPr/>
          <w:p>
            <w:pPr>
              <w:pStyle w:val="Compact"/>
              <w:jc w:val="left"/>
            </w:pPr>
            <w:r>
              <w:t xml:space="preserve">Volume (Million Metric Tons)</w:t>
            </w:r>
          </w:p>
        </w:tc>
        <w:tc>
          <w:tcPr/>
          <w:p>
            <w:pPr>
              <w:pStyle w:val="Compact"/>
              <w:jc w:val="left"/>
            </w:pPr>
            <w:r>
              <w:t xml:space="preserve">Hormuz Transit Required?</w:t>
            </w:r>
          </w:p>
        </w:tc>
        <w:tc>
          <w:tcPr/>
          <w:p>
            <w:pPr>
              <w:pStyle w:val="Compact"/>
              <w:jc w:val="left"/>
            </w:pPr>
            <w:r>
              <w:t xml:space="preserve">Notes</w:t>
            </w:r>
          </w:p>
        </w:tc>
      </w:tr>
      <w:tr>
        <w:tc>
          <w:tcPr/>
          <w:p>
            <w:pPr>
              <w:pStyle w:val="Compact"/>
              <w:jc w:val="left"/>
            </w:pPr>
            <w:r>
              <w:t xml:space="preserve">1</w:t>
            </w:r>
          </w:p>
        </w:tc>
        <w:tc>
          <w:tcPr/>
          <w:p>
            <w:pPr>
              <w:pStyle w:val="Compact"/>
              <w:jc w:val="left"/>
            </w:pPr>
            <w:r>
              <w:rPr>
                <w:b/>
                <w:bCs/>
              </w:rPr>
              <w:t xml:space="preserve">China</w:t>
            </w:r>
          </w:p>
        </w:tc>
        <w:tc>
          <w:tcPr/>
          <w:p>
            <w:pPr>
              <w:pStyle w:val="Compact"/>
              <w:jc w:val="left"/>
            </w:pPr>
            <w:r>
              <w:t xml:space="preserve">~8.0+</w:t>
            </w:r>
          </w:p>
        </w:tc>
        <w:tc>
          <w:tcPr/>
          <w:p>
            <w:pPr>
              <w:pStyle w:val="Compact"/>
              <w:jc w:val="left"/>
            </w:pPr>
            <w:r>
              <w:rPr>
                <w:b/>
                <w:bCs/>
              </w:rPr>
              <w:t xml:space="preserve">No</w:t>
            </w:r>
          </w:p>
        </w:tc>
        <w:tc>
          <w:tcPr/>
          <w:p>
            <w:pPr>
              <w:pStyle w:val="Compact"/>
              <w:jc w:val="left"/>
            </w:pPr>
            <w:r>
              <w:t xml:space="preserve">Export restrictions in place; limited Hormuz exposure</w:t>
            </w:r>
          </w:p>
        </w:tc>
      </w:tr>
      <w:tr>
        <w:tc>
          <w:tcPr/>
          <w:p>
            <w:pPr>
              <w:pStyle w:val="Compact"/>
              <w:jc w:val="left"/>
            </w:pPr>
            <w:r>
              <w:t xml:space="preserve">2</w:t>
            </w:r>
          </w:p>
        </w:tc>
        <w:tc>
          <w:tcPr/>
          <w:p>
            <w:pPr>
              <w:pStyle w:val="Compact"/>
              <w:jc w:val="left"/>
            </w:pPr>
            <w:r>
              <w:rPr>
                <w:b/>
                <w:bCs/>
              </w:rPr>
              <w:t xml:space="preserve">Saudi Arabia</w:t>
            </w:r>
          </w:p>
        </w:tc>
        <w:tc>
          <w:tcPr/>
          <w:p>
            <w:pPr>
              <w:pStyle w:val="Compact"/>
              <w:jc w:val="left"/>
            </w:pPr>
            <w:r>
              <w:t xml:space="preserve">~3.5</w:t>
            </w:r>
          </w:p>
        </w:tc>
        <w:tc>
          <w:tcPr/>
          <w:p>
            <w:pPr>
              <w:pStyle w:val="Compact"/>
              <w:jc w:val="left"/>
            </w:pPr>
            <w:r>
              <w:rPr>
                <w:b/>
                <w:bCs/>
              </w:rPr>
              <w:t xml:space="preserve">Yes</w:t>
            </w:r>
          </w:p>
        </w:tc>
        <w:tc>
          <w:tcPr/>
          <w:p>
            <w:pPr>
              <w:pStyle w:val="Compact"/>
              <w:jc w:val="left"/>
            </w:pPr>
            <w:r>
              <w:t xml:space="preserve">Ma’aden production; major India supplier</w:t>
            </w:r>
          </w:p>
        </w:tc>
      </w:tr>
      <w:tr>
        <w:tc>
          <w:tcPr/>
          <w:p>
            <w:pPr>
              <w:pStyle w:val="Compact"/>
              <w:jc w:val="left"/>
            </w:pPr>
            <w:r>
              <w:t xml:space="preserve">3</w:t>
            </w:r>
          </w:p>
        </w:tc>
        <w:tc>
          <w:tcPr/>
          <w:p>
            <w:pPr>
              <w:pStyle w:val="Compact"/>
              <w:jc w:val="left"/>
            </w:pPr>
            <w:r>
              <w:rPr>
                <w:b/>
                <w:bCs/>
              </w:rPr>
              <w:t xml:space="preserve">Morocco</w:t>
            </w:r>
          </w:p>
        </w:tc>
        <w:tc>
          <w:tcPr/>
          <w:p>
            <w:pPr>
              <w:pStyle w:val="Compact"/>
              <w:jc w:val="left"/>
            </w:pPr>
            <w:r>
              <w:t xml:space="preserve">~3.0</w:t>
            </w:r>
          </w:p>
        </w:tc>
        <w:tc>
          <w:tcPr/>
          <w:p>
            <w:pPr>
              <w:pStyle w:val="Compact"/>
              <w:jc w:val="left"/>
            </w:pPr>
            <w:r>
              <w:rPr>
                <w:b/>
                <w:bCs/>
              </w:rPr>
              <w:t xml:space="preserve">No</w:t>
            </w:r>
          </w:p>
        </w:tc>
        <w:tc>
          <w:tcPr/>
          <w:p>
            <w:pPr>
              <w:pStyle w:val="Compact"/>
              <w:jc w:val="left"/>
            </w:pPr>
            <w:r>
              <w:t xml:space="preserve">OCP dominates; Atlantic/Mediterranean routes</w:t>
            </w:r>
          </w:p>
        </w:tc>
      </w:tr>
      <w:tr>
        <w:tc>
          <w:tcPr/>
          <w:p>
            <w:pPr>
              <w:pStyle w:val="Compact"/>
              <w:jc w:val="left"/>
            </w:pPr>
            <w:r>
              <w:t xml:space="preserve">4</w:t>
            </w:r>
          </w:p>
        </w:tc>
        <w:tc>
          <w:tcPr/>
          <w:p>
            <w:pPr>
              <w:pStyle w:val="Compact"/>
              <w:jc w:val="left"/>
            </w:pPr>
            <w:r>
              <w:rPr>
                <w:b/>
                <w:bCs/>
              </w:rPr>
              <w:t xml:space="preserve">Russia</w:t>
            </w:r>
          </w:p>
        </w:tc>
        <w:tc>
          <w:tcPr/>
          <w:p>
            <w:pPr>
              <w:pStyle w:val="Compact"/>
              <w:jc w:val="left"/>
            </w:pPr>
            <w:r>
              <w:t xml:space="preserve">~1.4</w:t>
            </w:r>
          </w:p>
        </w:tc>
        <w:tc>
          <w:tcPr/>
          <w:p>
            <w:pPr>
              <w:pStyle w:val="Compact"/>
              <w:jc w:val="left"/>
            </w:pPr>
            <w:r>
              <w:rPr>
                <w:b/>
                <w:bCs/>
              </w:rPr>
              <w:t xml:space="preserve">No</w:t>
            </w:r>
          </w:p>
        </w:tc>
        <w:tc>
          <w:tcPr/>
          <w:p>
            <w:pPr>
              <w:pStyle w:val="Compact"/>
              <w:jc w:val="left"/>
            </w:pPr>
            <w:r>
              <w:t xml:space="preserve">Black Sea/Baltic exports</w:t>
            </w:r>
          </w:p>
        </w:tc>
      </w:tr>
      <w:tr>
        <w:tc>
          <w:tcPr/>
          <w:p>
            <w:pPr>
              <w:pStyle w:val="Compact"/>
              <w:jc w:val="left"/>
            </w:pPr>
            <w:r>
              <w:t xml:space="preserve">5</w:t>
            </w:r>
          </w:p>
        </w:tc>
        <w:tc>
          <w:tcPr/>
          <w:p>
            <w:pPr>
              <w:pStyle w:val="Compact"/>
              <w:jc w:val="left"/>
            </w:pPr>
            <w:r>
              <w:rPr>
                <w:b/>
                <w:bCs/>
              </w:rPr>
              <w:t xml:space="preserve">Australia</w:t>
            </w:r>
          </w:p>
        </w:tc>
        <w:tc>
          <w:tcPr/>
          <w:p>
            <w:pPr>
              <w:pStyle w:val="Compact"/>
              <w:jc w:val="left"/>
            </w:pPr>
            <w:r>
              <w:t xml:space="preserve">~0.4</w:t>
            </w:r>
          </w:p>
        </w:tc>
        <w:tc>
          <w:tcPr/>
          <w:p>
            <w:pPr>
              <w:pStyle w:val="Compact"/>
              <w:jc w:val="left"/>
            </w:pPr>
            <w:r>
              <w:rPr>
                <w:b/>
                <w:bCs/>
              </w:rPr>
              <w:t xml:space="preserve">No</w:t>
            </w:r>
          </w:p>
        </w:tc>
        <w:tc>
          <w:tcPr/>
          <w:p>
            <w:pPr>
              <w:pStyle w:val="Compact"/>
              <w:jc w:val="left"/>
            </w:pPr>
            <w:r>
              <w:t xml:space="preserve">Regional Pacific markets</w:t>
            </w:r>
          </w:p>
        </w:tc>
      </w:tr>
      <w:tr>
        <w:tc>
          <w:tcPr/>
          <w:p>
            <w:pPr>
              <w:pStyle w:val="Compact"/>
              <w:jc w:val="left"/>
            </w:pPr>
            <w:r>
              <w:t xml:space="preserve">6</w:t>
            </w:r>
          </w:p>
        </w:tc>
        <w:tc>
          <w:tcPr/>
          <w:p>
            <w:pPr>
              <w:pStyle w:val="Compact"/>
              <w:jc w:val="left"/>
            </w:pPr>
            <w:r>
              <w:rPr>
                <w:b/>
                <w:bCs/>
              </w:rPr>
              <w:t xml:space="preserve">United States</w:t>
            </w:r>
          </w:p>
        </w:tc>
        <w:tc>
          <w:tcPr/>
          <w:p>
            <w:pPr>
              <w:pStyle w:val="Compact"/>
              <w:jc w:val="left"/>
            </w:pPr>
            <w:r>
              <w:t xml:space="preserve">~0.37</w:t>
            </w:r>
          </w:p>
        </w:tc>
        <w:tc>
          <w:tcPr/>
          <w:p>
            <w:pPr>
              <w:pStyle w:val="Compact"/>
              <w:jc w:val="left"/>
            </w:pPr>
            <w:r>
              <w:rPr>
                <w:b/>
                <w:bCs/>
              </w:rPr>
              <w:t xml:space="preserve">No</w:t>
            </w:r>
          </w:p>
        </w:tc>
        <w:tc>
          <w:tcPr/>
          <w:p>
            <w:pPr>
              <w:pStyle w:val="Compact"/>
              <w:jc w:val="left"/>
            </w:pPr>
            <w:r>
              <w:t xml:space="preserve">Domestic production; limited exports</w:t>
            </w:r>
          </w:p>
        </w:tc>
      </w:tr>
      <w:tr>
        <w:tc>
          <w:tcPr/>
          <w:p>
            <w:pPr>
              <w:pStyle w:val="Compact"/>
              <w:jc w:val="left"/>
            </w:pPr>
            <w:r>
              <w:t xml:space="preserve">7</w:t>
            </w:r>
          </w:p>
        </w:tc>
        <w:tc>
          <w:tcPr/>
          <w:p>
            <w:pPr>
              <w:pStyle w:val="Compact"/>
              <w:jc w:val="left"/>
            </w:pPr>
            <w:r>
              <w:rPr>
                <w:b/>
                <w:bCs/>
              </w:rPr>
              <w:t xml:space="preserve">Tunisia</w:t>
            </w:r>
          </w:p>
        </w:tc>
        <w:tc>
          <w:tcPr/>
          <w:p>
            <w:pPr>
              <w:pStyle w:val="Compact"/>
              <w:jc w:val="left"/>
            </w:pPr>
            <w:r>
              <w:t xml:space="preserve">~0.31</w:t>
            </w:r>
          </w:p>
        </w:tc>
        <w:tc>
          <w:tcPr/>
          <w:p>
            <w:pPr>
              <w:pStyle w:val="Compact"/>
              <w:jc w:val="left"/>
            </w:pPr>
            <w:r>
              <w:rPr>
                <w:b/>
                <w:bCs/>
              </w:rPr>
              <w:t xml:space="preserve">Partial</w:t>
            </w:r>
          </w:p>
        </w:tc>
        <w:tc>
          <w:tcPr/>
          <w:p>
            <w:pPr>
              <w:pStyle w:val="Compact"/>
              <w:jc w:val="left"/>
            </w:pPr>
            <w:r>
              <w:t xml:space="preserve">Mediterranean routes preferred</w:t>
            </w:r>
          </w:p>
        </w:tc>
      </w:tr>
      <w:tr>
        <w:tc>
          <w:tcPr/>
          <w:p>
            <w:pPr>
              <w:pStyle w:val="Compact"/>
              <w:jc w:val="left"/>
            </w:pPr>
            <w:r>
              <w:t xml:space="preserve">8</w:t>
            </w:r>
          </w:p>
        </w:tc>
        <w:tc>
          <w:tcPr/>
          <w:p>
            <w:pPr>
              <w:pStyle w:val="Compact"/>
              <w:jc w:val="left"/>
            </w:pPr>
            <w:r>
              <w:rPr>
                <w:b/>
                <w:bCs/>
              </w:rPr>
              <w:t xml:space="preserve">Jordan</w:t>
            </w:r>
          </w:p>
        </w:tc>
        <w:tc>
          <w:tcPr/>
          <w:p>
            <w:pPr>
              <w:pStyle w:val="Compact"/>
              <w:jc w:val="left"/>
            </w:pPr>
            <w:r>
              <w:t xml:space="preserve">~0.3</w:t>
            </w:r>
          </w:p>
        </w:tc>
        <w:tc>
          <w:tcPr/>
          <w:p>
            <w:pPr>
              <w:pStyle w:val="Compact"/>
              <w:jc w:val="left"/>
            </w:pPr>
            <w:r>
              <w:rPr>
                <w:b/>
                <w:bCs/>
              </w:rPr>
              <w:t xml:space="preserve">Partial</w:t>
            </w:r>
          </w:p>
        </w:tc>
        <w:tc>
          <w:tcPr/>
          <w:p>
            <w:pPr>
              <w:pStyle w:val="Compact"/>
              <w:jc w:val="left"/>
            </w:pPr>
            <w:r>
              <w:t xml:space="preserve">Red Sea/Aqaba port exposure</w:t>
            </w:r>
          </w:p>
        </w:tc>
      </w:tr>
      <w:tr>
        <w:tc>
          <w:tcPr/>
          <w:p>
            <w:pPr>
              <w:pStyle w:val="Compact"/>
              <w:jc w:val="left"/>
            </w:pPr>
            <w:r>
              <w:t xml:space="preserve">9</w:t>
            </w:r>
          </w:p>
        </w:tc>
        <w:tc>
          <w:tcPr/>
          <w:p>
            <w:pPr>
              <w:pStyle w:val="Compact"/>
              <w:jc w:val="left"/>
            </w:pPr>
            <w:r>
              <w:rPr>
                <w:b/>
                <w:bCs/>
              </w:rPr>
              <w:t xml:space="preserve">Egypt</w:t>
            </w:r>
          </w:p>
        </w:tc>
        <w:tc>
          <w:tcPr/>
          <w:p>
            <w:pPr>
              <w:pStyle w:val="Compact"/>
              <w:jc w:val="left"/>
            </w:pPr>
            <w:r>
              <w:t xml:space="preserve">~0.25</w:t>
            </w:r>
          </w:p>
        </w:tc>
        <w:tc>
          <w:tcPr/>
          <w:p>
            <w:pPr>
              <w:pStyle w:val="Compact"/>
              <w:jc w:val="left"/>
            </w:pPr>
            <w:r>
              <w:rPr>
                <w:b/>
                <w:bCs/>
              </w:rPr>
              <w:t xml:space="preserve">Partial</w:t>
            </w:r>
          </w:p>
        </w:tc>
        <w:tc>
          <w:tcPr/>
          <w:p>
            <w:pPr>
              <w:pStyle w:val="Compact"/>
              <w:jc w:val="left"/>
            </w:pPr>
            <w:r>
              <w:t xml:space="preserve">Suez route alternative</w:t>
            </w:r>
          </w:p>
        </w:tc>
      </w:tr>
      <w:tr>
        <w:tc>
          <w:tcPr/>
          <w:p>
            <w:pPr>
              <w:pStyle w:val="Compact"/>
              <w:jc w:val="left"/>
            </w:pPr>
            <w:r>
              <w:t xml:space="preserve">10</w:t>
            </w:r>
          </w:p>
        </w:tc>
        <w:tc>
          <w:tcPr/>
          <w:p>
            <w:pPr>
              <w:pStyle w:val="Compact"/>
              <w:jc w:val="left"/>
            </w:pPr>
            <w:r>
              <w:rPr>
                <w:b/>
                <w:bCs/>
              </w:rPr>
              <w:t xml:space="preserve">India</w:t>
            </w:r>
          </w:p>
        </w:tc>
        <w:tc>
          <w:tcPr/>
          <w:p>
            <w:pPr>
              <w:pStyle w:val="Compact"/>
              <w:jc w:val="left"/>
            </w:pPr>
            <w:r>
              <w:t xml:space="preserve">~0.2</w:t>
            </w:r>
          </w:p>
        </w:tc>
        <w:tc>
          <w:tcPr/>
          <w:p>
            <w:pPr>
              <w:pStyle w:val="Compact"/>
              <w:jc w:val="left"/>
            </w:pPr>
            <w:r>
              <w:rPr>
                <w:b/>
                <w:bCs/>
              </w:rPr>
              <w:t xml:space="preserve">N/A</w:t>
            </w:r>
          </w:p>
        </w:tc>
        <w:tc>
          <w:tcPr/>
          <w:p>
            <w:pPr>
              <w:pStyle w:val="Compact"/>
              <w:jc w:val="left"/>
            </w:pPr>
            <w:r>
              <w:t xml:space="preserve">Net importer</w:t>
            </w:r>
          </w:p>
        </w:tc>
      </w:tr>
    </w:tbl>
    <w:p>
      <w:pPr>
        <w:pStyle w:val="a0"/>
      </w:pPr>
      <w:r>
        <w:rPr>
          <w:b/>
          <w:bCs/>
        </w:rPr>
        <w:t xml:space="preserve">Critical Dependency:</w:t>
      </w:r>
      <w:r>
        <w:t xml:space="preserve"> </w:t>
      </w:r>
      <w:r>
        <w:t xml:space="preserve">Saudi Arabia accounts for</w:t>
      </w:r>
      <w:r>
        <w:t xml:space="preserve"> </w:t>
      </w:r>
      <w:r>
        <w:rPr>
          <w:b/>
          <w:bCs/>
        </w:rPr>
        <w:t xml:space="preserve">~17% of global DAP exports</w:t>
      </w:r>
      <w:r>
        <w:t xml:space="preserve"> </w:t>
      </w:r>
      <w:r>
        <w:t xml:space="preserve">and is India’s largest supplier with a new 5-year contract for 3.1 million tonnes annually starting FY26 .</w:t>
      </w:r>
    </w:p>
    <w:p>
      <w:r>
        <w:pict>
          <v:rect style="width:0;height:1.5pt" o:hralign="center" o:hrstd="t" o:hr="t"/>
        </w:pict>
      </w:r>
    </w:p>
    <w:bookmarkEnd w:id="22"/>
    <w:bookmarkStart w:id="23" w:name="global-urea-inventory-status-spring-2026"/>
    <w:p>
      <w:pPr>
        <w:pStyle w:val="2"/>
      </w:pPr>
      <w:r>
        <w:t xml:space="preserve">3. Global Urea Inventory Status (Spring 2026)</w:t>
      </w:r>
    </w:p>
    <w:p>
      <w:pPr>
        <w:pStyle w:val="FirstParagraph"/>
      </w:pPr>
      <w:r>
        <w:rPr>
          <w:b/>
          <w:bCs/>
        </w:rPr>
        <w:t xml:space="preserve">Current Assessment: LEAN</w:t>
      </w:r>
    </w:p>
    <w:p>
      <w:pPr>
        <w:pStyle w:val="Compact"/>
        <w:numPr>
          <w:ilvl w:val="0"/>
          <w:numId w:val="1002"/>
        </w:numPr>
      </w:pPr>
      <w:r>
        <w:rPr>
          <w:b/>
          <w:bCs/>
        </w:rPr>
        <w:t xml:space="preserve">China:</w:t>
      </w:r>
      <w:r>
        <w:t xml:space="preserve"> </w:t>
      </w:r>
      <w:r>
        <w:t xml:space="preserve">Urea production capacity reached 75.19 million tons in 2025, with production at 71 million tons. Inventories are described as</w:t>
      </w:r>
      <w:r>
        <w:t xml:space="preserve"> </w:t>
      </w:r>
      <w:r>
        <w:t xml:space="preserve">“</w:t>
      </w:r>
      <w:r>
        <w:t xml:space="preserve">high</w:t>
      </w:r>
      <w:r>
        <w:t xml:space="preserve">”</w:t>
      </w:r>
      <w:r>
        <w:t xml:space="preserve"> </w:t>
      </w:r>
      <w:r>
        <w:t xml:space="preserve">domestically, but export restrictions limit global market relief .</w:t>
      </w:r>
    </w:p>
    <w:p>
      <w:pPr>
        <w:pStyle w:val="Compact"/>
        <w:numPr>
          <w:ilvl w:val="0"/>
          <w:numId w:val="1002"/>
        </w:numPr>
      </w:pPr>
      <w:r>
        <w:rPr>
          <w:b/>
          <w:bCs/>
        </w:rPr>
        <w:t xml:space="preserve">Brazil:</w:t>
      </w:r>
      <w:r>
        <w:t xml:space="preserve"> </w:t>
      </w:r>
      <w:r>
        <w:t xml:space="preserve">Low inventory levels heading into 2026;</w:t>
      </w:r>
      <w:r>
        <w:t xml:space="preserve"> </w:t>
      </w:r>
      <w:r>
        <w:t xml:space="preserve">“</w:t>
      </w:r>
      <w:r>
        <w:t xml:space="preserve">just-in-time purchasing</w:t>
      </w:r>
      <w:r>
        <w:t xml:space="preserve">”</w:t>
      </w:r>
      <w:r>
        <w:t xml:space="preserve"> </w:t>
      </w:r>
      <w:r>
        <w:t xml:space="preserve">behavior noted due to weaker affordability .</w:t>
      </w:r>
    </w:p>
    <w:p>
      <w:pPr>
        <w:pStyle w:val="Compact"/>
        <w:numPr>
          <w:ilvl w:val="0"/>
          <w:numId w:val="1002"/>
        </w:numPr>
      </w:pPr>
      <w:r>
        <w:rPr>
          <w:b/>
          <w:bCs/>
        </w:rPr>
        <w:t xml:space="preserve">India:</w:t>
      </w:r>
      <w:r>
        <w:t xml:space="preserve"> </w:t>
      </w:r>
      <w:r>
        <w:t xml:space="preserve">Urea stocks declined from 7.1 million tonnes (early Dec 2025) to 6.3 million tonnes by mid-December 2025. Import requirements for FY 2025-26 projected at</w:t>
      </w:r>
      <w:r>
        <w:t xml:space="preserve"> </w:t>
      </w:r>
      <w:r>
        <w:rPr>
          <w:b/>
          <w:bCs/>
        </w:rPr>
        <w:t xml:space="preserve">10 million tonnes</w:t>
      </w:r>
      <w:r>
        <w:t xml:space="preserve"> </w:t>
      </w:r>
      <w:r>
        <w:t xml:space="preserve">(up 72% YoY) .</w:t>
      </w:r>
    </w:p>
    <w:p>
      <w:pPr>
        <w:pStyle w:val="Compact"/>
        <w:numPr>
          <w:ilvl w:val="0"/>
          <w:numId w:val="1002"/>
        </w:numPr>
      </w:pPr>
      <w:r>
        <w:rPr>
          <w:b/>
          <w:bCs/>
        </w:rPr>
        <w:t xml:space="preserve">US:</w:t>
      </w:r>
      <w:r>
        <w:t xml:space="preserve"> </w:t>
      </w:r>
      <w:r>
        <w:t xml:space="preserve">Nutrien reports</w:t>
      </w:r>
      <w:r>
        <w:t xml:space="preserve"> </w:t>
      </w:r>
      <w:r>
        <w:t xml:space="preserve">“</w:t>
      </w:r>
      <w:r>
        <w:t xml:space="preserve">compressed fertilizer application season in fall 2025</w:t>
      </w:r>
      <w:r>
        <w:t xml:space="preserve">”</w:t>
      </w:r>
      <w:r>
        <w:t xml:space="preserve"> </w:t>
      </w:r>
      <w:r>
        <w:t xml:space="preserve">supporting increased demand in H1 2026 .</w:t>
      </w:r>
    </w:p>
    <w:p>
      <w:pPr>
        <w:pStyle w:val="FirstParagraph"/>
      </w:pPr>
      <w:r>
        <w:rPr>
          <w:b/>
          <w:bCs/>
        </w:rPr>
        <w:t xml:space="preserve">Verdict:</w:t>
      </w:r>
      <w:r>
        <w:t xml:space="preserve"> </w:t>
      </w:r>
      <w:r>
        <w:t xml:space="preserve">Global inventories are</w:t>
      </w:r>
      <w:r>
        <w:t xml:space="preserve"> </w:t>
      </w:r>
      <w:r>
        <w:rPr>
          <w:b/>
          <w:bCs/>
        </w:rPr>
        <w:t xml:space="preserve">lean-to-tight</w:t>
      </w:r>
      <w:r>
        <w:t xml:space="preserve"> </w:t>
      </w:r>
      <w:r>
        <w:t xml:space="preserve">heading into Northern Hemisphere spring 2026. Unlike oil, there is</w:t>
      </w:r>
      <w:r>
        <w:t xml:space="preserve"> </w:t>
      </w:r>
      <w:r>
        <w:rPr>
          <w:b/>
          <w:bCs/>
        </w:rPr>
        <w:t xml:space="preserve">no strategic fertilizer reserve</w:t>
      </w:r>
      <w:r>
        <w:t xml:space="preserve"> </w:t>
      </w:r>
      <w:r>
        <w:t xml:space="preserve">to buffer supply shocks .</w:t>
      </w:r>
    </w:p>
    <w:p>
      <w:r>
        <w:pict>
          <v:rect style="width:0;height:1.5pt" o:hralign="center" o:hrstd="t" o:hr="t"/>
        </w:pict>
      </w:r>
    </w:p>
    <w:bookmarkEnd w:id="23"/>
    <w:bookmarkStart w:id="24" w:name="india-fertilizer-import-dependency"/>
    <w:p>
      <w:pPr>
        <w:pStyle w:val="2"/>
      </w:pPr>
      <w:r>
        <w:t xml:space="preserve">4. India Fertilizer Import Dependency</w:t>
      </w:r>
    </w:p>
    <w:tbl>
      <w:tblPr>
        <w:tblStyle w:val="Table"/>
        <w:tblW w:type="pct" w:w="5000"/>
        <w:jc w:val="left"/>
        <w:tblLayout w:type="fixed"/>
        <w:tblLook w:firstRow="1" w:lastRow="0" w:firstColumn="0" w:lastColumn="0" w:noHBand="0" w:noVBand="0" w:val="0020"/>
      </w:tblPr>
      <w:tblGrid>
        <w:gridCol w:w="4525"/>
        <w:gridCol w:w="3394"/>
      </w:tblGrid>
      <w:tr>
        <w:trPr>
          <w:tblHeader w:val="on"/>
        </w:trPr>
        <w:tc>
          <w:tcPr/>
          <w:p>
            <w:pPr>
              <w:pStyle w:val="Compact"/>
              <w:jc w:val="left"/>
            </w:pPr>
            <w:r>
              <w:t xml:space="preserve">Metric</w:t>
            </w:r>
          </w:p>
        </w:tc>
        <w:tc>
          <w:tcPr/>
          <w:p>
            <w:pPr>
              <w:pStyle w:val="Compact"/>
              <w:jc w:val="left"/>
            </w:pPr>
            <w:r>
              <w:t xml:space="preserve">Data</w:t>
            </w:r>
          </w:p>
        </w:tc>
      </w:tr>
      <w:tr>
        <w:tc>
          <w:tcPr/>
          <w:p>
            <w:pPr>
              <w:pStyle w:val="Compact"/>
              <w:jc w:val="left"/>
            </w:pPr>
            <w:r>
              <w:rPr>
                <w:b/>
                <w:bCs/>
              </w:rPr>
              <w:t xml:space="preserve">Total Import Dependency</w:t>
            </w:r>
          </w:p>
        </w:tc>
        <w:tc>
          <w:tcPr/>
          <w:p>
            <w:pPr>
              <w:pStyle w:val="Compact"/>
              <w:jc w:val="left"/>
            </w:pPr>
            <w:r>
              <w:rPr>
                <w:b/>
                <w:bCs/>
              </w:rPr>
              <w:t xml:space="preserve">22.5% of consumption</w:t>
            </w:r>
            <w:r>
              <w:t xml:space="preserve"> </w:t>
            </w:r>
            <w:r>
              <w:t xml:space="preserve">in FY 2025-26 (up from 15% in FY 2024-25)</w:t>
            </w:r>
          </w:p>
        </w:tc>
      </w:tr>
      <w:tr>
        <w:tc>
          <w:tcPr/>
          <w:p>
            <w:pPr>
              <w:pStyle w:val="Compact"/>
              <w:jc w:val="left"/>
            </w:pPr>
            <w:r>
              <w:rPr>
                <w:b/>
                <w:bCs/>
              </w:rPr>
              <w:t xml:space="preserve">Urea Import Dependency</w:t>
            </w:r>
          </w:p>
        </w:tc>
        <w:tc>
          <w:tcPr/>
          <w:p>
            <w:pPr>
              <w:pStyle w:val="Compact"/>
              <w:jc w:val="left"/>
            </w:pPr>
            <w:r>
              <w:t xml:space="preserve">~20-25% of consumption; ~75% from GCC countries</w:t>
            </w:r>
          </w:p>
        </w:tc>
      </w:tr>
      <w:tr>
        <w:tc>
          <w:tcPr/>
          <w:p>
            <w:pPr>
              <w:pStyle w:val="Compact"/>
              <w:jc w:val="left"/>
            </w:pPr>
            <w:r>
              <w:rPr>
                <w:b/>
                <w:bCs/>
              </w:rPr>
              <w:t xml:space="preserve">DAP Import Dependency</w:t>
            </w:r>
          </w:p>
        </w:tc>
        <w:tc>
          <w:tcPr/>
          <w:p>
            <w:pPr>
              <w:pStyle w:val="Compact"/>
              <w:jc w:val="left"/>
            </w:pPr>
            <w:r>
              <w:t xml:space="preserve">~60% of consumption; Saudi Arabia, Oman, Qatar dominant</w:t>
            </w:r>
          </w:p>
        </w:tc>
      </w:tr>
      <w:tr>
        <w:tc>
          <w:tcPr/>
          <w:p>
            <w:pPr>
              <w:pStyle w:val="Compact"/>
              <w:jc w:val="left"/>
            </w:pPr>
            <w:r>
              <w:rPr>
                <w:b/>
                <w:bCs/>
              </w:rPr>
              <w:t xml:space="preserve">MOP (Potash) Dependency</w:t>
            </w:r>
          </w:p>
        </w:tc>
        <w:tc>
          <w:tcPr/>
          <w:p>
            <w:pPr>
              <w:pStyle w:val="Compact"/>
              <w:jc w:val="left"/>
            </w:pPr>
            <w:r>
              <w:rPr>
                <w:b/>
                <w:bCs/>
              </w:rPr>
              <w:t xml:space="preserve">100% imported</w:t>
            </w:r>
            <w:r>
              <w:t xml:space="preserve">; 42% from Saudi Arabia</w:t>
            </w:r>
          </w:p>
        </w:tc>
      </w:tr>
      <w:tr>
        <w:tc>
          <w:tcPr/>
          <w:p>
            <w:pPr>
              <w:pStyle w:val="Compact"/>
              <w:jc w:val="left"/>
            </w:pPr>
            <w:r>
              <w:rPr>
                <w:b/>
                <w:bCs/>
              </w:rPr>
              <w:t xml:space="preserve">Gulf Sources Share</w:t>
            </w:r>
          </w:p>
        </w:tc>
        <w:tc>
          <w:tcPr/>
          <w:p>
            <w:pPr>
              <w:pStyle w:val="Compact"/>
              <w:jc w:val="left"/>
            </w:pPr>
            <w:r>
              <w:rPr>
                <w:b/>
                <w:bCs/>
              </w:rPr>
              <w:t xml:space="preserve">20-25% of total fertilizers</w:t>
            </w:r>
            <w:r>
              <w:t xml:space="preserve"> </w:t>
            </w:r>
            <w:r>
              <w:t xml:space="preserve">from Arabian Gulf countries</w:t>
            </w:r>
          </w:p>
        </w:tc>
      </w:tr>
    </w:tbl>
    <w:p>
      <w:pPr>
        <w:pStyle w:val="a0"/>
      </w:pPr>
      <w:r>
        <w:rPr>
          <w:b/>
          <w:bCs/>
        </w:rPr>
        <w:t xml:space="preserve">Emergency Actions (Since March 1, 2026):</w:t>
      </w:r>
      <w:r>
        <w:t xml:space="preserve"> </w:t>
      </w:r>
      <w:r>
        <w:t xml:space="preserve">- No specific emergency tenders or strategic reserve releases have been announced in the search results as of March 10, 2026.</w:t>
      </w:r>
      <w:r>
        <w:t xml:space="preserve"> </w:t>
      </w:r>
      <w:r>
        <w:t xml:space="preserve">- India had issued a tender on December 17, 2025, for 1.5 million tonnes (delivery through Feb 20, 2026) .</w:t>
      </w:r>
      <w:r>
        <w:t xml:space="preserve"> </w:t>
      </w:r>
      <w:r>
        <w:t xml:space="preserve">- Government is monitoring</w:t>
      </w:r>
      <w:r>
        <w:t xml:space="preserve"> </w:t>
      </w:r>
      <w:r>
        <w:t xml:space="preserve">“</w:t>
      </w:r>
      <w:r>
        <w:t xml:space="preserve">consumption velocity</w:t>
      </w:r>
      <w:r>
        <w:t xml:space="preserve">”</w:t>
      </w:r>
      <w:r>
        <w:t xml:space="preserve"> </w:t>
      </w:r>
      <w:r>
        <w:t xml:space="preserve">for procurement timing adjustments.</w:t>
      </w:r>
    </w:p>
    <w:p>
      <w:r>
        <w:pict>
          <v:rect style="width:0;height:1.5pt" o:hralign="center" o:hrstd="t" o:hr="t"/>
        </w:pict>
      </w:r>
    </w:p>
    <w:bookmarkEnd w:id="24"/>
    <w:bookmarkStart w:id="25" w:name="X00c2c6e65cf50844513e8343e208839c4759fbc"/>
    <w:p>
      <w:pPr>
        <w:pStyle w:val="2"/>
      </w:pPr>
      <w:r>
        <w:t xml:space="preserve">5. Brazil Safrinha Season: Gulf Dependency &amp; Timeline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Factor</w:t>
            </w:r>
          </w:p>
        </w:tc>
        <w:tc>
          <w:tcPr/>
          <w:p>
            <w:pPr>
              <w:pStyle w:val="Compact"/>
              <w:jc w:val="left"/>
            </w:pPr>
            <w:r>
              <w:t xml:space="preserve">Status</w:t>
            </w:r>
          </w:p>
        </w:tc>
      </w:tr>
      <w:tr>
        <w:tc>
          <w:tcPr/>
          <w:p>
            <w:pPr>
              <w:pStyle w:val="Compact"/>
              <w:jc w:val="left"/>
            </w:pPr>
            <w:r>
              <w:rPr>
                <w:b/>
                <w:bCs/>
              </w:rPr>
              <w:t xml:space="preserve">Overall Fertilizer Import Dependency</w:t>
            </w:r>
          </w:p>
        </w:tc>
        <w:tc>
          <w:tcPr/>
          <w:p>
            <w:pPr>
              <w:pStyle w:val="Compact"/>
              <w:jc w:val="left"/>
            </w:pPr>
            <w:r>
              <w:rPr>
                <w:b/>
                <w:bCs/>
              </w:rPr>
              <w:t xml:space="preserve">80-85%</w:t>
            </w:r>
            <w:r>
              <w:t xml:space="preserve"> </w:t>
            </w:r>
            <w:r>
              <w:t xml:space="preserve">of consumption imported</w:t>
            </w:r>
          </w:p>
        </w:tc>
      </w:tr>
      <w:tr>
        <w:tc>
          <w:tcPr/>
          <w:p>
            <w:pPr>
              <w:pStyle w:val="Compact"/>
              <w:jc w:val="left"/>
            </w:pPr>
            <w:r>
              <w:rPr>
                <w:b/>
                <w:bCs/>
              </w:rPr>
              <w:t xml:space="preserve">Middle East Urea Share</w:t>
            </w:r>
          </w:p>
        </w:tc>
        <w:tc>
          <w:tcPr/>
          <w:p>
            <w:pPr>
              <w:pStyle w:val="Compact"/>
              <w:jc w:val="left"/>
            </w:pPr>
            <w:r>
              <w:t xml:space="preserve">~33% of imported urea (direct or indirect)</w:t>
            </w:r>
          </w:p>
        </w:tc>
      </w:tr>
      <w:tr>
        <w:tc>
          <w:tcPr/>
          <w:p>
            <w:pPr>
              <w:pStyle w:val="Compact"/>
              <w:jc w:val="left"/>
            </w:pPr>
            <w:r>
              <w:rPr>
                <w:b/>
                <w:bCs/>
              </w:rPr>
              <w:t xml:space="preserve">2025/26 Safrinha Purchases</w:t>
            </w:r>
          </w:p>
        </w:tc>
        <w:tc>
          <w:tcPr/>
          <w:p>
            <w:pPr>
              <w:pStyle w:val="Compact"/>
              <w:jc w:val="left"/>
            </w:pPr>
            <w:r>
              <w:rPr>
                <w:b/>
                <w:bCs/>
              </w:rPr>
              <w:t xml:space="preserve">~100% complete</w:t>
            </w:r>
            <w:r>
              <w:t xml:space="preserve"> </w:t>
            </w:r>
            <w:r>
              <w:t xml:space="preserve">as of early March 2026</w:t>
            </w:r>
          </w:p>
        </w:tc>
      </w:tr>
      <w:tr>
        <w:tc>
          <w:tcPr/>
          <w:p>
            <w:pPr>
              <w:pStyle w:val="Compact"/>
              <w:jc w:val="left"/>
            </w:pPr>
            <w:r>
              <w:rPr>
                <w:b/>
                <w:bCs/>
              </w:rPr>
              <w:t xml:space="preserve">2026/27 Summer Crop Purchases</w:t>
            </w:r>
          </w:p>
        </w:tc>
        <w:tc>
          <w:tcPr/>
          <w:p>
            <w:pPr>
              <w:pStyle w:val="Compact"/>
              <w:jc w:val="left"/>
            </w:pPr>
            <w:r>
              <w:rPr>
                <w:b/>
                <w:bCs/>
              </w:rPr>
              <w:t xml:space="preserve">Not yet purchased</w:t>
            </w:r>
            <w:r>
              <w:t xml:space="preserve">—farmers face dilemma: anticipate purchases or wait for better prices</w:t>
            </w:r>
          </w:p>
        </w:tc>
      </w:tr>
      <w:tr>
        <w:tc>
          <w:tcPr/>
          <w:p>
            <w:pPr>
              <w:pStyle w:val="Compact"/>
              <w:jc w:val="left"/>
            </w:pPr>
            <w:r>
              <w:rPr>
                <w:b/>
                <w:bCs/>
              </w:rPr>
              <w:t xml:space="preserve">Winter Crop (Safrinha) Purchase Completion</w:t>
            </w:r>
          </w:p>
        </w:tc>
        <w:tc>
          <w:tcPr/>
          <w:p>
            <w:pPr>
              <w:pStyle w:val="Compact"/>
              <w:jc w:val="left"/>
            </w:pPr>
            <w:r>
              <w:rPr>
                <w:b/>
                <w:bCs/>
              </w:rPr>
              <w:t xml:space="preserve">~30% complete</w:t>
            </w:r>
            <w:r>
              <w:t xml:space="preserve"> </w:t>
            </w:r>
            <w:r>
              <w:t xml:space="preserve">(below 40% historical average)</w:t>
            </w:r>
          </w:p>
        </w:tc>
      </w:tr>
    </w:tbl>
    <w:p>
      <w:pPr>
        <w:pStyle w:val="a0"/>
      </w:pPr>
      <w:r>
        <w:rPr>
          <w:b/>
          <w:bCs/>
        </w:rPr>
        <w:t xml:space="preserve">Timeline Pressure:</w:t>
      </w:r>
      <w:r>
        <w:t xml:space="preserve"> </w:t>
      </w:r>
      <w:r>
        <w:t xml:space="preserve">Brazil’s safrinha (second crop) corn is planted February-April. While the immediate 2025/26 season is covered, the 2026/27 summer crop (planted September-November) faces significant uncertainty. Itaú BBA warns that prolonged conflict could</w:t>
      </w:r>
      <w:r>
        <w:t xml:space="preserve"> </w:t>
      </w:r>
      <w:r>
        <w:t xml:space="preserve">“</w:t>
      </w:r>
      <w:r>
        <w:t xml:space="preserve">compromise planning for the next harvest, raising cost per hectare</w:t>
      </w:r>
      <w:r>
        <w:t xml:space="preserve">”</w:t>
      </w:r>
      <w:r>
        <w:t xml:space="preserve"> </w:t>
      </w:r>
      <w:r>
        <w:t xml:space="preserve">for nitrogen-intensive crops .</w:t>
      </w:r>
    </w:p>
    <w:p>
      <w:r>
        <w:pict>
          <v:rect style="width:0;height:1.5pt" o:hralign="center" o:hrstd="t" o:hr="t"/>
        </w:pict>
      </w:r>
    </w:p>
    <w:bookmarkEnd w:id="25"/>
    <w:bookmarkStart w:id="26" w:name="X00f113d72ea68fd2d29492776dec0622cf86e44"/>
    <w:p>
      <w:pPr>
        <w:pStyle w:val="2"/>
      </w:pPr>
      <w:r>
        <w:t xml:space="preserve">6. Hormuz Closure Sustainability: Weeks to Physical Shortage</w:t>
      </w:r>
    </w:p>
    <w:p>
      <w:pPr>
        <w:pStyle w:val="FirstParagraph"/>
      </w:pPr>
      <w:r>
        <w:rPr>
          <w:b/>
          <w:bCs/>
        </w:rPr>
        <w:t xml:space="preserve">Estimate: 3-6 Weeks to Farm-Level Shortages</w:t>
      </w:r>
    </w:p>
    <w:p>
      <w:pPr>
        <w:pStyle w:val="a0"/>
      </w:pPr>
      <w:r>
        <w:t xml:space="preserve">Based on multiple sources:</w:t>
      </w:r>
      <w:r>
        <w:t xml:space="preserve"> </w:t>
      </w:r>
      <w:r>
        <w:t xml:space="preserve">-</w:t>
      </w:r>
      <w:r>
        <w:t xml:space="preserve"> </w:t>
      </w:r>
      <w:r>
        <w:rPr>
          <w:b/>
          <w:bCs/>
        </w:rPr>
        <w:t xml:space="preserve">Immediate impact (0-2 weeks):</w:t>
      </w:r>
      <w:r>
        <w:t xml:space="preserve"> </w:t>
      </w:r>
      <w:r>
        <w:t xml:space="preserve">Price spikes, rerouting delays, inventory drawdowns at ports.</w:t>
      </w:r>
      <w:r>
        <w:t xml:space="preserve"> </w:t>
      </w:r>
      <w:r>
        <w:t xml:space="preserve">-</w:t>
      </w:r>
      <w:r>
        <w:t xml:space="preserve"> </w:t>
      </w:r>
      <w:r>
        <w:rPr>
          <w:b/>
          <w:bCs/>
        </w:rPr>
        <w:t xml:space="preserve">Critical threshold (3-5 weeks):</w:t>
      </w:r>
      <w:r>
        <w:t xml:space="preserve"> </w:t>
      </w:r>
      <w:r>
        <w:t xml:space="preserve">Urea and potash shipments delayed;</w:t>
      </w:r>
      <w:r>
        <w:t xml:space="preserve"> </w:t>
      </w:r>
      <w:r>
        <w:t xml:space="preserve">“</w:t>
      </w:r>
      <w:r>
        <w:t xml:space="preserve">just-in-time</w:t>
      </w:r>
      <w:r>
        <w:t xml:space="preserve">”</w:t>
      </w:r>
      <w:r>
        <w:t xml:space="preserve"> </w:t>
      </w:r>
      <w:r>
        <w:t xml:space="preserve">inventory systems collapse .</w:t>
      </w:r>
      <w:r>
        <w:t xml:space="preserve"> </w:t>
      </w:r>
      <w:r>
        <w:t xml:space="preserve">-</w:t>
      </w:r>
      <w:r>
        <w:t xml:space="preserve"> </w:t>
      </w:r>
      <w:r>
        <w:rPr>
          <w:b/>
          <w:bCs/>
        </w:rPr>
        <w:t xml:space="preserve">Farm-level shortages (4-8 weeks):</w:t>
      </w:r>
      <w:r>
        <w:t xml:space="preserve"> </w:t>
      </w:r>
      <w:r>
        <w:t xml:space="preserve">Physical unavailability at retailer level as pipeline inventories deplete.</w:t>
      </w:r>
    </w:p>
    <w:p>
      <w:pPr>
        <w:pStyle w:val="a0"/>
      </w:pPr>
      <w:r>
        <w:t xml:space="preserve">The 2022 experience showed that fertilizer price spikes transmit to farmer behavior within</w:t>
      </w:r>
      <w:r>
        <w:t xml:space="preserve"> </w:t>
      </w:r>
      <w:r>
        <w:rPr>
          <w:b/>
          <w:bCs/>
        </w:rPr>
        <w:t xml:space="preserve">one planting season</w:t>
      </w:r>
      <w:r>
        <w:t xml:space="preserve">, with yield impacts visible</w:t>
      </w:r>
      <w:r>
        <w:t xml:space="preserve"> </w:t>
      </w:r>
      <w:r>
        <w:rPr>
          <w:b/>
          <w:bCs/>
        </w:rPr>
        <w:t xml:space="preserve">6-12 months later</w:t>
      </w:r>
      <w:r>
        <w:t xml:space="preserve"> </w:t>
      </w:r>
      <w:r>
        <w:t xml:space="preserve">. Unlike oil, fertilizer disruptions have</w:t>
      </w:r>
      <w:r>
        <w:t xml:space="preserve"> </w:t>
      </w:r>
      <w:r>
        <w:rPr>
          <w:b/>
          <w:bCs/>
        </w:rPr>
        <w:t xml:space="preserve">longer lag times</w:t>
      </w:r>
      <w:r>
        <w:t xml:space="preserve"> </w:t>
      </w:r>
      <w:r>
        <w:t xml:space="preserve">but more profound impacts on total caloric output .</w:t>
      </w:r>
    </w:p>
    <w:p>
      <w:r>
        <w:pict>
          <v:rect style="width:0;height:1.5pt" o:hralign="center" o:hrstd="t" o:hr="t"/>
        </w:pict>
      </w:r>
    </w:p>
    <w:bookmarkEnd w:id="26"/>
    <w:bookmarkStart w:id="27" w:name="cargo-rerouting-cape-of-good-hope"/>
    <w:p>
      <w:pPr>
        <w:pStyle w:val="2"/>
      </w:pPr>
      <w:r>
        <w:t xml:space="preserve">7. Cargo Rerouting: Cape of Good Hope</w:t>
      </w:r>
    </w:p>
    <w:p>
      <w:pPr>
        <w:pStyle w:val="FirstParagraph"/>
      </w:pPr>
      <w:r>
        <w:rPr>
          <w:b/>
          <w:bCs/>
        </w:rPr>
        <w:t xml:space="preserve">Confirmed Reports:</w:t>
      </w:r>
      <w:r>
        <w:t xml:space="preserve"> </w:t>
      </w:r>
      <w:r>
        <w:t xml:space="preserve">-</w:t>
      </w:r>
      <w:r>
        <w:t xml:space="preserve"> </w:t>
      </w:r>
      <w:r>
        <w:rPr>
          <w:b/>
          <w:bCs/>
        </w:rPr>
        <w:t xml:space="preserve">Maersk:</w:t>
      </w:r>
      <w:r>
        <w:t xml:space="preserve"> </w:t>
      </w:r>
      <w:r>
        <w:t xml:space="preserve">Suspended all Hormuz transits; rerouting around Cape of Good Hope .</w:t>
      </w:r>
      <w:r>
        <w:t xml:space="preserve"> </w:t>
      </w:r>
      <w:r>
        <w:t xml:space="preserve">-</w:t>
      </w:r>
      <w:r>
        <w:t xml:space="preserve"> </w:t>
      </w:r>
      <w:r>
        <w:rPr>
          <w:b/>
          <w:bCs/>
        </w:rPr>
        <w:t xml:space="preserve">Hapag-Lloyd:</w:t>
      </w:r>
      <w:r>
        <w:t xml:space="preserve"> </w:t>
      </w:r>
      <w:r>
        <w:t xml:space="preserve">Suspended Hormuz operations; charging</w:t>
      </w:r>
      <w:r>
        <w:t xml:space="preserve"> </w:t>
      </w:r>
      <w:r>
        <w:rPr>
          <w:b/>
          <w:bCs/>
        </w:rPr>
        <w:t xml:space="preserve">$1,500/TEU war risk surcharge</w:t>
      </w:r>
      <w:r>
        <w:t xml:space="preserve"> </w:t>
      </w:r>
      <w:r>
        <w:t xml:space="preserve">(standard containers) and</w:t>
      </w:r>
      <w:r>
        <w:t xml:space="preserve"> </w:t>
      </w:r>
      <w:r>
        <w:rPr>
          <w:b/>
          <w:bCs/>
        </w:rPr>
        <w:t xml:space="preserve">$3,500/TEU</w:t>
      </w:r>
      <w:r>
        <w:t xml:space="preserve"> </w:t>
      </w:r>
      <w:r>
        <w:t xml:space="preserve">(refrigerated/special) .</w:t>
      </w:r>
      <w:r>
        <w:t xml:space="preserve"> </w:t>
      </w:r>
      <w:r>
        <w:t xml:space="preserve">-</w:t>
      </w:r>
      <w:r>
        <w:t xml:space="preserve"> </w:t>
      </w:r>
      <w:r>
        <w:rPr>
          <w:b/>
          <w:bCs/>
        </w:rPr>
        <w:t xml:space="preserve">CMA CGM:</w:t>
      </w:r>
      <w:r>
        <w:t xml:space="preserve"> </w:t>
      </w:r>
      <w:r>
        <w:t xml:space="preserve">Ordered vessels to</w:t>
      </w:r>
      <w:r>
        <w:t xml:space="preserve"> </w:t>
      </w:r>
      <w:r>
        <w:t xml:space="preserve">“</w:t>
      </w:r>
      <w:r>
        <w:t xml:space="preserve">take shelter</w:t>
      </w:r>
      <w:r>
        <w:t xml:space="preserve">”</w:t>
      </w:r>
      <w:r>
        <w:t xml:space="preserve">; cancelled Suez sailings .</w:t>
      </w:r>
    </w:p>
    <w:p>
      <w:pPr>
        <w:pStyle w:val="a0"/>
      </w:pPr>
      <w:r>
        <w:rPr>
          <w:b/>
          <w:bCs/>
        </w:rPr>
        <w:t xml:space="preserve">Impact on Delivery Schedules &amp; Prices:</w:t>
      </w:r>
      <w:r>
        <w:t xml:space="preserve"> </w:t>
      </w:r>
      <w:r>
        <w:t xml:space="preserve">| Factor | Impact |</w:t>
      </w:r>
      <w:r>
        <w:t xml:space="preserve"> </w:t>
      </w:r>
      <w:r>
        <w:t xml:space="preserve">|——–|——–|</w:t>
      </w:r>
      <w:r>
        <w:t xml:space="preserve"> </w:t>
      </w:r>
      <w:r>
        <w:t xml:space="preserve">|</w:t>
      </w:r>
      <w:r>
        <w:t xml:space="preserve"> </w:t>
      </w:r>
      <w:r>
        <w:rPr>
          <w:b/>
          <w:bCs/>
        </w:rPr>
        <w:t xml:space="preserve">Transit Time Addition</w:t>
      </w:r>
      <w:r>
        <w:t xml:space="preserve"> </w:t>
      </w:r>
      <w:r>
        <w:t xml:space="preserve">|</w:t>
      </w:r>
      <w:r>
        <w:t xml:space="preserve"> </w:t>
      </w:r>
      <w:r>
        <w:rPr>
          <w:b/>
          <w:bCs/>
        </w:rPr>
        <w:t xml:space="preserve">10-14 days</w:t>
      </w:r>
      <w:r>
        <w:t xml:space="preserve"> </w:t>
      </w:r>
      <w:r>
        <w:t xml:space="preserve">|</w:t>
      </w:r>
      <w:r>
        <w:t xml:space="preserve"> </w:t>
      </w:r>
      <w:r>
        <w:t xml:space="preserve">|</w:t>
      </w:r>
      <w:r>
        <w:t xml:space="preserve"> </w:t>
      </w:r>
      <w:r>
        <w:rPr>
          <w:b/>
          <w:bCs/>
        </w:rPr>
        <w:t xml:space="preserve">Fuel Cost Increase</w:t>
      </w:r>
      <w:r>
        <w:t xml:space="preserve"> </w:t>
      </w:r>
      <w:r>
        <w:t xml:space="preserve">|</w:t>
      </w:r>
      <w:r>
        <w:t xml:space="preserve"> </w:t>
      </w:r>
      <w:r>
        <w:rPr>
          <w:b/>
          <w:bCs/>
        </w:rPr>
        <w:t xml:space="preserve">~$1 million per voyage</w:t>
      </w:r>
      <w:r>
        <w:t xml:space="preserve"> </w:t>
      </w:r>
      <w:r>
        <w:t xml:space="preserve">|</w:t>
      </w:r>
      <w:r>
        <w:t xml:space="preserve"> </w:t>
      </w:r>
      <w:r>
        <w:t xml:space="preserve">|</w:t>
      </w:r>
      <w:r>
        <w:t xml:space="preserve"> </w:t>
      </w:r>
      <w:r>
        <w:rPr>
          <w:b/>
          <w:bCs/>
        </w:rPr>
        <w:t xml:space="preserve">Capacity Removal</w:t>
      </w:r>
      <w:r>
        <w:t xml:space="preserve"> </w:t>
      </w:r>
      <w:r>
        <w:t xml:space="preserve">| Effectively removes vessel capacity from system due to longer rotations |</w:t>
      </w:r>
      <w:r>
        <w:t xml:space="preserve"> </w:t>
      </w:r>
      <w:r>
        <w:t xml:space="preserve">|</w:t>
      </w:r>
      <w:r>
        <w:t xml:space="preserve"> </w:t>
      </w:r>
      <w:r>
        <w:rPr>
          <w:b/>
          <w:bCs/>
        </w:rPr>
        <w:t xml:space="preserve">Insurance</w:t>
      </w:r>
      <w:r>
        <w:t xml:space="preserve"> </w:t>
      </w:r>
      <w:r>
        <w:t xml:space="preserve">| War risk coverage withdrawn March 5, 2026; premiums</w:t>
      </w:r>
      <w:r>
        <w:t xml:space="preserve"> </w:t>
      </w:r>
      <w:r>
        <w:t xml:space="preserve">“</w:t>
      </w:r>
      <w:r>
        <w:t xml:space="preserve">significantly higher</w:t>
      </w:r>
      <w:r>
        <w:t xml:space="preserve">”</w:t>
      </w:r>
      <w:r>
        <w:t xml:space="preserve"> </w:t>
      </w:r>
      <w:r>
        <w:t xml:space="preserve">|</w:t>
      </w:r>
      <w:r>
        <w:t xml:space="preserve"> </w:t>
      </w:r>
      <w:r>
        <w:t xml:space="preserve">|</w:t>
      </w:r>
      <w:r>
        <w:t xml:space="preserve"> </w:t>
      </w:r>
      <w:r>
        <w:rPr>
          <w:b/>
          <w:bCs/>
        </w:rPr>
        <w:t xml:space="preserve">Spot Price Impact</w:t>
      </w:r>
      <w:r>
        <w:t xml:space="preserve"> </w:t>
      </w:r>
      <w:r>
        <w:t xml:space="preserve">| Brazil granular urea hit</w:t>
      </w:r>
      <w:r>
        <w:t xml:space="preserve"> </w:t>
      </w:r>
      <w:r>
        <w:rPr>
          <w:b/>
          <w:bCs/>
        </w:rPr>
        <w:t xml:space="preserve">$540-545/tonne</w:t>
      </w:r>
      <w:r>
        <w:t xml:space="preserve"> </w:t>
      </w:r>
      <w:r>
        <w:t xml:space="preserve">(highest since benchmark began 2025) |</w:t>
      </w:r>
    </w:p>
    <w:p>
      <w:r>
        <w:pict>
          <v:rect style="width:0;height:1.5pt" o:hralign="center" o:hrstd="t" o:hr="t"/>
        </w:pict>
      </w:r>
    </w:p>
    <w:bookmarkEnd w:id="27"/>
    <w:bookmarkStart w:id="28" w:name="X8e4c051ac550406a3225dbe33431ee28e69ea00"/>
    <w:p>
      <w:pPr>
        <w:pStyle w:val="2"/>
      </w:pPr>
      <w:r>
        <w:t xml:space="preserve">8. US Domestic Fertilizer Production Capacity</w:t>
      </w:r>
    </w:p>
    <w:tbl>
      <w:tblPr>
        <w:tblStyle w:val="Table"/>
        <w:tblW w:type="pct" w:w="5000"/>
        <w:jc w:val="left"/>
        <w:tblLayout w:type="fixed"/>
        <w:tblLook w:firstRow="1" w:lastRow="0" w:firstColumn="0" w:lastColumn="0" w:noHBand="0" w:noVBand="0" w:val="0020"/>
      </w:tblPr>
      <w:tblGrid>
        <w:gridCol w:w="4525"/>
        <w:gridCol w:w="3394"/>
      </w:tblGrid>
      <w:tr>
        <w:trPr>
          <w:tblHeader w:val="on"/>
        </w:trPr>
        <w:tc>
          <w:tcPr/>
          <w:p>
            <w:pPr>
              <w:pStyle w:val="Compact"/>
              <w:jc w:val="left"/>
            </w:pPr>
            <w:r>
              <w:t xml:space="preserve">Metric</w:t>
            </w:r>
          </w:p>
        </w:tc>
        <w:tc>
          <w:tcPr/>
          <w:p>
            <w:pPr>
              <w:pStyle w:val="Compact"/>
              <w:jc w:val="left"/>
            </w:pPr>
            <w:r>
              <w:t xml:space="preserve">Data</w:t>
            </w:r>
          </w:p>
        </w:tc>
      </w:tr>
      <w:tr>
        <w:tc>
          <w:tcPr/>
          <w:p>
            <w:pPr>
              <w:pStyle w:val="Compact"/>
              <w:jc w:val="left"/>
            </w:pPr>
            <w:r>
              <w:rPr>
                <w:b/>
                <w:bCs/>
              </w:rPr>
              <w:t xml:space="preserve">Domestic Production Share</w:t>
            </w:r>
          </w:p>
        </w:tc>
        <w:tc>
          <w:tcPr/>
          <w:p>
            <w:pPr>
              <w:pStyle w:val="Compact"/>
              <w:jc w:val="left"/>
            </w:pPr>
            <w:r>
              <w:rPr>
                <w:b/>
                <w:bCs/>
              </w:rPr>
              <w:t xml:space="preserve">65%</w:t>
            </w:r>
            <w:r>
              <w:t xml:space="preserve"> </w:t>
            </w:r>
            <w:r>
              <w:t xml:space="preserve">of nitrogen, phosphate, and potash needs met domestically</w:t>
            </w:r>
          </w:p>
        </w:tc>
      </w:tr>
      <w:tr>
        <w:tc>
          <w:tcPr/>
          <w:p>
            <w:pPr>
              <w:pStyle w:val="Compact"/>
              <w:jc w:val="left"/>
            </w:pPr>
            <w:r>
              <w:rPr>
                <w:b/>
                <w:bCs/>
              </w:rPr>
              <w:t xml:space="preserve">Import Dependency</w:t>
            </w:r>
          </w:p>
        </w:tc>
        <w:tc>
          <w:tcPr/>
          <w:p>
            <w:pPr>
              <w:pStyle w:val="Compact"/>
              <w:jc w:val="left"/>
            </w:pPr>
            <w:r>
              <w:rPr>
                <w:b/>
                <w:bCs/>
              </w:rPr>
              <w:t xml:space="preserve">35%</w:t>
            </w:r>
            <w:r>
              <w:t xml:space="preserve"> </w:t>
            </w:r>
            <w:r>
              <w:t xml:space="preserve">imported (varies by nutrient and year)</w:t>
            </w:r>
          </w:p>
        </w:tc>
      </w:tr>
      <w:tr>
        <w:tc>
          <w:tcPr/>
          <w:p>
            <w:pPr>
              <w:pStyle w:val="Compact"/>
              <w:jc w:val="left"/>
            </w:pPr>
            <w:r>
              <w:rPr>
                <w:b/>
                <w:bCs/>
              </w:rPr>
              <w:t xml:space="preserve">Nitrogen (Ammonia/Urea)</w:t>
            </w:r>
          </w:p>
        </w:tc>
        <w:tc>
          <w:tcPr/>
          <w:p>
            <w:pPr>
              <w:pStyle w:val="Compact"/>
              <w:jc w:val="left"/>
            </w:pPr>
            <w:r>
              <w:t xml:space="preserve">Significant capacity; 18 companies at 37 plants in 17 states</w:t>
            </w:r>
          </w:p>
        </w:tc>
      </w:tr>
      <w:tr>
        <w:tc>
          <w:tcPr/>
          <w:p>
            <w:pPr>
              <w:pStyle w:val="Compact"/>
              <w:jc w:val="left"/>
            </w:pPr>
            <w:r>
              <w:rPr>
                <w:b/>
                <w:bCs/>
              </w:rPr>
              <w:t xml:space="preserve">Phosphate</w:t>
            </w:r>
          </w:p>
        </w:tc>
        <w:tc>
          <w:tcPr/>
          <w:p>
            <w:pPr>
              <w:pStyle w:val="Compact"/>
              <w:jc w:val="left"/>
            </w:pPr>
            <w:r>
              <w:t xml:space="preserve">Six companies at 15 mines in seven states</w:t>
            </w:r>
          </w:p>
        </w:tc>
      </w:tr>
      <w:tr>
        <w:tc>
          <w:tcPr/>
          <w:p>
            <w:pPr>
              <w:pStyle w:val="Compact"/>
              <w:jc w:val="left"/>
            </w:pPr>
            <w:r>
              <w:rPr>
                <w:b/>
                <w:bCs/>
              </w:rPr>
              <w:t xml:space="preserve">Potash</w:t>
            </w:r>
          </w:p>
        </w:tc>
        <w:tc>
          <w:tcPr/>
          <w:p>
            <w:pPr>
              <w:pStyle w:val="Compact"/>
              <w:jc w:val="left"/>
            </w:pPr>
            <w:r>
              <w:t xml:space="preserve">Limited US reserves; Canada supplies majority of North American needs</w:t>
            </w:r>
          </w:p>
        </w:tc>
      </w:tr>
      <w:tr>
        <w:tc>
          <w:tcPr/>
          <w:p>
            <w:pPr>
              <w:pStyle w:val="Compact"/>
              <w:jc w:val="left"/>
            </w:pPr>
            <w:r>
              <w:rPr>
                <w:b/>
                <w:bCs/>
              </w:rPr>
              <w:t xml:space="preserve">Gulf Import Share (2025)</w:t>
            </w:r>
          </w:p>
        </w:tc>
        <w:tc>
          <w:tcPr/>
          <w:p>
            <w:pPr>
              <w:pStyle w:val="Compact"/>
              <w:jc w:val="left"/>
            </w:pPr>
            <w:r>
              <w:t xml:space="preserve">Middle East accounted for</w:t>
            </w:r>
            <w:r>
              <w:t xml:space="preserve"> </w:t>
            </w:r>
            <w:r>
              <w:rPr>
                <w:b/>
                <w:bCs/>
              </w:rPr>
              <w:t xml:space="preserve">28% of US urea imports</w:t>
            </w:r>
          </w:p>
        </w:tc>
      </w:tr>
    </w:tbl>
    <w:p>
      <w:pPr>
        <w:pStyle w:val="a0"/>
      </w:pPr>
      <w:r>
        <w:rPr>
          <w:b/>
          <w:bCs/>
        </w:rPr>
        <w:t xml:space="preserve">Investment Implication:</w:t>
      </w:r>
      <w:r>
        <w:t xml:space="preserve"> </w:t>
      </w:r>
      <w:r>
        <w:t xml:space="preserve">The US can meet</w:t>
      </w:r>
      <w:r>
        <w:t xml:space="preserve"> </w:t>
      </w:r>
      <w:r>
        <w:rPr>
          <w:b/>
          <w:bCs/>
        </w:rPr>
        <w:t xml:space="preserve">~65% of macronutrient needs</w:t>
      </w:r>
      <w:r>
        <w:t xml:space="preserve"> </w:t>
      </w:r>
      <w:r>
        <w:t xml:space="preserve">domestically, but the remaining 35% (particularly potash and nitrogen during peak season) relies on imports. US producers (CF Industries, Nutrien, Mosaic) are positioned to capture market share if Hormuz closure persists.</w:t>
      </w:r>
    </w:p>
    <w:p>
      <w:r>
        <w:pict>
          <v:rect style="width:0;height:1.5pt" o:hralign="center" o:hrstd="t" o:hr="t"/>
        </w:pict>
      </w:r>
    </w:p>
    <w:bookmarkEnd w:id="28"/>
    <w:bookmarkStart w:id="29" w:name="Xd6f1dfc723eb67f564368ddd48df1fbadf59053"/>
    <w:p>
      <w:pPr>
        <w:pStyle w:val="2"/>
      </w:pPr>
      <w:r>
        <w:t xml:space="preserve">9. US Farm Cooperative &amp; Retailer Warnings (Spring 2026)</w:t>
      </w:r>
    </w:p>
    <w:p>
      <w:pPr>
        <w:pStyle w:val="FirstParagraph"/>
      </w:pPr>
      <w:r>
        <w:rPr>
          <w:b/>
          <w:bCs/>
        </w:rPr>
        <w:t xml:space="preserve">No specific warnings found</w:t>
      </w:r>
      <w:r>
        <w:t xml:space="preserve"> </w:t>
      </w:r>
      <w:r>
        <w:t xml:space="preserve">in search results from US farm cooperatives, ag retailers, or state agriculture departments regarding fertilizer availability for spring 2026.</w:t>
      </w:r>
    </w:p>
    <w:p>
      <w:pPr>
        <w:pStyle w:val="a0"/>
      </w:pPr>
      <w:r>
        <w:t xml:space="preserve">However, relevant context:</w:t>
      </w:r>
      <w:r>
        <w:t xml:space="preserve"> </w:t>
      </w:r>
      <w:r>
        <w:t xml:space="preserve">-</w:t>
      </w:r>
      <w:r>
        <w:t xml:space="preserve"> </w:t>
      </w:r>
      <w:r>
        <w:rPr>
          <w:b/>
          <w:bCs/>
        </w:rPr>
        <w:t xml:space="preserve">USDA/DOJ Investigation:</w:t>
      </w:r>
      <w:r>
        <w:t xml:space="preserve"> </w:t>
      </w:r>
      <w:r>
        <w:t xml:space="preserve">Agriculture Secretary Brooke Rollins announced in October 2025 a joint DOJ-USDA memorandum to scrutinize</w:t>
      </w:r>
      <w:r>
        <w:t xml:space="preserve"> </w:t>
      </w:r>
      <w:r>
        <w:t xml:space="preserve">“</w:t>
      </w:r>
      <w:r>
        <w:t xml:space="preserve">competitive conditions in the agricultural marketplace</w:t>
      </w:r>
      <w:r>
        <w:t xml:space="preserve">”</w:t>
      </w:r>
      <w:r>
        <w:t xml:space="preserve"> </w:t>
      </w:r>
      <w:r>
        <w:t xml:space="preserve">including fertilizer costs .</w:t>
      </w:r>
      <w:r>
        <w:t xml:space="preserve"> </w:t>
      </w:r>
      <w:r>
        <w:t xml:space="preserve">-</w:t>
      </w:r>
      <w:r>
        <w:t xml:space="preserve"> </w:t>
      </w:r>
      <w:r>
        <w:rPr>
          <w:b/>
          <w:bCs/>
        </w:rPr>
        <w:t xml:space="preserve">Cost Environment:</w:t>
      </w:r>
      <w:r>
        <w:t xml:space="preserve"> </w:t>
      </w:r>
      <w:r>
        <w:t xml:space="preserve">Fertilizer expenses increased</w:t>
      </w:r>
      <w:r>
        <w:t xml:space="preserve"> </w:t>
      </w:r>
      <w:r>
        <w:rPr>
          <w:b/>
          <w:bCs/>
        </w:rPr>
        <w:t xml:space="preserve">37% between 2020-2025</w:t>
      </w:r>
      <w:r>
        <w:t xml:space="preserve">, with farmers squeezed by rising input costs and weakening crop prices .</w:t>
      </w:r>
      <w:r>
        <w:t xml:space="preserve"> </w:t>
      </w:r>
      <w:r>
        <w:t xml:space="preserve">-</w:t>
      </w:r>
      <w:r>
        <w:t xml:space="preserve"> </w:t>
      </w:r>
      <w:r>
        <w:rPr>
          <w:b/>
          <w:bCs/>
        </w:rPr>
        <w:t xml:space="preserve">Industry Outlook:</w:t>
      </w:r>
      <w:r>
        <w:t xml:space="preserve"> </w:t>
      </w:r>
      <w:r>
        <w:t xml:space="preserve">CF Industries predicts</w:t>
      </w:r>
      <w:r>
        <w:t xml:space="preserve"> </w:t>
      </w:r>
      <w:r>
        <w:t xml:space="preserve">“</w:t>
      </w:r>
      <w:r>
        <w:t xml:space="preserve">North American demand will stay strong</w:t>
      </w:r>
      <w:r>
        <w:t xml:space="preserve">”</w:t>
      </w:r>
      <w:r>
        <w:t xml:space="preserve"> </w:t>
      </w:r>
      <w:r>
        <w:t xml:space="preserve">as farmers favor nitrogen-reliant corn over soybeans in 2026 .</w:t>
      </w:r>
    </w:p>
    <w:p>
      <w:pPr>
        <w:pStyle w:val="a0"/>
      </w:pPr>
      <w:r>
        <w:rPr>
          <w:b/>
          <w:bCs/>
        </w:rPr>
        <w:t xml:space="preserve">Actionable Gap:</w:t>
      </w:r>
      <w:r>
        <w:t xml:space="preserve"> </w:t>
      </w:r>
      <w:r>
        <w:t xml:space="preserve">Monitor reports from major co-ops (CHS, Land O’Lakes, Growmark) and state ag departments for emerging availability warnings.</w:t>
      </w:r>
    </w:p>
    <w:p>
      <w:r>
        <w:pict>
          <v:rect style="width:0;height:1.5pt" o:hralign="center" o:hrstd="t" o:hr="t"/>
        </w:pict>
      </w:r>
    </w:p>
    <w:bookmarkEnd w:id="29"/>
    <w:bookmarkStart w:id="32" w:name="Xea4a8672980fc20cc1a5157e953401b3f43b0f4"/>
    <w:p>
      <w:pPr>
        <w:pStyle w:val="2"/>
      </w:pPr>
      <w:r>
        <w:t xml:space="preserve">10. Fertilizer-to-Food Price Transmission (2022 Case Study)</w:t>
      </w:r>
    </w:p>
    <w:bookmarkStart w:id="30" w:name="fertilizer-spike-impact"/>
    <w:p>
      <w:pPr>
        <w:pStyle w:val="3"/>
      </w:pPr>
      <w:r>
        <w:t xml:space="preserve">2022 Fertilizer Spike Impact:</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Commodity</w:t>
            </w:r>
          </w:p>
        </w:tc>
        <w:tc>
          <w:tcPr/>
          <w:p>
            <w:pPr>
              <w:pStyle w:val="Compact"/>
              <w:jc w:val="left"/>
            </w:pPr>
            <w:r>
              <w:t xml:space="preserve">Price Change (Sep 2022 vs Sep 2021)</w:t>
            </w:r>
          </w:p>
        </w:tc>
      </w:tr>
      <w:tr>
        <w:tc>
          <w:tcPr/>
          <w:p>
            <w:pPr>
              <w:pStyle w:val="Compact"/>
              <w:jc w:val="left"/>
            </w:pPr>
            <w:r>
              <w:rPr>
                <w:b/>
                <w:bCs/>
              </w:rPr>
              <w:t xml:space="preserve">Wheat</w:t>
            </w:r>
          </w:p>
        </w:tc>
        <w:tc>
          <w:tcPr/>
          <w:p>
            <w:pPr>
              <w:pStyle w:val="Compact"/>
              <w:jc w:val="left"/>
            </w:pPr>
            <w:r>
              <w:t xml:space="preserve">+20%</w:t>
            </w:r>
          </w:p>
        </w:tc>
      </w:tr>
      <w:tr>
        <w:tc>
          <w:tcPr/>
          <w:p>
            <w:pPr>
              <w:pStyle w:val="Compact"/>
              <w:jc w:val="left"/>
            </w:pPr>
            <w:r>
              <w:rPr>
                <w:b/>
                <w:bCs/>
              </w:rPr>
              <w:t xml:space="preserve">Maize/Corn</w:t>
            </w:r>
          </w:p>
        </w:tc>
        <w:tc>
          <w:tcPr/>
          <w:p>
            <w:pPr>
              <w:pStyle w:val="Compact"/>
              <w:jc w:val="left"/>
            </w:pPr>
            <w:r>
              <w:t xml:space="preserve">+29%</w:t>
            </w:r>
          </w:p>
        </w:tc>
      </w:tr>
      <w:tr>
        <w:tc>
          <w:tcPr/>
          <w:p>
            <w:pPr>
              <w:pStyle w:val="Compact"/>
              <w:jc w:val="left"/>
            </w:pPr>
            <w:r>
              <w:rPr>
                <w:b/>
                <w:bCs/>
              </w:rPr>
              <w:t xml:space="preserve">Rice</w:t>
            </w:r>
          </w:p>
        </w:tc>
        <w:tc>
          <w:tcPr/>
          <w:p>
            <w:pPr>
              <w:pStyle w:val="Compact"/>
              <w:jc w:val="left"/>
            </w:pPr>
            <w:r>
              <w:t xml:space="preserve">+8% (but -12% vs Jan 2021)</w:t>
            </w:r>
          </w:p>
        </w:tc>
      </w:tr>
    </w:tbl>
    <w:bookmarkEnd w:id="30"/>
    <w:bookmarkStart w:id="31" w:name="transmission-lag-analysis"/>
    <w:p>
      <w:pPr>
        <w:pStyle w:val="3"/>
      </w:pPr>
      <w:r>
        <w:t xml:space="preserve">Transmission Lag Analysis:</w:t>
      </w:r>
    </w:p>
    <w:tbl>
      <w:tblPr>
        <w:tblStyle w:val="Table"/>
        <w:tblW w:type="pct" w:w="5000"/>
        <w:jc w:val="left"/>
        <w:tblLayout w:type="fixed"/>
        <w:tblLook w:firstRow="1" w:lastRow="0" w:firstColumn="0" w:lastColumn="0" w:noHBand="0" w:noVBand="0" w:val="0020"/>
      </w:tblPr>
      <w:tblGrid>
        <w:gridCol w:w="1980"/>
        <w:gridCol w:w="2828"/>
        <w:gridCol w:w="3111"/>
      </w:tblGrid>
      <w:tr>
        <w:trPr>
          <w:tblHeader w:val="on"/>
        </w:trPr>
        <w:tc>
          <w:tcPr/>
          <w:p>
            <w:pPr>
              <w:pStyle w:val="Compact"/>
              <w:jc w:val="left"/>
            </w:pPr>
            <w:r>
              <w:t xml:space="preserve">Phase</w:t>
            </w:r>
          </w:p>
        </w:tc>
        <w:tc>
          <w:tcPr/>
          <w:p>
            <w:pPr>
              <w:pStyle w:val="Compact"/>
              <w:jc w:val="left"/>
            </w:pPr>
            <w:r>
              <w:t xml:space="preserve">Timeline</w:t>
            </w:r>
          </w:p>
        </w:tc>
        <w:tc>
          <w:tcPr/>
          <w:p>
            <w:pPr>
              <w:pStyle w:val="Compact"/>
              <w:jc w:val="left"/>
            </w:pPr>
            <w:r>
              <w:t xml:space="preserve">Mechanism</w:t>
            </w:r>
          </w:p>
        </w:tc>
      </w:tr>
      <w:tr>
        <w:tc>
          <w:tcPr/>
          <w:p>
            <w:pPr>
              <w:pStyle w:val="Compact"/>
              <w:jc w:val="left"/>
            </w:pPr>
            <w:r>
              <w:rPr>
                <w:b/>
                <w:bCs/>
              </w:rPr>
              <w:t xml:space="preserve">Fertilizer Price Spike</w:t>
            </w:r>
          </w:p>
        </w:tc>
        <w:tc>
          <w:tcPr/>
          <w:p>
            <w:pPr>
              <w:pStyle w:val="Compact"/>
              <w:jc w:val="left"/>
            </w:pPr>
            <w:r>
              <w:t xml:space="preserve">Immediate (Q1 2022)</w:t>
            </w:r>
          </w:p>
        </w:tc>
        <w:tc>
          <w:tcPr/>
          <w:p>
            <w:pPr>
              <w:pStyle w:val="Compact"/>
              <w:jc w:val="left"/>
            </w:pPr>
            <w:r>
              <w:t xml:space="preserve">Natural gas cost surge, supply disruptions</w:t>
            </w:r>
          </w:p>
        </w:tc>
      </w:tr>
      <w:tr>
        <w:tc>
          <w:tcPr/>
          <w:p>
            <w:pPr>
              <w:pStyle w:val="Compact"/>
              <w:jc w:val="left"/>
            </w:pPr>
            <w:r>
              <w:rPr>
                <w:b/>
                <w:bCs/>
              </w:rPr>
              <w:t xml:space="preserve">Farmer Cost Absorption</w:t>
            </w:r>
          </w:p>
        </w:tc>
        <w:tc>
          <w:tcPr/>
          <w:p>
            <w:pPr>
              <w:pStyle w:val="Compact"/>
              <w:jc w:val="left"/>
            </w:pPr>
            <w:r>
              <w:t xml:space="preserve">1-3 months</w:t>
            </w:r>
          </w:p>
        </w:tc>
        <w:tc>
          <w:tcPr/>
          <w:p>
            <w:pPr>
              <w:pStyle w:val="Compact"/>
              <w:jc w:val="left"/>
            </w:pPr>
            <w:r>
              <w:t xml:space="preserve">Input cost increases reduce margins</w:t>
            </w:r>
          </w:p>
        </w:tc>
      </w:tr>
      <w:tr>
        <w:tc>
          <w:tcPr/>
          <w:p>
            <w:pPr>
              <w:pStyle w:val="Compact"/>
              <w:jc w:val="left"/>
            </w:pPr>
            <w:r>
              <w:rPr>
                <w:b/>
                <w:bCs/>
              </w:rPr>
              <w:t xml:space="preserve">Planting Decisions</w:t>
            </w:r>
          </w:p>
        </w:tc>
        <w:tc>
          <w:tcPr/>
          <w:p>
            <w:pPr>
              <w:pStyle w:val="Compact"/>
              <w:jc w:val="left"/>
            </w:pPr>
            <w:r>
              <w:t xml:space="preserve">3-6 months</w:t>
            </w:r>
          </w:p>
        </w:tc>
        <w:tc>
          <w:tcPr/>
          <w:p>
            <w:pPr>
              <w:pStyle w:val="Compact"/>
              <w:jc w:val="left"/>
            </w:pPr>
            <w:r>
              <w:t xml:space="preserve">Reduced fertilizer application, acreage shifts</w:t>
            </w:r>
          </w:p>
        </w:tc>
      </w:tr>
      <w:tr>
        <w:tc>
          <w:tcPr/>
          <w:p>
            <w:pPr>
              <w:pStyle w:val="Compact"/>
              <w:jc w:val="left"/>
            </w:pPr>
            <w:r>
              <w:rPr>
                <w:b/>
                <w:bCs/>
              </w:rPr>
              <w:t xml:space="preserve">Yield Impact</w:t>
            </w:r>
          </w:p>
        </w:tc>
        <w:tc>
          <w:tcPr/>
          <w:p>
            <w:pPr>
              <w:pStyle w:val="Compact"/>
              <w:jc w:val="left"/>
            </w:pPr>
            <w:r>
              <w:t xml:space="preserve">6-12 months</w:t>
            </w:r>
          </w:p>
        </w:tc>
        <w:tc>
          <w:tcPr/>
          <w:p>
            <w:pPr>
              <w:pStyle w:val="Compact"/>
              <w:jc w:val="left"/>
            </w:pPr>
            <w:r>
              <w:t xml:space="preserve">Lower crop yields due to under-fertilization</w:t>
            </w:r>
          </w:p>
        </w:tc>
      </w:tr>
      <w:tr>
        <w:tc>
          <w:tcPr/>
          <w:p>
            <w:pPr>
              <w:pStyle w:val="Compact"/>
              <w:jc w:val="left"/>
            </w:pPr>
            <w:r>
              <w:rPr>
                <w:b/>
                <w:bCs/>
              </w:rPr>
              <w:t xml:space="preserve">Food Price Peak</w:t>
            </w:r>
          </w:p>
        </w:tc>
        <w:tc>
          <w:tcPr/>
          <w:p>
            <w:pPr>
              <w:pStyle w:val="Compact"/>
              <w:jc w:val="left"/>
            </w:pPr>
            <w:r>
              <w:t xml:space="preserve">12-18 months</w:t>
            </w:r>
          </w:p>
        </w:tc>
        <w:tc>
          <w:tcPr/>
          <w:p>
            <w:pPr>
              <w:pStyle w:val="Compact"/>
              <w:jc w:val="left"/>
            </w:pPr>
            <w:r>
              <w:t xml:space="preserve">Reduced supply drives commodity prices higher</w:t>
            </w:r>
          </w:p>
        </w:tc>
      </w:tr>
    </w:tbl>
    <w:p>
      <w:pPr>
        <w:pStyle w:val="a0"/>
      </w:pPr>
      <w:r>
        <w:rPr>
          <w:b/>
          <w:bCs/>
        </w:rPr>
        <w:t xml:space="preserve">Key Finding from 2022:</w:t>
      </w:r>
      <w:r>
        <w:t xml:space="preserve"> </w:t>
      </w:r>
      <w:r>
        <w:t xml:space="preserve">The ratio of fertilizer prices to crop prices increased sharply, particularly for urea used on soybeans and corn, decreasing farmer profitability. Farmers shifted fertilizer use to more profitable crops, potentially damaging food security in regions dependent on staple grains .</w:t>
      </w:r>
    </w:p>
    <w:p>
      <w:pPr>
        <w:pStyle w:val="a0"/>
      </w:pPr>
      <w:r>
        <w:rPr>
          <w:b/>
          <w:bCs/>
        </w:rPr>
        <w:t xml:space="preserve">2026 Transmission Risk:</w:t>
      </w:r>
      <w:r>
        <w:t xml:space="preserve"> </w:t>
      </w:r>
      <w:r>
        <w:t xml:space="preserve">Current wheat futures have already surged</w:t>
      </w:r>
      <w:r>
        <w:t xml:space="preserve"> </w:t>
      </w:r>
      <w:r>
        <w:rPr>
          <w:b/>
          <w:bCs/>
        </w:rPr>
        <w:t xml:space="preserve">3%</w:t>
      </w:r>
      <w:r>
        <w:t xml:space="preserve"> </w:t>
      </w:r>
      <w:r>
        <w:t xml:space="preserve">(nearing 2-year highs), corn</w:t>
      </w:r>
      <w:r>
        <w:t xml:space="preserve"> </w:t>
      </w:r>
      <w:r>
        <w:rPr>
          <w:b/>
          <w:bCs/>
        </w:rPr>
        <w:t xml:space="preserve">2%+,</w:t>
      </w:r>
      <w:r>
        <w:t xml:space="preserve"> </w:t>
      </w:r>
      <w:r>
        <w:t xml:space="preserve">and palm oil</w:t>
      </w:r>
      <w:r>
        <w:t xml:space="preserve"> </w:t>
      </w:r>
      <w:r>
        <w:rPr>
          <w:b/>
          <w:bCs/>
        </w:rPr>
        <w:t xml:space="preserve">10%</w:t>
      </w:r>
      <w:r>
        <w:t xml:space="preserve"> </w:t>
      </w:r>
      <w:r>
        <w:t xml:space="preserve">(largest gain since 2022) as markets anticipate fertilizer-driven supply constraints .</w:t>
      </w:r>
    </w:p>
    <w:p>
      <w:r>
        <w:pict>
          <v:rect style="width:0;height:1.5pt" o:hralign="center" o:hrstd="t" o:hr="t"/>
        </w:pict>
      </w:r>
    </w:p>
    <w:bookmarkEnd w:id="31"/>
    <w:bookmarkEnd w:id="32"/>
    <w:bookmarkStart w:id="36" w:name="X9a5cb3b4384afca6ee1fb26f3e47b78dd54ea4c"/>
    <w:p>
      <w:pPr>
        <w:pStyle w:val="2"/>
      </w:pPr>
      <w:r>
        <w:t xml:space="preserve">Investment Thesis: US-Based Fertilizer Producers</w:t>
      </w:r>
    </w:p>
    <w:bookmarkStart w:id="33" w:name="bull-case-factors"/>
    <w:p>
      <w:pPr>
        <w:pStyle w:val="3"/>
      </w:pPr>
      <w:r>
        <w:t xml:space="preserve">Bull Case Factors:</w:t>
      </w:r>
    </w:p>
    <w:p>
      <w:pPr>
        <w:pStyle w:val="Compact"/>
        <w:numPr>
          <w:ilvl w:val="0"/>
          <w:numId w:val="1003"/>
        </w:numPr>
      </w:pPr>
      <w:r>
        <w:rPr>
          <w:b/>
          <w:bCs/>
        </w:rPr>
        <w:t xml:space="preserve">Supply Dislocation:</w:t>
      </w:r>
      <w:r>
        <w:t xml:space="preserve"> </w:t>
      </w:r>
      <w:r>
        <w:t xml:space="preserve">28% of US urea imports from Middle East now at risk</w:t>
      </w:r>
    </w:p>
    <w:p>
      <w:pPr>
        <w:pStyle w:val="Compact"/>
        <w:numPr>
          <w:ilvl w:val="0"/>
          <w:numId w:val="1003"/>
        </w:numPr>
      </w:pPr>
      <w:r>
        <w:rPr>
          <w:b/>
          <w:bCs/>
        </w:rPr>
        <w:t xml:space="preserve">Domestic Pricing Power:</w:t>
      </w:r>
      <w:r>
        <w:t xml:space="preserve"> </w:t>
      </w:r>
      <w:r>
        <w:t xml:space="preserve">US producers (CF Industries, Nutrien) can capture import substitution premium</w:t>
      </w:r>
    </w:p>
    <w:p>
      <w:pPr>
        <w:pStyle w:val="Compact"/>
        <w:numPr>
          <w:ilvl w:val="0"/>
          <w:numId w:val="1003"/>
        </w:numPr>
      </w:pPr>
      <w:r>
        <w:rPr>
          <w:b/>
          <w:bCs/>
        </w:rPr>
        <w:t xml:space="preserve">Natural Gas Advantage:</w:t>
      </w:r>
      <w:r>
        <w:t xml:space="preserve"> </w:t>
      </w:r>
      <w:r>
        <w:t xml:space="preserve">US Henry Hub gas prices vs. global LNG spikes = feedstock cost advantage</w:t>
      </w:r>
    </w:p>
    <w:p>
      <w:pPr>
        <w:pStyle w:val="Compact"/>
        <w:numPr>
          <w:ilvl w:val="0"/>
          <w:numId w:val="1003"/>
        </w:numPr>
      </w:pPr>
      <w:r>
        <w:rPr>
          <w:b/>
          <w:bCs/>
        </w:rPr>
        <w:t xml:space="preserve">No Strategic Reserve:</w:t>
      </w:r>
      <w:r>
        <w:t xml:space="preserve"> </w:t>
      </w:r>
      <w:r>
        <w:t xml:space="preserve">Unlike oil, fertilizer has no SPR equivalent—market clearing only</w:t>
      </w:r>
    </w:p>
    <w:bookmarkEnd w:id="33"/>
    <w:bookmarkStart w:id="34" w:name="risk-factors"/>
    <w:p>
      <w:pPr>
        <w:pStyle w:val="3"/>
      </w:pPr>
      <w:r>
        <w:t xml:space="preserve">Risk Factors:</w:t>
      </w:r>
    </w:p>
    <w:p>
      <w:pPr>
        <w:pStyle w:val="Compact"/>
        <w:numPr>
          <w:ilvl w:val="0"/>
          <w:numId w:val="1004"/>
        </w:numPr>
      </w:pPr>
      <w:r>
        <w:rPr>
          <w:b/>
          <w:bCs/>
        </w:rPr>
        <w:t xml:space="preserve">Demand Destruction:</w:t>
      </w:r>
      <w:r>
        <w:t xml:space="preserve"> </w:t>
      </w:r>
      <w:r>
        <w:t xml:space="preserve">High prices may reduce application rates (2022 precedent)</w:t>
      </w:r>
    </w:p>
    <w:p>
      <w:pPr>
        <w:pStyle w:val="Compact"/>
        <w:numPr>
          <w:ilvl w:val="0"/>
          <w:numId w:val="1004"/>
        </w:numPr>
      </w:pPr>
      <w:r>
        <w:rPr>
          <w:b/>
          <w:bCs/>
        </w:rPr>
        <w:t xml:space="preserve">Chinese Export Policy:</w:t>
      </w:r>
      <w:r>
        <w:t xml:space="preserve"> </w:t>
      </w:r>
      <w:r>
        <w:t xml:space="preserve">China could release exports to capture high prices, capping upside</w:t>
      </w:r>
    </w:p>
    <w:p>
      <w:pPr>
        <w:pStyle w:val="Compact"/>
        <w:numPr>
          <w:ilvl w:val="0"/>
          <w:numId w:val="1004"/>
        </w:numPr>
      </w:pPr>
      <w:r>
        <w:rPr>
          <w:b/>
          <w:bCs/>
        </w:rPr>
        <w:t xml:space="preserve">Duration Uncertainty:</w:t>
      </w:r>
      <w:r>
        <w:t xml:space="preserve"> </w:t>
      </w:r>
      <w:r>
        <w:t xml:space="preserve">Trump indicated conflict could last</w:t>
      </w:r>
      <w:r>
        <w:t xml:space="preserve"> </w:t>
      </w:r>
      <w:r>
        <w:t xml:space="preserve">“</w:t>
      </w:r>
      <w:r>
        <w:t xml:space="preserve">four to five weeks but may extend far longer</w:t>
      </w:r>
      <w:r>
        <w:t xml:space="preserve">”</w:t>
      </w:r>
    </w:p>
    <w:bookmarkEnd w:id="34"/>
    <w:bookmarkStart w:id="35" w:name="key-tickers-to-monitor"/>
    <w:p>
      <w:pPr>
        <w:pStyle w:val="3"/>
      </w:pPr>
      <w:r>
        <w:t xml:space="preserve">Key Tickers to Monitor:</w:t>
      </w:r>
    </w:p>
    <w:p>
      <w:pPr>
        <w:pStyle w:val="Compact"/>
        <w:numPr>
          <w:ilvl w:val="0"/>
          <w:numId w:val="1005"/>
        </w:numPr>
      </w:pPr>
      <w:r>
        <w:rPr>
          <w:b/>
          <w:bCs/>
        </w:rPr>
        <w:t xml:space="preserve">CF Industries (CF):</w:t>
      </w:r>
      <w:r>
        <w:t xml:space="preserve"> </w:t>
      </w:r>
      <w:r>
        <w:t xml:space="preserve">Pure-play nitrogen; largest global producer</w:t>
      </w:r>
    </w:p>
    <w:p>
      <w:pPr>
        <w:pStyle w:val="Compact"/>
        <w:numPr>
          <w:ilvl w:val="0"/>
          <w:numId w:val="1005"/>
        </w:numPr>
      </w:pPr>
      <w:r>
        <w:rPr>
          <w:b/>
          <w:bCs/>
        </w:rPr>
        <w:t xml:space="preserve">Nutrien (NTR):</w:t>
      </w:r>
      <w:r>
        <w:t xml:space="preserve"> </w:t>
      </w:r>
      <w:r>
        <w:t xml:space="preserve">Integrated NPK + retail; 65% of US farmer needs domestically sourced</w:t>
      </w:r>
    </w:p>
    <w:p>
      <w:pPr>
        <w:pStyle w:val="Compact"/>
        <w:numPr>
          <w:ilvl w:val="0"/>
          <w:numId w:val="1005"/>
        </w:numPr>
      </w:pPr>
      <w:r>
        <w:rPr>
          <w:b/>
          <w:bCs/>
        </w:rPr>
        <w:t xml:space="preserve">Mosaic (MOS):</w:t>
      </w:r>
      <w:r>
        <w:t xml:space="preserve"> </w:t>
      </w:r>
      <w:r>
        <w:t xml:space="preserve">Phosphate/potash exposure; less Hormuz-dependent but benefits from phosphate tightness</w:t>
      </w:r>
    </w:p>
    <w:p>
      <w:r>
        <w:pict>
          <v:rect style="width:0;height:1.5pt" o:hralign="center" o:hrstd="t" o:hr="t"/>
        </w:pict>
      </w:r>
    </w:p>
    <w:p>
      <w:pPr>
        <w:pStyle w:val="FirstParagraph"/>
      </w:pPr>
      <w:r>
        <w:rPr>
          <w:i/>
          <w:iCs/>
        </w:rPr>
        <w:t xml:space="preserve">Sources cited with dates as requested. Data current as of March 10, 2026.</w:t>
      </w:r>
    </w:p>
    <w:p>
      <w:r>
        <w:pict>
          <v:rect style="width:0;height:1.5pt" o:hralign="center" o:hrstd="t" o:hr="t"/>
        </w:pict>
      </w:r>
    </w:p>
    <w:bookmarkEnd w:id="35"/>
    <w:bookmarkEnd w:id="36"/>
    <w:sectPr w:rsidR="001C7A67" w:rsidSect="005F6CBF">
      <w:headerReference r:id="rId9" w:type="even"/>
      <w:headerReference r:id="rId11" w:type="default"/>
      <w:footerReference r:id="rId14" w:type="even"/>
      <w:footerReference r:id="rId13" w:type="default"/>
      <w:headerReference r:id="rId10" w:type="first"/>
      <w:footerReference r:id="rId12" w:type="first"/>
      <w:footnotePr>
        <w:numRestart w:val="eachSect"/>
      </w:footnotePr>
      <w:pgSz w:h="15840" w:w="12240"/>
      <w:pgMar w:bottom="1440" w:footer="1020" w:gutter="0" w:header="720" w:left="1800" w:right="1800" w:top="1440"/>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正文 CS 字体)">
    <w:altName w:val="宋体"/>
    <w:panose1 w:val="020B0604020202020204"/>
    <w:charset w:val="86"/>
    <w:family w:val="roman"/>
    <w:notTrueType/>
    <w:pitch w:val="default"/>
  </w:font>
  <w:font w:name="黑体">
    <w:altName w:val="SimHei"/>
    <w:panose1 w:val="02010609060101010101"/>
    <w:charset w:val="86"/>
    <w:family w:val="modern"/>
    <w:pitch w:val="fixed"/>
    <w:sig w:usb0="800002BF" w:usb1="38CF7CFA" w:usb2="00000016" w:usb3="00000000" w:csb0="00040001" w:csb1="00000000"/>
  </w:font>
  <w:font w:name="Times New Roman (标题 CS)">
    <w:altName w:val="宋体"/>
    <w:panose1 w:val="020B0604020202020204"/>
    <w:charset w:val="86"/>
    <w:family w:val="roman"/>
    <w:notTrueType/>
    <w:pitch w:val="default"/>
  </w:font>
  <w:font w:name="等线 Light">
    <w:panose1 w:val="02010600030101010101"/>
    <w:charset w:val="86"/>
    <w:family w:val="auto"/>
    <w:pitch w:val="variable"/>
    <w:sig w:usb0="A00002BF" w:usb1="38CF7CFA" w:usb2="00000016" w:usb3="00000000" w:csb0="0004000F" w:csb1="00000000"/>
  </w:font>
  <w:font w:name="Consolas">
    <w:altName w:val="苹方-简"/>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F6CBF" w:rsidRPr="005F6CBF" w:rsidRDefault="003054F1" w:rsidP="003054F1">
    <w:pPr>
      <w:pStyle w:val="af4"/>
      <w:wordWrap w:val="0"/>
      <w:jc w:val="right"/>
      <w:rPr>
        <w:sz w:val="24"/>
        <w:szCs w:val="24"/>
        <w:lang w:eastAsia="zh-CN"/>
      </w:rPr>
    </w:pPr>
    <w:r>
      <w:rPr>
        <w:sz w:val="24"/>
        <w:szCs w:val="24"/>
      </w:rPr>
      <w:t xml:space="preserve">Generated by </w:t>
    </w:r>
    <w:r>
      <w:rPr>
        <w:sz w:val="24"/>
        <w:szCs w:val="24"/>
      </w:rPr>
      <w:t>Kimi.ai</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F"/>
    <w:multiLevelType w:val="singleLevel"/>
    <w:tmpl w:val="E34447C8"/>
    <w:lvl w:ilvl="0">
      <w:start w:val="1"/>
      <w:numFmt w:val="decimal"/>
      <w:lvlText w:val="%1."/>
      <w:lvlJc w:val="left"/>
      <w:pPr>
        <w:tabs>
          <w:tab w:pos="780" w:val="num"/>
        </w:tabs>
        <w:ind w:hanging="360" w:hangingChars="200" w:left="780" w:leftChars="200"/>
      </w:pPr>
    </w:lvl>
  </w:abstractNum>
  <w:abstractNum w15:restartNumberingAfterBreak="0" w:abstractNumId="1">
    <w:nsid w:val="FFFFFF88"/>
    <w:multiLevelType w:val="singleLevel"/>
    <w:tmpl w:val="FBEE7FC8"/>
    <w:lvl w:ilvl="0">
      <w:start w:val="1"/>
      <w:numFmt w:val="decimal"/>
      <w:lvlText w:val="%1."/>
      <w:lvlJc w:val="left"/>
      <w:pPr>
        <w:tabs>
          <w:tab w:pos="360" w:val="num"/>
        </w:tabs>
        <w:ind w:hanging="360" w:hangingChars="200" w:left="360"/>
      </w:pPr>
    </w:lvl>
  </w:abstractNum>
  <w:abstractNum w15:restartNumberingAfterBreak="0" w:abstractNumId="2">
    <w:nsid w:val="170CD2DE"/>
    <w:multiLevelType w:val="multilevel"/>
    <w:tmpl w:val="76E495AA"/>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16cid:durableId="518012929" w:numId="1">
    <w:abstractNumId w:val="2"/>
  </w:num>
  <w:num w16cid:durableId="1115832812" w:numId="2">
    <w:abstractNumId w:val="0"/>
  </w:num>
  <w:num w16cid:durableId="1385718346" w:numId="3">
    <w:abstractNumId w:val="0"/>
  </w:num>
  <w:num w16cid:durableId="534512707" w:numId="4">
    <w:abstractNumId w:val="0"/>
  </w:num>
  <w:num w16cid:durableId="1318798893" w:numId="5">
    <w:abstractNumId w:val="0"/>
  </w:num>
  <w:num w16cid:durableId="1801877254" w:numId="6">
    <w:abstractNumId w:val="0"/>
  </w:num>
  <w:num w16cid:durableId="295257330" w:numId="7">
    <w:abstractNumId w:val="1"/>
  </w:num>
  <w:num w16cid:durableId="2013414762" w:numId="8">
    <w:abstractNumId w:val="1"/>
  </w:num>
  <w:num w16cid:durableId="815605401" w:numId="9">
    <w:abstractNumId w:val="1"/>
  </w:num>
  <w:num w16cid:durableId="575365733" w:numId="10">
    <w:abstractNumId w:val="1"/>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footnotePr>
    <w:numRestart w:val="eachSect"/>
    <w:footnote w:id="-1"/>
    <w:footnote w:id="0"/>
  </w:footnotePr>
  <w:compat>
    <w:useFELayout/>
    <w:compatSetting w:name="compatibilityMode" w:uri="http://schemas.microsoft.com/office/word" w:val="12"/>
    <w:compatSetting w:name="useWord2013TrackBottomHyphenation" w:uri="http://schemas.microsoft.com/office/word" w:val="1"/>
  </w:compat>
  <w:rsids>
    <w:rsidRoot w:val="001C7A67"/>
    <w:rsid w:val="00196211"/>
    <w:rsid w:val="001C7A67"/>
    <w:rsid w:val="003054F1"/>
    <w:rsid w:val="004825C6"/>
    <w:rsid w:val="0051628A"/>
    <w:rsid w:val="005464E3"/>
    <w:rsid w:val="005F6CBF"/>
    <w:rsid w:val="00643110"/>
    <w:rsid w:val="00746C97"/>
    <w:rsid w:val="008708D9"/>
    <w:rsid w:val="00977478"/>
    <w:rsid w:val="00AF517C"/>
    <w:rsid w:val="00BF08D0"/>
    <w:rsid w:val="00CF7597"/>
    <w:rsid w:val="00D90F1F"/>
    <w:rsid w:val="00EC61BB"/>
    <w:rsid w:val="00FA401C"/>
    <w:rsid w:val="00FD76EA"/>
    <w:rsid w:val="00FE619A"/>
  </w:rsids>
  <w:themeFontLang w:eastAsia="zh-CN"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rsid w:val="00977478"/>
    <w:pPr>
      <w:spacing w:after="0" w:line="360" w:lineRule="auto"/>
    </w:pPr>
    <w:rPr>
      <w:rFonts w:ascii="Arial" w:cs="Times New Roman (正文 CS 字体)" w:eastAsia="宋体" w:hAnsi="Arial"/>
    </w:rPr>
  </w:style>
  <w:style w:styleId="1" w:type="paragraph">
    <w:name w:val="heading 1"/>
    <w:basedOn w:val="a"/>
    <w:next w:val="a0"/>
    <w:link w:val="10"/>
    <w:uiPriority w:val="9"/>
    <w:qFormat/>
    <w:rsid w:val="008708D9"/>
    <w:pPr>
      <w:keepNext/>
      <w:keepLines/>
      <w:outlineLvl w:val="0"/>
    </w:pPr>
    <w:rPr>
      <w:rFonts w:cs="Times New Roman (标题 CS)" w:eastAsia="黑体"/>
      <w:sz w:val="30"/>
      <w:szCs w:val="40"/>
    </w:rPr>
  </w:style>
  <w:style w:styleId="2" w:type="paragraph">
    <w:name w:val="heading 2"/>
    <w:basedOn w:val="a"/>
    <w:next w:val="a0"/>
    <w:link w:val="20"/>
    <w:uiPriority w:val="9"/>
    <w:semiHidden/>
    <w:unhideWhenUsed/>
    <w:qFormat/>
    <w:rsid w:val="008708D9"/>
    <w:pPr>
      <w:keepNext/>
      <w:keepLines/>
      <w:outlineLvl w:val="1"/>
    </w:pPr>
    <w:rPr>
      <w:rFonts w:cs="Times New Roman (标题 CS)" w:eastAsia="黑体"/>
      <w:sz w:val="28"/>
      <w:szCs w:val="32"/>
    </w:rPr>
  </w:style>
  <w:style w:styleId="3" w:type="paragraph">
    <w:name w:val="heading 3"/>
    <w:basedOn w:val="a"/>
    <w:next w:val="a0"/>
    <w:link w:val="30"/>
    <w:uiPriority w:val="9"/>
    <w:semiHidden/>
    <w:unhideWhenUsed/>
    <w:qFormat/>
    <w:rsid w:val="008708D9"/>
    <w:pPr>
      <w:keepNext/>
      <w:keepLines/>
      <w:outlineLvl w:val="2"/>
    </w:pPr>
    <w:rPr>
      <w:rFonts w:cs="Times New Roman (标题 CS)" w:eastAsia="黑体"/>
      <w:sz w:val="26"/>
      <w:szCs w:val="28"/>
    </w:rPr>
  </w:style>
  <w:style w:styleId="4" w:type="paragraph">
    <w:name w:val="heading 4"/>
    <w:basedOn w:val="3"/>
    <w:next w:val="a0"/>
    <w:link w:val="40"/>
    <w:uiPriority w:val="9"/>
    <w:unhideWhenUsed/>
    <w:qFormat/>
    <w:rsid w:val="00EC61BB"/>
    <w:pPr>
      <w:outlineLvl w:val="3"/>
    </w:pPr>
  </w:style>
  <w:style w:styleId="5" w:type="paragraph">
    <w:name w:val="heading 5"/>
    <w:basedOn w:val="4"/>
    <w:next w:val="a0"/>
    <w:link w:val="50"/>
    <w:uiPriority w:val="9"/>
    <w:unhideWhenUsed/>
    <w:qFormat/>
    <w:rsid w:val="00EC61BB"/>
    <w:pPr>
      <w:outlineLvl w:val="4"/>
    </w:pPr>
  </w:style>
  <w:style w:styleId="6" w:type="paragraph">
    <w:name w:val="heading 6"/>
    <w:basedOn w:val="5"/>
    <w:next w:val="a0"/>
    <w:link w:val="60"/>
    <w:uiPriority w:val="9"/>
    <w:unhideWhenUsed/>
    <w:qFormat/>
    <w:rsid w:val="00EC61BB"/>
    <w:pPr>
      <w:outlineLvl w:val="5"/>
    </w:pPr>
  </w:style>
  <w:style w:styleId="7" w:type="paragraph">
    <w:name w:val="heading 7"/>
    <w:basedOn w:val="6"/>
    <w:next w:val="a0"/>
    <w:link w:val="70"/>
    <w:uiPriority w:val="9"/>
    <w:unhideWhenUsed/>
    <w:qFormat/>
    <w:rsid w:val="00EC61BB"/>
    <w:pPr>
      <w:outlineLvl w:val="6"/>
    </w:pPr>
  </w:style>
  <w:style w:styleId="8" w:type="paragraph">
    <w:name w:val="heading 8"/>
    <w:basedOn w:val="7"/>
    <w:next w:val="a0"/>
    <w:link w:val="80"/>
    <w:uiPriority w:val="9"/>
    <w:unhideWhenUsed/>
    <w:qFormat/>
    <w:rsid w:val="00EC61BB"/>
    <w:pPr>
      <w:outlineLvl w:val="7"/>
    </w:pPr>
  </w:style>
  <w:style w:styleId="9" w:type="paragraph">
    <w:name w:val="heading 9"/>
    <w:basedOn w:val="8"/>
    <w:next w:val="a0"/>
    <w:link w:val="90"/>
    <w:uiPriority w:val="9"/>
    <w:unhideWhenUsed/>
    <w:qFormat/>
    <w:rsid w:val="00EC61BB"/>
    <w:pPr>
      <w:outlineLvl w:val="8"/>
    </w:p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a0" w:type="paragraph">
    <w:name w:val="Body Text"/>
    <w:basedOn w:val="a"/>
    <w:qFormat/>
    <w:rsid w:val="00CF7597"/>
  </w:style>
  <w:style w:customStyle="1" w:styleId="FirstParagraph" w:type="paragraph">
    <w:name w:val="First Paragraph"/>
    <w:basedOn w:val="a0"/>
    <w:next w:val="a0"/>
    <w:qFormat/>
  </w:style>
  <w:style w:customStyle="1" w:styleId="Compact" w:type="paragraph">
    <w:name w:val="Compact"/>
    <w:basedOn w:val="a0"/>
    <w:qFormat/>
    <w:pPr>
      <w:spacing w:after="36" w:before="36"/>
    </w:pPr>
  </w:style>
  <w:style w:styleId="a4" w:type="paragraph">
    <w:name w:val="Title"/>
    <w:basedOn w:val="a"/>
    <w:next w:val="a0"/>
    <w:link w:val="a5"/>
    <w:uiPriority w:val="10"/>
    <w:qFormat/>
    <w:rsid w:val="00AF517C"/>
    <w:pPr>
      <w:contextualSpacing/>
      <w:jc w:val="center"/>
    </w:pPr>
    <w:rPr>
      <w:rFonts w:cs="Times New Roman (标题 CS)" w:eastAsia="黑体"/>
      <w:sz w:val="30"/>
      <w:szCs w:val="56"/>
    </w:rPr>
  </w:style>
  <w:style w:customStyle="1" w:styleId="a5" w:type="character">
    <w:name w:val="标题 字符"/>
    <w:basedOn w:val="a1"/>
    <w:link w:val="a4"/>
    <w:uiPriority w:val="10"/>
    <w:rsid w:val="00AF517C"/>
    <w:rPr>
      <w:rFonts w:ascii="Arial" w:cs="Times New Roman (标题 CS)" w:eastAsia="黑体" w:hAnsi="Arial"/>
      <w:sz w:val="30"/>
      <w:szCs w:val="56"/>
    </w:rPr>
  </w:style>
  <w:style w:styleId="a6" w:type="paragraph">
    <w:name w:val="Subtitle"/>
    <w:basedOn w:val="a4"/>
    <w:next w:val="a0"/>
    <w:link w:val="a7"/>
    <w:uiPriority w:val="11"/>
    <w:qFormat/>
    <w:rsid w:val="00A10FD9"/>
    <w:pPr>
      <w:numPr>
        <w:ilvl w:val="1"/>
      </w:numPr>
    </w:pPr>
    <w:rPr>
      <w:rFonts w:cstheme="majorBidi" w:eastAsiaTheme="majorEastAsia"/>
      <w:spacing w:val="15"/>
      <w:sz w:val="28"/>
      <w:szCs w:val="28"/>
    </w:rPr>
  </w:style>
  <w:style w:customStyle="1" w:styleId="a7" w:type="character">
    <w:name w:val="副标题 字符"/>
    <w:basedOn w:val="a1"/>
    <w:link w:val="a6"/>
    <w:uiPriority w:val="11"/>
    <w:rsid w:val="00A10FD9"/>
    <w:rPr>
      <w:rFonts w:cstheme="majorBidi" w:eastAsiaTheme="majorEastAsia"/>
      <w:color w:themeColor="text1" w:themeTint="A6" w:val="595959"/>
      <w:spacing w:val="15"/>
      <w:sz w:val="28"/>
      <w:szCs w:val="28"/>
    </w:rPr>
  </w:style>
  <w:style w:customStyle="1" w:styleId="Author" w:type="paragraph">
    <w:name w:val="Author"/>
    <w:basedOn w:val="a4"/>
    <w:next w:val="a0"/>
    <w:qFormat/>
    <w:pPr>
      <w:keepNext/>
      <w:keepLines/>
    </w:pPr>
    <w:rPr>
      <w:sz w:val="24"/>
      <w:szCs w:val="24"/>
    </w:rPr>
  </w:style>
  <w:style w:styleId="a8" w:type="paragraph">
    <w:name w:val="Date"/>
    <w:basedOn w:val="a4"/>
    <w:next w:val="a0"/>
    <w:qFormat/>
    <w:pPr>
      <w:keepNext/>
      <w:keepLines/>
    </w:pPr>
    <w:rPr>
      <w:sz w:val="24"/>
      <w:szCs w:val="24"/>
    </w:rPr>
  </w:style>
  <w:style w:customStyle="1" w:styleId="AbstractTitle" w:type="paragraph">
    <w:name w:val="Abstract Title"/>
    <w:basedOn w:val="a"/>
    <w:next w:val="Abstract"/>
    <w:qFormat/>
    <w:pPr>
      <w:keepNext/>
      <w:keepLines/>
      <w:spacing w:before="300"/>
      <w:jc w:val="center"/>
    </w:pPr>
    <w:rPr>
      <w:b/>
      <w:sz w:val="20"/>
      <w:szCs w:val="20"/>
    </w:rPr>
  </w:style>
  <w:style w:customStyle="1" w:styleId="Abstract" w:type="paragraph">
    <w:name w:val="Abstract"/>
    <w:basedOn w:val="a"/>
    <w:next w:val="a0"/>
    <w:qFormat/>
    <w:pPr>
      <w:keepNext/>
      <w:keepLines/>
      <w:spacing w:after="300" w:before="100"/>
    </w:pPr>
    <w:rPr>
      <w:sz w:val="20"/>
      <w:szCs w:val="20"/>
    </w:rPr>
  </w:style>
  <w:style w:styleId="a9" w:type="paragraph">
    <w:name w:val="Bibliography"/>
    <w:basedOn w:val="a"/>
    <w:qFormat/>
  </w:style>
  <w:style w:customStyle="1" w:styleId="10" w:type="character">
    <w:name w:val="标题 1 字符"/>
    <w:basedOn w:val="a1"/>
    <w:link w:val="1"/>
    <w:uiPriority w:val="9"/>
    <w:rsid w:val="008708D9"/>
    <w:rPr>
      <w:rFonts w:ascii="Arial" w:cs="Times New Roman (标题 CS)" w:eastAsia="黑体" w:hAnsi="Arial"/>
      <w:sz w:val="30"/>
      <w:szCs w:val="40"/>
    </w:rPr>
  </w:style>
  <w:style w:customStyle="1" w:styleId="20" w:type="character">
    <w:name w:val="标题 2 字符"/>
    <w:basedOn w:val="a1"/>
    <w:link w:val="2"/>
    <w:uiPriority w:val="9"/>
    <w:semiHidden/>
    <w:rsid w:val="008708D9"/>
    <w:rPr>
      <w:rFonts w:ascii="Arial" w:cs="Times New Roman (标题 CS)" w:eastAsia="黑体" w:hAnsi="Arial"/>
      <w:sz w:val="28"/>
      <w:szCs w:val="32"/>
    </w:rPr>
  </w:style>
  <w:style w:customStyle="1" w:styleId="30" w:type="character">
    <w:name w:val="标题 3 字符"/>
    <w:basedOn w:val="a1"/>
    <w:link w:val="3"/>
    <w:uiPriority w:val="9"/>
    <w:semiHidden/>
    <w:rsid w:val="008708D9"/>
    <w:rPr>
      <w:rFonts w:ascii="Arial" w:cs="Times New Roman (标题 CS)" w:eastAsia="黑体" w:hAnsi="Arial"/>
      <w:sz w:val="26"/>
      <w:szCs w:val="28"/>
    </w:rPr>
  </w:style>
  <w:style w:customStyle="1" w:styleId="40" w:type="character">
    <w:name w:val="标题 4 字符"/>
    <w:basedOn w:val="a1"/>
    <w:link w:val="4"/>
    <w:uiPriority w:val="9"/>
    <w:rsid w:val="00EC61BB"/>
    <w:rPr>
      <w:rFonts w:ascii="Arial" w:cs="Times New Roman (标题 CS)" w:eastAsia="黑体" w:hAnsi="Arial"/>
      <w:color w:themeColor="accent1" w:themeShade="BF" w:val="0F4761"/>
      <w:sz w:val="26"/>
      <w:szCs w:val="28"/>
    </w:rPr>
  </w:style>
  <w:style w:customStyle="1" w:styleId="50" w:type="character">
    <w:name w:val="标题 5 字符"/>
    <w:basedOn w:val="a1"/>
    <w:link w:val="5"/>
    <w:uiPriority w:val="9"/>
    <w:rsid w:val="00EC61BB"/>
    <w:rPr>
      <w:rFonts w:ascii="Arial" w:cs="Times New Roman (标题 CS)" w:eastAsia="黑体" w:hAnsi="Arial"/>
      <w:color w:themeColor="accent1" w:themeShade="BF" w:val="0F4761"/>
      <w:sz w:val="26"/>
      <w:szCs w:val="28"/>
    </w:rPr>
  </w:style>
  <w:style w:customStyle="1" w:styleId="60" w:type="character">
    <w:name w:val="标题 6 字符"/>
    <w:basedOn w:val="a1"/>
    <w:link w:val="6"/>
    <w:uiPriority w:val="9"/>
    <w:rsid w:val="00EC61BB"/>
    <w:rPr>
      <w:rFonts w:ascii="Arial" w:cs="Times New Roman (标题 CS)" w:eastAsia="黑体" w:hAnsi="Arial"/>
      <w:color w:themeColor="accent1" w:themeShade="BF" w:val="0F4761"/>
      <w:sz w:val="26"/>
      <w:szCs w:val="28"/>
    </w:rPr>
  </w:style>
  <w:style w:customStyle="1" w:styleId="70" w:type="character">
    <w:name w:val="标题 7 字符"/>
    <w:basedOn w:val="a1"/>
    <w:link w:val="7"/>
    <w:uiPriority w:val="9"/>
    <w:rsid w:val="00EC61BB"/>
    <w:rPr>
      <w:rFonts w:ascii="Arial" w:cs="Times New Roman (标题 CS)" w:eastAsia="黑体" w:hAnsi="Arial"/>
      <w:color w:themeColor="accent1" w:themeShade="BF" w:val="0F4761"/>
      <w:sz w:val="26"/>
      <w:szCs w:val="28"/>
    </w:rPr>
  </w:style>
  <w:style w:customStyle="1" w:styleId="80" w:type="character">
    <w:name w:val="标题 8 字符"/>
    <w:basedOn w:val="a1"/>
    <w:link w:val="8"/>
    <w:uiPriority w:val="9"/>
    <w:rsid w:val="00EC61BB"/>
    <w:rPr>
      <w:rFonts w:ascii="Arial" w:cs="Times New Roman (标题 CS)" w:eastAsia="黑体" w:hAnsi="Arial"/>
      <w:color w:themeColor="accent1" w:themeShade="BF" w:val="0F4761"/>
      <w:sz w:val="26"/>
      <w:szCs w:val="28"/>
    </w:rPr>
  </w:style>
  <w:style w:customStyle="1" w:styleId="90" w:type="character">
    <w:name w:val="标题 9 字符"/>
    <w:basedOn w:val="a1"/>
    <w:link w:val="9"/>
    <w:uiPriority w:val="9"/>
    <w:rsid w:val="00EC61BB"/>
    <w:rPr>
      <w:rFonts w:ascii="Arial" w:cs="Times New Roman (标题 CS)" w:eastAsia="黑体" w:hAnsi="Arial"/>
      <w:color w:themeColor="accent1" w:themeShade="BF" w:val="0F4761"/>
      <w:sz w:val="26"/>
      <w:szCs w:val="28"/>
    </w:rPr>
  </w:style>
  <w:style w:styleId="aa" w:type="paragraph">
    <w:name w:val="Block Text"/>
    <w:basedOn w:val="a0"/>
    <w:next w:val="a0"/>
    <w:uiPriority w:val="9"/>
    <w:unhideWhenUsed/>
    <w:qFormat/>
    <w:pPr>
      <w:spacing w:after="100" w:before="100"/>
      <w:ind w:left="480" w:right="480"/>
    </w:pPr>
  </w:style>
  <w:style w:styleId="ab" w:type="paragraph">
    <w:name w:val="footnote text"/>
    <w:basedOn w:val="a"/>
    <w:uiPriority w:val="9"/>
    <w:unhideWhenUsed/>
    <w:qFormat/>
    <w:rsid w:val="00746C97"/>
    <w:rPr>
      <w:sz w:val="18"/>
    </w:rPr>
  </w:style>
  <w:style w:customStyle="1" w:styleId="FootnoteBlockText" w:type="paragraph">
    <w:name w:val="Footnote Block Text"/>
    <w:basedOn w:val="ab"/>
    <w:next w:val="ab"/>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a"/>
    <w:next w:val="Definition"/>
    <w:pPr>
      <w:keepNext/>
      <w:keepLines/>
    </w:pPr>
    <w:rPr>
      <w:b/>
    </w:rPr>
  </w:style>
  <w:style w:customStyle="1" w:styleId="Definition" w:type="paragraph">
    <w:name w:val="Definition"/>
    <w:basedOn w:val="a"/>
  </w:style>
  <w:style w:styleId="ac" w:type="paragraph">
    <w:name w:val="caption"/>
    <w:basedOn w:val="a"/>
    <w:link w:val="ad"/>
    <w:pPr>
      <w:spacing w:after="120"/>
    </w:pPr>
    <w:rPr>
      <w:i/>
    </w:rPr>
  </w:style>
  <w:style w:customStyle="1" w:styleId="TableCaption" w:type="paragraph">
    <w:name w:val="Table Caption"/>
    <w:basedOn w:val="ac"/>
    <w:rsid w:val="00746C97"/>
    <w:pPr>
      <w:keepNext/>
      <w:spacing w:after="0"/>
      <w:jc w:val="center"/>
    </w:pPr>
    <w:rPr>
      <w:i w:val="0"/>
      <w:sz w:val="20"/>
    </w:rPr>
  </w:style>
  <w:style w:customStyle="1" w:styleId="ImageCaption" w:type="paragraph">
    <w:name w:val="Image Caption"/>
    <w:basedOn w:val="ac"/>
    <w:rsid w:val="00BF08D0"/>
    <w:pPr>
      <w:spacing w:after="0"/>
      <w:jc w:val="center"/>
    </w:pPr>
    <w:rPr>
      <w:i w:val="0"/>
      <w:sz w:val="20"/>
    </w:rPr>
  </w:style>
  <w:style w:customStyle="1" w:styleId="Figure" w:type="paragraph">
    <w:name w:val="Figure"/>
    <w:basedOn w:val="a"/>
  </w:style>
  <w:style w:customStyle="1" w:styleId="CaptionedFigure" w:type="paragraph">
    <w:name w:val="Captioned Figure"/>
    <w:basedOn w:val="Figure"/>
    <w:pPr>
      <w:keepNext/>
    </w:pPr>
  </w:style>
  <w:style w:customStyle="1" w:styleId="ad" w:type="character">
    <w:name w:val="题注 字符"/>
    <w:basedOn w:val="a1"/>
    <w:link w:val="ac"/>
  </w:style>
  <w:style w:customStyle="1" w:styleId="VerbatimChar" w:type="character">
    <w:name w:val="Verbatim Char"/>
    <w:basedOn w:val="ad"/>
    <w:rPr>
      <w:rFonts w:ascii="Consolas" w:hAnsi="Consolas"/>
      <w:sz w:val="22"/>
    </w:rPr>
  </w:style>
  <w:style w:customStyle="1" w:styleId="SectionNumber" w:type="character">
    <w:name w:val="Section Number"/>
    <w:basedOn w:val="ad"/>
  </w:style>
  <w:style w:styleId="ae" w:type="character">
    <w:name w:val="footnote reference"/>
    <w:basedOn w:val="ad"/>
    <w:rPr>
      <w:vertAlign w:val="superscript"/>
    </w:rPr>
  </w:style>
  <w:style w:styleId="af" w:type="character">
    <w:name w:val="Hyperlink"/>
    <w:basedOn w:val="ad"/>
    <w:rPr>
      <w:color w:themeColor="accent1" w:val="156082"/>
    </w:rPr>
  </w:style>
  <w:style w:styleId="TOC" w:type="paragraph">
    <w:name w:val="TOC Heading"/>
    <w:basedOn w:val="1"/>
    <w:next w:val="a0"/>
    <w:uiPriority w:val="39"/>
    <w:unhideWhenUsed/>
    <w:qFormat/>
    <w:pPr>
      <w:spacing w:before="240" w:line="259" w:lineRule="auto"/>
      <w:outlineLvl w:val="9"/>
    </w:pPr>
    <w:rPr>
      <w:rFonts w:asciiTheme="majorHAnsi" w:cstheme="majorBidi" w:eastAsiaTheme="majorEastAsia" w:hAnsiTheme="majorHAnsi"/>
    </w:rPr>
  </w:style>
  <w:style w:styleId="af0" w:type="table">
    <w:name w:val="Table Grid"/>
    <w:basedOn w:val="a2"/>
    <w:rsid w:val="00746C97"/>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af1" w:type="paragraph">
    <w:name w:val="List Paragraph"/>
    <w:basedOn w:val="a0"/>
    <w:rsid w:val="0051628A"/>
    <w:pPr>
      <w:ind w:firstLine="420" w:firstLineChars="200"/>
    </w:pPr>
  </w:style>
  <w:style w:styleId="af2" w:type="paragraph">
    <w:name w:val="header"/>
    <w:basedOn w:val="a"/>
    <w:link w:val="af3"/>
    <w:rsid w:val="005F6CBF"/>
    <w:pPr>
      <w:tabs>
        <w:tab w:pos="4153" w:val="center"/>
        <w:tab w:pos="8306" w:val="right"/>
      </w:tabs>
      <w:snapToGrid w:val="0"/>
      <w:spacing w:line="240" w:lineRule="auto"/>
      <w:jc w:val="center"/>
    </w:pPr>
    <w:rPr>
      <w:sz w:val="18"/>
      <w:szCs w:val="18"/>
    </w:rPr>
  </w:style>
  <w:style w:customStyle="1" w:styleId="af3" w:type="character">
    <w:name w:val="页眉 字符"/>
    <w:basedOn w:val="a1"/>
    <w:link w:val="af2"/>
    <w:rsid w:val="005F6CBF"/>
    <w:rPr>
      <w:rFonts w:ascii="Arial" w:cs="Times New Roman (正文 CS 字体)" w:eastAsia="宋体" w:hAnsi="Arial"/>
      <w:sz w:val="18"/>
      <w:szCs w:val="18"/>
    </w:rPr>
  </w:style>
  <w:style w:styleId="af4" w:type="paragraph">
    <w:name w:val="footer"/>
    <w:basedOn w:val="a"/>
    <w:link w:val="af5"/>
    <w:rsid w:val="005F6CBF"/>
    <w:pPr>
      <w:tabs>
        <w:tab w:pos="4153" w:val="center"/>
        <w:tab w:pos="8306" w:val="right"/>
      </w:tabs>
      <w:snapToGrid w:val="0"/>
      <w:spacing w:line="240" w:lineRule="auto"/>
    </w:pPr>
    <w:rPr>
      <w:sz w:val="18"/>
      <w:szCs w:val="18"/>
    </w:rPr>
  </w:style>
  <w:style w:customStyle="1" w:styleId="af5" w:type="character">
    <w:name w:val="页脚 字符"/>
    <w:basedOn w:val="a1"/>
    <w:link w:val="af4"/>
    <w:rsid w:val="005F6CBF"/>
    <w:rPr>
      <w:rFonts w:ascii="Arial" w:cs="Times New Roman (正文 CS 字体)" w:eastAsia="宋体" w:hAnsi="Arial"/>
      <w:sz w:val="18"/>
      <w:szCs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3.xml" Type="http://schemas.openxmlformats.org/officeDocument/2006/relationships/header" /><Relationship Id="rId11" Target="header2.xml" Type="http://schemas.openxmlformats.org/officeDocument/2006/relationships/header" /><Relationship Id="rId12" Target="footer3.xml" Type="http://schemas.openxmlformats.org/officeDocument/2006/relationships/footer" /><Relationship Id="rId13" Target="footer2.xml" Type="http://schemas.openxmlformats.org/officeDocument/2006/relationships/footer" /><Relationship Id="rId14"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Pages>
  <Words>62</Words>
  <Characters>360</Characters>
  <Application>Microsoft Office Word</Application>
  <DocSecurity>0</DocSecurity>
  <Lines>3</Lines>
  <Paragraphs>1</Paragraphs>
  <ScaleCrop>false</ScaleCrop>
  <Company/>
  <LinksUpToDate>false</LinksUpToDate>
  <CharactersWithSpaces>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2026-03-09T19:33:39Z</dcterms:created>
  <dcterms:modified xsi:type="dcterms:W3CDTF">2026-03-09T19:33:39Z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001191110108MACG2KBH8F10000","ProduceID":"d6mrofnftae684l4clig-19cd412e-3f22-89fd-8000-09002f129c97-20260309193339","ReservedCode1":"","ContentPropagator":"001191110108MACG2KBH8F20000","PropagateID":"d6mrofnftae684l4clig-19cd412e-3f22-89fd-8000-09002f129c97-20260309193339","ReservedCode2":""}</vt:lpwstr>
  </property>
</Properties>
</file>