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2"/>
          <w:szCs w:val="32"/>
        </w:rPr>
        <w:t xml:space="preserve">Comprehensive Financial and Regulatory Analysis</w:t>
      </w:r>
    </w:p>
    <w:p>
      <w:pPr>
        <w:spacing w:after="80"/>
        <w:jc w:val="center"/>
      </w:pPr>
      <w:r>
        <w:rPr>
          <w:rFonts w:ascii="Arial" w:cs="Arial" w:eastAsia="Arial" w:hAnsi="Arial"/>
          <w:b/>
          <w:bCs/>
          <w:color w:val="1F4E79"/>
          <w:sz w:val="28"/>
          <w:szCs w:val="28"/>
        </w:rPr>
        <w:t xml:space="preserve">of FHLB Risk, Insurer Borrowing, and Private Credit Vulnerabilities</w:t>
      </w:r>
    </w:p>
    <w:p>
      <w:pPr>
        <w:spacing w:after="200"/>
        <w:jc w:val="center"/>
      </w:pPr>
      <w:r>
        <w:rPr>
          <w:rFonts w:ascii="Arial" w:cs="Arial" w:eastAsia="Arial" w:hAnsi="Arial"/>
          <w:i/>
          <w:iCs/>
          <w:color w:val="666666"/>
          <w:sz w:val="20"/>
          <w:szCs w:val="20"/>
        </w:rPr>
        <w:t xml:space="preserve">Reconciled Edition — Primary-Source Verified</w:t>
      </w:r>
    </w:p>
    <w:p>
      <w:pPr>
        <w:spacing w:after="400"/>
        <w:jc w:val="center"/>
      </w:pPr>
      <w:r>
        <w:rPr>
          <w:rFonts w:ascii="Arial" w:cs="Arial" w:eastAsia="Arial" w:hAnsi="Arial"/>
          <w:color w:val="666666"/>
          <w:sz w:val="20"/>
          <w:szCs w:val="20"/>
        </w:rPr>
        <w:t xml:space="preserve">October 2026</w:t>
      </w:r>
    </w:p>
    <w:p>
      <w:pPr>
        <w:pStyle w:val="Heading1"/>
      </w:pPr>
      <w:r>
        <w:t xml:space="preserve">1. Executive Dashboard and System-Wide Overview</w:t>
      </w:r>
    </w:p>
    <w:p>
      <w:pPr>
        <w:spacing w:after="200"/>
      </w:pPr>
      <w:r>
        <w:rPr>
          <w:sz w:val="22"/>
          <w:szCs w:val="22"/>
        </w:rPr>
        <w:t xml:space="preserve">The Federal Home Loan Bank (FHLB) System occupies a pivotal yet increasingly complex position in the U.S. financial architecture. Originally designed to support residential mortgage lending through thrift institutions, the System has evolved into a liquidity backstop for a broad spectrum of commercial banks, credit unions, and life insurance companies. Following the extreme liquidity demands of the 2023 regional banking turmoil, system-wide advance balances contracted and then re-accelerated sharply in 2026.</w:t>
      </w:r>
    </w:p>
    <w:p>
      <w:pPr>
        <w:spacing w:after="200"/>
      </w:pPr>
      <w:r>
        <w:rPr>
          <w:sz w:val="22"/>
          <w:szCs w:val="22"/>
        </w:rPr>
        <w:t xml:space="preserve">Primary Office of Finance data establish the following trajectory: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1F4E79"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2520"/>
            <w:shd w:fill="1F4E79" w:val="clear"/>
            <w:tcMar>
              <w:top w:type="dxa" w:w="60"/>
              <w:left w:type="dxa" w:w="80"/>
              <w:bottom w:type="dxa" w:w="60"/>
              <w:right w:type="dxa" w:w="80"/>
            </w:tcMar>
          </w:tcPr>
          <w:p>
            <w:r>
              <w:rPr>
                <w:rFonts w:ascii="Arial" w:cs="Arial" w:eastAsia="Arial" w:hAnsi="Arial"/>
                <w:b/>
                <w:bCs/>
                <w:color w:val="FFFFFF"/>
                <w:sz w:val="16"/>
                <w:szCs w:val="16"/>
              </w:rPr>
              <w:t xml:space="preserve">YE 2025</w:t>
            </w:r>
          </w:p>
        </w:tc>
        <w:tc>
          <w:tcPr>
            <w:tcW w:type="dxa" w:w="2520"/>
            <w:shd w:fill="1F4E79" w:val="clear"/>
            <w:tcMar>
              <w:top w:type="dxa" w:w="60"/>
              <w:left w:type="dxa" w:w="80"/>
              <w:bottom w:type="dxa" w:w="60"/>
              <w:right w:type="dxa" w:w="80"/>
            </w:tcMar>
          </w:tcPr>
          <w:p>
            <w:r>
              <w:rPr>
                <w:rFonts w:ascii="Arial" w:cs="Arial" w:eastAsia="Arial" w:hAnsi="Arial"/>
                <w:b/>
                <w:bCs/>
                <w:color w:val="FFFFFF"/>
                <w:sz w:val="16"/>
                <w:szCs w:val="16"/>
              </w:rPr>
              <w:t xml:space="preserve">Q1 2026</w:t>
            </w:r>
          </w:p>
        </w:tc>
        <w:tc>
          <w:tcPr>
            <w:tcW w:type="dxa" w:w="2520"/>
            <w:shd w:fill="1F4E79" w:val="clear"/>
            <w:tcMar>
              <w:top w:type="dxa" w:w="60"/>
              <w:left w:type="dxa" w:w="80"/>
              <w:bottom w:type="dxa" w:w="60"/>
              <w:right w:type="dxa" w:w="80"/>
            </w:tcMar>
          </w:tcPr>
          <w:p>
            <w:r>
              <w:rPr>
                <w:rFonts w:ascii="Arial" w:cs="Arial" w:eastAsia="Arial" w:hAnsi="Arial"/>
                <w:b/>
                <w:bCs/>
                <w:color w:val="FFFFFF"/>
                <w:sz w:val="16"/>
                <w:szCs w:val="16"/>
              </w:rPr>
              <w:t xml:space="preserve">Q2 2026</w:t>
            </w:r>
          </w:p>
        </w:tc>
      </w:tr>
      <w:tr>
        <w:tc>
          <w:tcPr>
            <w:tcW w:type="dxa" w:w="2520"/>
            <w:tcMar>
              <w:top w:type="dxa" w:w="60"/>
              <w:left w:type="dxa" w:w="80"/>
              <w:bottom w:type="dxa" w:w="60"/>
              <w:right w:type="dxa" w:w="80"/>
            </w:tcMar>
          </w:tcPr>
          <w:p>
            <w:pPr>
              <w:jc w:val="left"/>
            </w:pPr>
            <w:r>
              <w:rPr>
                <w:rFonts w:ascii="Arial" w:cs="Arial" w:eastAsia="Arial" w:hAnsi="Arial"/>
                <w:b/>
                <w:bCs/>
                <w:sz w:val="18"/>
                <w:szCs w:val="18"/>
              </w:rPr>
              <w:t xml:space="preserve">Total System Assets</w:t>
            </w:r>
          </w:p>
        </w:tc>
        <w:tc>
          <w:tcPr>
            <w:tcW w:type="dxa" w:w="2520"/>
            <w:tcMar>
              <w:top w:type="dxa" w:w="60"/>
              <w:left w:type="dxa" w:w="80"/>
              <w:bottom w:type="dxa" w:w="60"/>
              <w:right w:type="dxa" w:w="80"/>
            </w:tcMar>
          </w:tcPr>
          <w:p>
            <w:pPr>
              <w:jc w:val="left"/>
            </w:pPr>
            <w:r>
              <w:rPr>
                <w:rFonts w:ascii="Arial" w:cs="Arial" w:eastAsia="Arial" w:hAnsi="Arial"/>
                <w:b w:val="false"/>
                <w:bCs w:val="false"/>
                <w:sz w:val="18"/>
                <w:szCs w:val="18"/>
              </w:rPr>
              <w:t xml:space="preserve">~$1.248 trillion</w:t>
            </w:r>
          </w:p>
        </w:tc>
        <w:tc>
          <w:tcPr>
            <w:tcW w:type="dxa" w:w="2520"/>
            <w:tcMar>
              <w:top w:type="dxa" w:w="60"/>
              <w:left w:type="dxa" w:w="80"/>
              <w:bottom w:type="dxa" w:w="60"/>
              <w:right w:type="dxa" w:w="80"/>
            </w:tcMar>
          </w:tcPr>
          <w:p>
            <w:pPr>
              <w:jc w:val="center"/>
            </w:pPr>
            <w:r>
              <w:rPr>
                <w:rFonts w:ascii="Arial" w:cs="Arial" w:eastAsia="Arial" w:hAnsi="Arial"/>
                <w:b w:val="false"/>
                <w:bCs w:val="false"/>
                <w:sz w:val="18"/>
                <w:szCs w:val="18"/>
              </w:rPr>
              <w:t xml:space="preserve">—</w:t>
            </w:r>
          </w:p>
        </w:tc>
        <w:tc>
          <w:tcPr>
            <w:tcW w:type="dxa" w:w="2520"/>
            <w:tcMar>
              <w:top w:type="dxa" w:w="60"/>
              <w:left w:type="dxa" w:w="80"/>
              <w:bottom w:type="dxa" w:w="60"/>
              <w:right w:type="dxa" w:w="80"/>
            </w:tcMar>
          </w:tcPr>
          <w:p>
            <w:pPr>
              <w:jc w:val="left"/>
            </w:pPr>
            <w:r>
              <w:rPr>
                <w:rFonts w:ascii="Arial" w:cs="Arial" w:eastAsia="Arial" w:hAnsi="Arial"/>
                <w:b w:val="false"/>
                <w:bCs w:val="false"/>
                <w:sz w:val="18"/>
                <w:szCs w:val="18"/>
              </w:rPr>
              <w:t xml:space="preserve">$1,436.6 billion</w:t>
            </w:r>
          </w:p>
        </w:tc>
      </w:tr>
      <w:tr>
        <w:tc>
          <w:tcPr>
            <w:tcW w:type="dxa" w:w="2520"/>
            <w:shd w:fill="F2F2F2" w:val="clear"/>
            <w:tcMar>
              <w:top w:type="dxa" w:w="60"/>
              <w:left w:type="dxa" w:w="80"/>
              <w:bottom w:type="dxa" w:w="60"/>
              <w:right w:type="dxa" w:w="80"/>
            </w:tcMar>
          </w:tcPr>
          <w:p>
            <w:pPr>
              <w:jc w:val="left"/>
            </w:pPr>
            <w:r>
              <w:rPr>
                <w:rFonts w:ascii="Arial" w:cs="Arial" w:eastAsia="Arial" w:hAnsi="Arial"/>
                <w:b/>
                <w:bCs/>
                <w:sz w:val="18"/>
                <w:szCs w:val="18"/>
              </w:rPr>
              <w:t xml:space="preserve">Total Outstanding Advances</w:t>
            </w:r>
          </w:p>
        </w:tc>
        <w:tc>
          <w:tcPr>
            <w:tcW w:type="dxa" w:w="252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$676.7 billion</w:t>
            </w:r>
          </w:p>
        </w:tc>
        <w:tc>
          <w:tcPr>
            <w:tcW w:type="dxa" w:w="252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$734.3 billion</w:t>
            </w:r>
          </w:p>
        </w:tc>
        <w:tc>
          <w:tcPr>
            <w:tcW w:type="dxa" w:w="252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$810.7 billion</w:t>
            </w:r>
          </w:p>
        </w:tc>
      </w:tr>
      <w:tr>
        <w:tc>
          <w:tcPr>
            <w:tcW w:type="dxa" w:w="2520"/>
            <w:tcMar>
              <w:top w:type="dxa" w:w="60"/>
              <w:left w:type="dxa" w:w="80"/>
              <w:bottom w:type="dxa" w:w="60"/>
              <w:right w:type="dxa" w:w="80"/>
            </w:tcMar>
          </w:tcPr>
          <w:p>
            <w:pPr>
              <w:jc w:val="left"/>
            </w:pPr>
            <w:r>
              <w:rPr>
                <w:rFonts w:ascii="Arial" w:cs="Arial" w:eastAsia="Arial" w:hAnsi="Arial"/>
                <w:b/>
                <w:bCs/>
                <w:sz w:val="18"/>
                <w:szCs w:val="18"/>
              </w:rPr>
              <w:t xml:space="preserve">Insurance Share of Advances</w:t>
            </w:r>
          </w:p>
        </w:tc>
        <w:tc>
          <w:tcPr>
            <w:tcW w:type="dxa" w:w="2520"/>
            <w:tcMar>
              <w:top w:type="dxa" w:w="60"/>
              <w:left w:type="dxa" w:w="80"/>
              <w:bottom w:type="dxa" w:w="60"/>
              <w:right w:type="dxa" w:w="80"/>
            </w:tcMar>
          </w:tcPr>
          <w:p>
            <w:pPr>
              <w:jc w:val="left"/>
            </w:pPr>
            <w:r>
              <w:rPr>
                <w:rFonts w:ascii="Arial" w:cs="Arial" w:eastAsia="Arial" w:hAnsi="Arial"/>
                <w:b w:val="false"/>
                <w:bCs w:val="false"/>
                <w:sz w:val="18"/>
                <w:szCs w:val="18"/>
              </w:rPr>
              <w:t xml:space="preserve">26.3% ($177.8B)</w:t>
            </w:r>
          </w:p>
        </w:tc>
        <w:tc>
          <w:tcPr>
            <w:tcW w:type="dxa" w:w="2520"/>
            <w:tcMar>
              <w:top w:type="dxa" w:w="60"/>
              <w:left w:type="dxa" w:w="80"/>
              <w:bottom w:type="dxa" w:w="60"/>
              <w:right w:type="dxa" w:w="80"/>
            </w:tcMar>
          </w:tcPr>
          <w:p>
            <w:pPr>
              <w:jc w:val="left"/>
            </w:pPr>
            <w:r>
              <w:rPr>
                <w:rFonts w:ascii="Arial" w:cs="Arial" w:eastAsia="Arial" w:hAnsi="Arial"/>
                <w:b w:val="false"/>
                <w:bCs w:val="false"/>
                <w:sz w:val="18"/>
                <w:szCs w:val="18"/>
              </w:rPr>
              <w:t xml:space="preserve">27.0% ($198.4B)</w:t>
            </w:r>
          </w:p>
        </w:tc>
        <w:tc>
          <w:tcPr>
            <w:tcW w:type="dxa" w:w="2520"/>
            <w:tcMar>
              <w:top w:type="dxa" w:w="60"/>
              <w:left w:type="dxa" w:w="80"/>
              <w:bottom w:type="dxa" w:w="60"/>
              <w:right w:type="dxa" w:w="80"/>
            </w:tcMar>
          </w:tcPr>
          <w:p>
            <w:pPr>
              <w:jc w:val="left"/>
            </w:pPr>
            <w:r>
              <w:rPr>
                <w:rFonts w:ascii="Arial" w:cs="Arial" w:eastAsia="Arial" w:hAnsi="Arial"/>
                <w:b w:val="false"/>
                <w:bCs w:val="false"/>
                <w:sz w:val="18"/>
                <w:szCs w:val="18"/>
              </w:rPr>
              <w:t xml:space="preserve">Not yet disclosed</w:t>
            </w:r>
          </w:p>
        </w:tc>
      </w:tr>
      <w:tr>
        <w:tc>
          <w:tcPr>
            <w:tcW w:type="dxa" w:w="2520"/>
            <w:shd w:fill="F2F2F2" w:val="clear"/>
            <w:tcMar>
              <w:top w:type="dxa" w:w="60"/>
              <w:left w:type="dxa" w:w="80"/>
              <w:bottom w:type="dxa" w:w="60"/>
              <w:right w:type="dxa" w:w="80"/>
            </w:tcMar>
          </w:tcPr>
          <w:p>
            <w:pPr>
              <w:jc w:val="left"/>
            </w:pPr>
            <w:r>
              <w:rPr>
                <w:rFonts w:ascii="Arial" w:cs="Arial" w:eastAsia="Arial" w:hAnsi="Arial"/>
                <w:b/>
                <w:bCs/>
                <w:sz w:val="18"/>
                <w:szCs w:val="18"/>
              </w:rPr>
              <w:t xml:space="preserve">Insurance Members as % of Total Members</w:t>
            </w:r>
          </w:p>
        </w:tc>
        <w:tc>
          <w:tcPr>
            <w:tcW w:type="dxa" w:w="252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~7.7%</w:t>
            </w:r>
          </w:p>
        </w:tc>
        <w:tc>
          <w:tcPr>
            <w:tcW w:type="dxa" w:w="252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~7.7%</w:t>
            </w:r>
          </w:p>
        </w:tc>
        <w:tc>
          <w:tcPr>
            <w:tcW w:type="dxa" w:w="252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~7.7%</w:t>
            </w:r>
          </w:p>
        </w:tc>
      </w:tr>
    </w:tbl>
    <w:p>
      <w:pPr>
        <w:spacing w:after="200" w:before="160"/>
      </w:pPr>
      <w:r>
        <w:rPr>
          <w:b/>
          <w:bCs/>
          <w:i/>
          <w:iCs/>
          <w:sz w:val="18"/>
          <w:szCs w:val="18"/>
        </w:rPr>
        <w:t xml:space="preserve">Source: </w:t>
      </w:r>
      <w:r>
        <w:rPr>
          <w:i/>
          <w:iCs/>
          <w:color w:val="404040"/>
          <w:sz w:val="18"/>
          <w:szCs w:val="18"/>
        </w:rPr>
        <w:t xml:space="preserve">Office of Finance Second Quarter 2026 Combined Operating Highlights (July 30, 2026, Table I); First Quarter 2026 Combined Financial Report (April 30, 2026); 2025 Q4 Selected Financial Highlights. Insurance share from 2026 Q1 Combined Financial Report (Advances by Member Type) and Federal Reserve Z.1 data.</w:t>
      </w:r>
    </w:p>
    <w:p>
      <w:pPr>
        <w:spacing w:after="200"/>
      </w:pPr>
      <w:r>
        <w:rPr>
          <w:sz w:val="22"/>
          <w:szCs w:val="22"/>
        </w:rPr>
        <w:t xml:space="preserve">The sharp rise in advances from $676.7 billion at year-end 2025 to $810.7 billion by mid-2026 (+20%) was driven primarily by increased borrowings from large members, according to the Office of Finance. Insurance companies, while representing only ~7.7% of total FHLB member institutions, accounted for 27.0% of all outstanding advances as of Q1 2026.</w:t>
      </w:r>
    </w:p>
    <w:p>
      <w:pPr>
        <w:pStyle w:val="Heading2"/>
      </w:pPr>
      <w:r>
        <w:t xml:space="preserve">Key Concentration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shd w:fill="1F4E79"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2160"/>
            <w:shd w:fill="1F4E79" w:val="clear"/>
            <w:tcMar>
              <w:top w:type="dxa" w:w="60"/>
              <w:left w:type="dxa" w:w="80"/>
              <w:bottom w:type="dxa" w:w="60"/>
              <w:right w:type="dxa" w:w="80"/>
            </w:tcMar>
          </w:tcPr>
          <w:p>
            <w:r>
              <w:rPr>
                <w:rFonts w:ascii="Arial" w:cs="Arial" w:eastAsia="Arial" w:hAnsi="Arial"/>
                <w:b/>
                <w:bCs/>
                <w:color w:val="FFFFFF"/>
                <w:sz w:val="16"/>
                <w:szCs w:val="16"/>
              </w:rPr>
              <w:t xml:space="preserve">YE 2024 / Baseline</w:t>
            </w:r>
          </w:p>
        </w:tc>
        <w:tc>
          <w:tcPr>
            <w:tcW w:type="dxa" w:w="2160"/>
            <w:shd w:fill="1F4E79" w:val="clear"/>
            <w:tcMar>
              <w:top w:type="dxa" w:w="60"/>
              <w:left w:type="dxa" w:w="80"/>
              <w:bottom w:type="dxa" w:w="60"/>
              <w:right w:type="dxa" w:w="80"/>
            </w:tcMar>
          </w:tcPr>
          <w:p>
            <w:r>
              <w:rPr>
                <w:rFonts w:ascii="Arial" w:cs="Arial" w:eastAsia="Arial" w:hAnsi="Arial"/>
                <w:b/>
                <w:bCs/>
                <w:color w:val="FFFFFF"/>
                <w:sz w:val="16"/>
                <w:szCs w:val="16"/>
              </w:rPr>
              <w:t xml:space="preserve">YE 2025</w:t>
            </w:r>
          </w:p>
        </w:tc>
        <w:tc>
          <w:tcPr>
            <w:tcW w:type="dxa" w:w="2160"/>
            <w:shd w:fill="1F4E79" w:val="clear"/>
            <w:tcMar>
              <w:top w:type="dxa" w:w="60"/>
              <w:left w:type="dxa" w:w="80"/>
              <w:bottom w:type="dxa" w:w="60"/>
              <w:right w:type="dxa" w:w="80"/>
            </w:tcMar>
          </w:tcPr>
          <w:p>
            <w:r>
              <w:rPr>
                <w:rFonts w:ascii="Arial" w:cs="Arial" w:eastAsia="Arial" w:hAnsi="Arial"/>
                <w:b/>
                <w:bCs/>
                <w:color w:val="FFFFFF"/>
                <w:sz w:val="16"/>
                <w:szCs w:val="16"/>
              </w:rPr>
              <w:t xml:space="preserve">Recent (2026)</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Commercial Bank Share of Advances</w:t>
            </w:r>
          </w:p>
        </w:tc>
        <w:tc>
          <w:tcPr>
            <w:tcW w:type="dxa" w:w="2160"/>
            <w:tcMar>
              <w:top w:type="dxa" w:w="60"/>
              <w:left w:type="dxa" w:w="80"/>
              <w:bottom w:type="dxa" w:w="60"/>
              <w:right w:type="dxa" w:w="80"/>
            </w:tcMar>
          </w:tcPr>
          <w:p>
            <w:pPr>
              <w:jc w:val="left"/>
            </w:pPr>
            <w:r>
              <w:rPr>
                <w:rFonts w:ascii="Arial" w:cs="Arial" w:eastAsia="Arial" w:hAnsi="Arial"/>
                <w:b w:val="false"/>
                <w:bCs w:val="false"/>
                <w:sz w:val="18"/>
                <w:szCs w:val="18"/>
              </w:rPr>
              <w:t xml:space="preserve">~51%</w:t>
            </w:r>
          </w:p>
        </w:tc>
        <w:tc>
          <w:tcPr>
            <w:tcW w:type="dxa" w:w="2160"/>
            <w:tcMar>
              <w:top w:type="dxa" w:w="60"/>
              <w:left w:type="dxa" w:w="80"/>
              <w:bottom w:type="dxa" w:w="60"/>
              <w:right w:type="dxa" w:w="80"/>
            </w:tcMar>
          </w:tcPr>
          <w:p>
            <w:pPr>
              <w:jc w:val="left"/>
            </w:pPr>
            <w:r>
              <w:rPr>
                <w:rFonts w:ascii="Arial" w:cs="Arial" w:eastAsia="Arial" w:hAnsi="Arial"/>
                <w:b w:val="false"/>
                <w:bCs w:val="false"/>
                <w:sz w:val="18"/>
                <w:szCs w:val="18"/>
              </w:rPr>
              <w:t xml:space="preserve">~49–50%</w:t>
            </w:r>
          </w:p>
        </w:tc>
        <w:tc>
          <w:tcPr>
            <w:tcW w:type="dxa" w:w="2160"/>
            <w:tcMar>
              <w:top w:type="dxa" w:w="60"/>
              <w:left w:type="dxa" w:w="80"/>
              <w:bottom w:type="dxa" w:w="60"/>
              <w:right w:type="dxa" w:w="80"/>
            </w:tcMar>
          </w:tcPr>
          <w:p>
            <w:pPr>
              <w:jc w:val="left"/>
            </w:pPr>
            <w:r>
              <w:rPr>
                <w:rFonts w:ascii="Arial" w:cs="Arial" w:eastAsia="Arial" w:hAnsi="Arial"/>
                <w:b w:val="false"/>
                <w:bCs w:val="false"/>
                <w:sz w:val="18"/>
                <w:szCs w:val="18"/>
              </w:rPr>
              <w:t xml:space="preserve">~48%</w:t>
            </w:r>
          </w:p>
        </w:tc>
      </w:tr>
      <w:tr>
        <w:tc>
          <w:tcPr>
            <w:tcW w:type="dxa" w:w="3600"/>
            <w:shd w:fill="F2F2F2" w:val="clear"/>
            <w:tcMar>
              <w:top w:type="dxa" w:w="60"/>
              <w:left w:type="dxa" w:w="80"/>
              <w:bottom w:type="dxa" w:w="60"/>
              <w:right w:type="dxa" w:w="80"/>
            </w:tcMar>
          </w:tcPr>
          <w:p>
            <w:pPr>
              <w:jc w:val="left"/>
            </w:pPr>
            <w:r>
              <w:rPr>
                <w:rFonts w:ascii="Arial" w:cs="Arial" w:eastAsia="Arial" w:hAnsi="Arial"/>
                <w:b/>
                <w:bCs/>
                <w:sz w:val="18"/>
                <w:szCs w:val="18"/>
              </w:rPr>
              <w:t xml:space="preserve">Large Bank Concentration (&gt; $10B assets)</w:t>
            </w:r>
          </w:p>
        </w:tc>
        <w:tc>
          <w:tcPr>
            <w:tcW w:type="dxa" w:w="216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74% of bank borrowing</w:t>
            </w:r>
          </w:p>
        </w:tc>
        <w:tc>
          <w:tcPr>
            <w:tcW w:type="dxa" w:w="216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74% of bank borrowing</w:t>
            </w:r>
          </w:p>
        </w:tc>
        <w:tc>
          <w:tcPr>
            <w:tcW w:type="dxa" w:w="216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~74% (GAO)</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Top 10 Members (system-wide)</w:t>
            </w:r>
          </w:p>
        </w:tc>
        <w:tc>
          <w:tcPr>
            <w:tcW w:type="dxa" w:w="2160"/>
            <w:tcMar>
              <w:top w:type="dxa" w:w="60"/>
              <w:left w:type="dxa" w:w="80"/>
              <w:bottom w:type="dxa" w:w="60"/>
              <w:right w:type="dxa" w:w="80"/>
            </w:tcMar>
          </w:tcPr>
          <w:p>
            <w:pPr>
              <w:jc w:val="left"/>
            </w:pPr>
            <w:r>
              <w:rPr>
                <w:rFonts w:ascii="Arial" w:cs="Arial" w:eastAsia="Arial" w:hAnsi="Arial"/>
                <w:b w:val="false"/>
                <w:bCs w:val="false"/>
                <w:sz w:val="18"/>
                <w:szCs w:val="18"/>
              </w:rPr>
              <w:t xml:space="preserve">~25%</w:t>
            </w:r>
          </w:p>
        </w:tc>
        <w:tc>
          <w:tcPr>
            <w:tcW w:type="dxa" w:w="2160"/>
            <w:tcMar>
              <w:top w:type="dxa" w:w="60"/>
              <w:left w:type="dxa" w:w="80"/>
              <w:bottom w:type="dxa" w:w="60"/>
              <w:right w:type="dxa" w:w="80"/>
            </w:tcMar>
          </w:tcPr>
          <w:p>
            <w:pPr>
              <w:jc w:val="left"/>
            </w:pPr>
            <w:r>
              <w:rPr>
                <w:rFonts w:ascii="Arial" w:cs="Arial" w:eastAsia="Arial" w:hAnsi="Arial"/>
                <w:b w:val="false"/>
                <w:bCs w:val="false"/>
                <w:sz w:val="18"/>
                <w:szCs w:val="18"/>
              </w:rPr>
              <w:t xml:space="preserve">~25–26.5%</w:t>
            </w:r>
          </w:p>
        </w:tc>
        <w:tc>
          <w:tcPr>
            <w:tcW w:type="dxa" w:w="2160"/>
            <w:tcMar>
              <w:top w:type="dxa" w:w="60"/>
              <w:left w:type="dxa" w:w="80"/>
              <w:bottom w:type="dxa" w:w="60"/>
              <w:right w:type="dxa" w:w="80"/>
            </w:tcMar>
          </w:tcPr>
          <w:p>
            <w:pPr>
              <w:jc w:val="left"/>
            </w:pPr>
            <w:r>
              <w:rPr>
                <w:rFonts w:ascii="Arial" w:cs="Arial" w:eastAsia="Arial" w:hAnsi="Arial"/>
                <w:b w:val="false"/>
                <w:bCs w:val="false"/>
                <w:sz w:val="18"/>
                <w:szCs w:val="18"/>
              </w:rPr>
              <w:t xml:space="preserve">&gt;28% (est.)</w:t>
            </w:r>
          </w:p>
        </w:tc>
      </w:tr>
    </w:tbl>
    <w:p>
      <w:pPr>
        <w:spacing w:after="200" w:before="160"/>
      </w:pPr>
      <w:r>
        <w:rPr>
          <w:b/>
          <w:bCs/>
          <w:i/>
          <w:iCs/>
          <w:sz w:val="18"/>
          <w:szCs w:val="18"/>
        </w:rPr>
        <w:t xml:space="preserve">Source note: </w:t>
      </w:r>
      <w:r>
        <w:rPr>
          <w:i/>
          <w:iCs/>
          <w:color w:val="404040"/>
          <w:sz w:val="18"/>
          <w:szCs w:val="18"/>
        </w:rPr>
        <w:t xml:space="preserve">Large-bank concentration (74%) from GAO-26-107373 (December 2025). Top-10 estimates draw from Office of Finance Combined Financial Reports and secondary aggregation; precise 2026 system-wide top-10 table not yet published in full detail.</w:t>
      </w:r>
    </w:p>
    <w:p>
      <w:pPr>
        <w:pStyle w:val="Heading1"/>
      </w:pPr>
      <w:r>
        <w:t xml:space="preserve">2. District-Level Analysis and Borrower Concentration</w:t>
      </w:r>
    </w:p>
    <w:p>
      <w:pPr>
        <w:spacing w:after="200"/>
      </w:pPr>
      <w:r>
        <w:rPr>
          <w:sz w:val="22"/>
          <w:szCs w:val="22"/>
        </w:rPr>
        <w:t xml:space="preserve">Concentration risks vary significantly across the eleven individual FHLBanks, reflecting regional member profiles and tailored business strategies. District-level disclosures reveal that specific FHLBanks have become concentrated liquidity hubs for major depository institutions and private equity-owned insurance groups.</w:t>
      </w:r>
    </w:p>
    <w:p>
      <w:pPr>
        <w:pStyle w:val="Heading2"/>
      </w:pPr>
      <w:r>
        <w:t xml:space="preserve">FHLBank of Chicago</w:t>
      </w:r>
    </w:p>
    <w:p>
      <w:pPr>
        <w:spacing w:after="200"/>
      </w:pPr>
      <w:r>
        <w:rPr>
          <w:sz w:val="22"/>
          <w:szCs w:val="22"/>
        </w:rPr>
        <w:t xml:space="preserve">The FHLBank of Chicago experienced significant asset expansion in early 2026. Total assets reached $163.2 billion in Q2 2026 (up from $141.2 billion at year-end 2025) and advances rose to $71.1 billion. Secondary reporting indicates elevated concentration among the top five borrowers, with insurance entities among the largest. Strong earnings continue, but reliance on a narrow group of large borrowers creates potential income volatility if key members adjust funding mix.</w:t>
      </w:r>
    </w:p>
    <w:p>
      <w:pPr>
        <w:spacing w:after="200"/>
      </w:pPr>
      <w:r>
        <w:rPr>
          <w:b/>
          <w:bCs/>
          <w:i/>
          <w:iCs/>
          <w:sz w:val="18"/>
          <w:szCs w:val="18"/>
        </w:rPr>
        <w:t xml:space="preserve">Source: </w:t>
      </w:r>
      <w:r>
        <w:rPr>
          <w:i/>
          <w:iCs/>
          <w:color w:val="404040"/>
          <w:sz w:val="18"/>
          <w:szCs w:val="18"/>
        </w:rPr>
        <w:t xml:space="preserve">FHLBank Chicago Q2 2026 Financial Highlights (July 22, 2026) and Office of Finance Combined Operating Highlights Table I.</w:t>
      </w:r>
    </w:p>
    <w:p>
      <w:pPr>
        <w:pStyle w:val="Heading2"/>
      </w:pPr>
      <w:r>
        <w:t xml:space="preserve">FHLBank of San Francisco</w:t>
      </w:r>
    </w:p>
    <w:p>
      <w:pPr>
        <w:spacing w:after="160"/>
      </w:pPr>
      <w:r>
        <w:rPr>
          <w:sz w:val="22"/>
          <w:szCs w:val="22"/>
        </w:rPr>
        <w:t xml:space="preserve">Borrower concentration at FHLBank of San Francisco remains among the highest in the System, though precise 2025 figures are limited.</w:t>
      </w:r>
    </w:p>
    <w:p>
      <w:pPr>
        <w:pStyle w:val="ListParagraph"/>
        <w:numPr>
          <w:ilvl w:val="0"/>
          <w:numId w:val="2"/>
        </w:numPr>
      </w:pPr>
      <w:r>
        <w:rPr>
          <w:b/>
          <w:bCs/>
        </w:rPr>
        <w:t xml:space="preserve">Top-5 borrower percentage: </w:t>
      </w:r>
      <w:r>
        <w:t xml:space="preserve">Not disclosed in the 2025 Form 10-K. The Bank states it maintains “a high concentration of advances and capital with five institutions and their affiliates” but does not quantify the share.</w:t>
      </w:r>
    </w:p>
    <w:p>
      <w:pPr>
        <w:pStyle w:val="ListParagraph"/>
        <w:numPr>
          <w:ilvl w:val="0"/>
          <w:numId w:val="2"/>
        </w:numPr>
      </w:pPr>
      <w:r>
        <w:rPr>
          <w:b/>
          <w:bCs/>
        </w:rPr>
        <w:t xml:space="preserve">Top-10 borrower percentage: </w:t>
      </w:r>
      <w:r>
        <w:t xml:space="preserve">50.4% as of year-end 2024 (most recent publicly available precise figure). The 2025 Form 10-K does not publish an updated top-ten percentage.</w:t>
      </w:r>
    </w:p>
    <w:p>
      <w:pPr>
        <w:pStyle w:val="ListParagraph"/>
        <w:numPr>
          <w:ilvl w:val="0"/>
          <w:numId w:val="2"/>
        </w:numPr>
      </w:pPr>
      <w:r>
        <w:rPr>
          <w:b/>
          <w:bCs/>
        </w:rPr>
        <w:t xml:space="preserve">Single largest / &gt;10% exposure: </w:t>
      </w:r>
      <w:r>
        <w:t xml:space="preserve">JPMorgan Chase Bank, N.A. held advances and capital stock each exceeding 10% of the Bank’s respective totals. JPMorgan is not a member of the Bank and therefore cannot replace maturing advances.</w:t>
      </w:r>
    </w:p>
    <w:p>
      <w:pPr>
        <w:pStyle w:val="ListParagraph"/>
        <w:numPr>
          <w:ilvl w:val="0"/>
          <w:numId w:val="2"/>
        </w:numPr>
        <w:spacing w:after="160"/>
      </w:pPr>
      <w:r>
        <w:rPr>
          <w:b/>
          <w:bCs/>
        </w:rPr>
        <w:t xml:space="preserve">Portfolio composition (YE 2025): </w:t>
      </w:r>
      <w:r>
        <w:t xml:space="preserve">Weighted toward large commercial banks ($16.7 billion) and credit unions ($14.7 billion). No insurance-specific breakout is disclosed.</w:t>
      </w:r>
    </w:p>
    <w:p>
      <w:pPr>
        <w:spacing w:after="200"/>
      </w:pPr>
      <w:r>
        <w:rPr>
          <w:b/>
          <w:bCs/>
          <w:i/>
          <w:iCs/>
          <w:sz w:val="18"/>
          <w:szCs w:val="18"/>
        </w:rPr>
        <w:t xml:space="preserve">Source: </w:t>
      </w:r>
      <w:r>
        <w:rPr>
          <w:i/>
          <w:iCs/>
          <w:color w:val="404040"/>
          <w:sz w:val="18"/>
          <w:szCs w:val="18"/>
        </w:rPr>
        <w:t xml:space="preserve">FHLBank of San Francisco 2025 Form 10-K. Top-ten figure reflects YE 2024 disclosure only.</w:t>
      </w:r>
    </w:p>
    <w:p>
      <w:pPr>
        <w:pStyle w:val="Heading2"/>
      </w:pPr>
      <w:r>
        <w:t xml:space="preserve">FHLBank of Des Moines</w:t>
      </w:r>
    </w:p>
    <w:p>
      <w:pPr>
        <w:spacing w:after="200"/>
      </w:pPr>
      <w:r>
        <w:rPr>
          <w:sz w:val="22"/>
          <w:szCs w:val="22"/>
        </w:rPr>
        <w:t xml:space="preserve">The FHLBank of Des Moines functions as the primary borrowing hub for Apollo Global Management’s insurance footprint. Athene’s Iowa-domiciled subsidiary is the single largest borrower in the district, accounting for approximately 21% of total advances outstanding at year-end 2025 according to district disclosures. Athene held $23.3 billion in FHLB advances at YE 2025 and $28.2 billion system-wide by Q1 2026. This structural concentration makes Des Moines highly sensitive to developments in the life insurance and annuity sectors.</w:t>
      </w:r>
    </w:p>
    <w:p>
      <w:pPr>
        <w:spacing w:after="200"/>
      </w:pPr>
      <w:r>
        <w:rPr>
          <w:b/>
          <w:bCs/>
          <w:i/>
          <w:iCs/>
          <w:sz w:val="18"/>
          <w:szCs w:val="18"/>
        </w:rPr>
        <w:t xml:space="preserve">Source: </w:t>
      </w:r>
      <w:r>
        <w:rPr>
          <w:i/>
          <w:iCs/>
          <w:color w:val="404040"/>
          <w:sz w:val="18"/>
          <w:szCs w:val="18"/>
        </w:rPr>
        <w:t xml:space="preserve">Athene Holding 10-K FY 2025; FHLB Des Moines disclosures; Bloomberg citing Office of Finance data (Q1 2026).</w:t>
      </w:r>
    </w:p>
    <w:p>
      <w:pPr>
        <w:pStyle w:val="Heading2"/>
      </w:pPr>
      <w:r>
        <w:t xml:space="preserve">FHLBank of Indianapolis</w:t>
      </w:r>
    </w:p>
    <w:p>
      <w:pPr>
        <w:spacing w:after="200"/>
      </w:pPr>
      <w:r>
        <w:rPr>
          <w:sz w:val="22"/>
          <w:szCs w:val="22"/>
        </w:rPr>
        <w:t xml:space="preserve">The FHLBank of Indianapolis exhibits the highest structural exposure to insurance members in the System. It serves as the primary funding conduit for Mark Walter’s insurance network (Group 1001 / TWG Global), including Delaware Life Insurance Company and Clear Spring Life and Annuity Company. As of mid-2026, Group 1001’s two primary insurance units held in excess of $6 billion in outstanding advances from FHLBank Indianapolis — a 36% surge over six months and roughly double the level at the start of 2025. Delaware Life has operated near maximum capacity, with utilization reported at approximately 97% of allowable credit capacity at year-end 2025 (secondary reporting citing statutory filings).</w:t>
      </w:r>
    </w:p>
    <w:p>
      <w:pPr>
        <w:spacing w:after="200"/>
      </w:pPr>
      <w:r>
        <w:rPr>
          <w:b/>
          <w:bCs/>
          <w:i/>
          <w:iCs/>
          <w:sz w:val="18"/>
          <w:szCs w:val="18"/>
        </w:rPr>
        <w:t xml:space="preserve">Source: </w:t>
      </w:r>
      <w:r>
        <w:rPr>
          <w:i/>
          <w:iCs/>
          <w:color w:val="404040"/>
          <w:sz w:val="18"/>
          <w:szCs w:val="18"/>
        </w:rPr>
        <w:t xml:space="preserve">Bloomberg (September 2, 2026) citing statutory filings and district data; FHLBank Indianapolis Form 10-Qs (top-borrower tables).</w:t>
      </w:r>
    </w:p>
    <w:p>
      <w:pPr>
        <w:pStyle w:val="Heading1"/>
      </w:pPr>
      <w:r>
        <w:t xml:space="preserve">3. Large Insurance Borrowers and the Private Credit Nexus</w:t>
      </w:r>
    </w:p>
    <w:p>
      <w:pPr>
        <w:spacing w:after="200"/>
      </w:pPr>
      <w:r>
        <w:rPr>
          <w:sz w:val="22"/>
          <w:szCs w:val="22"/>
        </w:rPr>
        <w:t xml:space="preserve">The intersection of private equity ownership, life insurance consolidation, and FHLB advances has created an active funding model in which stable policyholder liabilities are combined with wholesale FHLB liquidity to support higher-yielding private credit allocations.</w:t>
      </w:r>
    </w:p>
    <w:p>
      <w:pPr>
        <w:pStyle w:val="Heading2"/>
      </w:pPr>
      <w:r>
        <w:t xml:space="preserve">Athene Annuity &amp; Life (Apollo Global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3240"/>
      </w:tblGrid>
      <w:tr>
        <w:tc>
          <w:tcPr>
            <w:tcW w:type="dxa" w:w="3600"/>
            <w:shd w:fill="1F4E79"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3240"/>
            <w:shd w:fill="1F4E79" w:val="clear"/>
            <w:tcMar>
              <w:top w:type="dxa" w:w="60"/>
              <w:left w:type="dxa" w:w="80"/>
              <w:bottom w:type="dxa" w:w="60"/>
              <w:right w:type="dxa" w:w="80"/>
            </w:tcMar>
          </w:tcPr>
          <w:p>
            <w:r>
              <w:rPr>
                <w:rFonts w:ascii="Arial" w:cs="Arial" w:eastAsia="Arial" w:hAnsi="Arial"/>
                <w:b/>
                <w:bCs/>
                <w:color w:val="FFFFFF"/>
                <w:sz w:val="16"/>
                <w:szCs w:val="16"/>
              </w:rPr>
              <w:t xml:space="preserve">Figure</w:t>
            </w:r>
          </w:p>
        </w:tc>
        <w:tc>
          <w:tcPr>
            <w:tcW w:type="dxa" w:w="3240"/>
            <w:shd w:fill="1F4E79" w:val="clear"/>
            <w:tcMar>
              <w:top w:type="dxa" w:w="60"/>
              <w:left w:type="dxa" w:w="80"/>
              <w:bottom w:type="dxa" w:w="60"/>
              <w:right w:type="dxa" w:w="80"/>
            </w:tcMar>
          </w:tcPr>
          <w:p>
            <w:r>
              <w:rPr>
                <w:rFonts w:ascii="Arial" w:cs="Arial" w:eastAsia="Arial" w:hAnsi="Arial"/>
                <w:b/>
                <w:bCs/>
                <w:color w:val="FFFFFF"/>
                <w:sz w:val="16"/>
                <w:szCs w:val="16"/>
              </w:rPr>
              <w:t xml:space="preserve">Source Status</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FHLB Advances (YE 2025)</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$23.3 billion</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Athene Holding 10-K (Primary)</w:t>
            </w:r>
          </w:p>
        </w:tc>
      </w:tr>
      <w:tr>
        <w:tc>
          <w:tcPr>
            <w:tcW w:type="dxa" w:w="3600"/>
            <w:shd w:fill="F2F2F2" w:val="clear"/>
            <w:tcMar>
              <w:top w:type="dxa" w:w="60"/>
              <w:left w:type="dxa" w:w="80"/>
              <w:bottom w:type="dxa" w:w="60"/>
              <w:right w:type="dxa" w:w="80"/>
            </w:tcMar>
          </w:tcPr>
          <w:p>
            <w:pPr>
              <w:jc w:val="left"/>
            </w:pPr>
            <w:r>
              <w:rPr>
                <w:rFonts w:ascii="Arial" w:cs="Arial" w:eastAsia="Arial" w:hAnsi="Arial"/>
                <w:b/>
                <w:bCs/>
                <w:sz w:val="18"/>
                <w:szCs w:val="18"/>
              </w:rPr>
              <w:t xml:space="preserve">FHLB Advances (Q1 2026)</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$28.2 billion system-wide</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Bloomberg citing OF; Athene 10-Q</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Primary District</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FHLBank of Des Moines (~21%)</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District disclosures (Primary)</w:t>
            </w:r>
          </w:p>
        </w:tc>
      </w:tr>
      <w:tr>
        <w:tc>
          <w:tcPr>
            <w:tcW w:type="dxa" w:w="3600"/>
            <w:shd w:fill="F2F2F2" w:val="clear"/>
            <w:tcMar>
              <w:top w:type="dxa" w:w="60"/>
              <w:left w:type="dxa" w:w="80"/>
              <w:bottom w:type="dxa" w:w="60"/>
              <w:right w:type="dxa" w:w="80"/>
            </w:tcMar>
          </w:tcPr>
          <w:p>
            <w:pPr>
              <w:jc w:val="left"/>
            </w:pPr>
            <w:r>
              <w:rPr>
                <w:rFonts w:ascii="Arial" w:cs="Arial" w:eastAsia="Arial" w:hAnsi="Arial"/>
                <w:b/>
                <w:bCs/>
                <w:sz w:val="18"/>
                <w:szCs w:val="18"/>
              </w:rPr>
              <w:t xml:space="preserve">Maximum Borrowing Capacity (YE 2025)</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$66.4 billion total; $30.7B available</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Athene Holding 10-K (Primary)</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Implied Utilization (YE 2025)</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~76% of available capacity</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Derived from 10-K figures</w:t>
            </w:r>
          </w:p>
        </w:tc>
      </w:tr>
      <w:tr>
        <w:tc>
          <w:tcPr>
            <w:tcW w:type="dxa" w:w="3600"/>
            <w:shd w:fill="F2F2F2" w:val="clear"/>
            <w:tcMar>
              <w:top w:type="dxa" w:w="60"/>
              <w:left w:type="dxa" w:w="80"/>
              <w:bottom w:type="dxa" w:w="60"/>
              <w:right w:type="dxa" w:w="80"/>
            </w:tcMar>
          </w:tcPr>
          <w:p>
            <w:pPr>
              <w:jc w:val="left"/>
            </w:pPr>
            <w:r>
              <w:rPr>
                <w:rFonts w:ascii="Arial" w:cs="Arial" w:eastAsia="Arial" w:hAnsi="Arial"/>
                <w:b/>
                <w:bCs/>
                <w:sz w:val="18"/>
                <w:szCs w:val="18"/>
              </w:rPr>
              <w:t xml:space="preserve">Collateral Pledged</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~$39 billion (vs. ~$24B advances)</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American Banker, May 2026 (Secondary)</w:t>
            </w:r>
          </w:p>
        </w:tc>
      </w:tr>
    </w:tbl>
    <w:p>
      <w:pPr>
        <w:spacing w:after="200" w:before="160"/>
      </w:pPr>
      <w:r>
        <w:rPr>
          <w:b/>
          <w:bCs/>
          <w:i/>
          <w:iCs/>
          <w:sz w:val="18"/>
          <w:szCs w:val="18"/>
        </w:rPr>
        <w:t xml:space="preserve">Note: </w:t>
      </w:r>
      <w:r>
        <w:rPr>
          <w:i/>
          <w:iCs/>
          <w:color w:val="404040"/>
          <w:sz w:val="18"/>
          <w:szCs w:val="18"/>
        </w:rPr>
        <w:t xml:space="preserve">Collateral figures vary by measurement date and definition. Athene’s own filings emphasize over-collateralization; the precise market-value ratio is not a standardized public disclosure.</w:t>
      </w:r>
    </w:p>
    <w:p>
      <w:pPr>
        <w:pStyle w:val="Heading2"/>
      </w:pPr>
      <w:r>
        <w:t xml:space="preserve">Group 1001 / Delaware Life &amp; Clear Spring (Mark Walter / TWG Global)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3240"/>
      </w:tblGrid>
      <w:tr>
        <w:tc>
          <w:tcPr>
            <w:tcW w:type="dxa" w:w="3600"/>
            <w:shd w:fill="1F4E79"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3240"/>
            <w:shd w:fill="1F4E79" w:val="clear"/>
            <w:tcMar>
              <w:top w:type="dxa" w:w="60"/>
              <w:left w:type="dxa" w:w="80"/>
              <w:bottom w:type="dxa" w:w="60"/>
              <w:right w:type="dxa" w:w="80"/>
            </w:tcMar>
          </w:tcPr>
          <w:p>
            <w:r>
              <w:rPr>
                <w:rFonts w:ascii="Arial" w:cs="Arial" w:eastAsia="Arial" w:hAnsi="Arial"/>
                <w:b/>
                <w:bCs/>
                <w:color w:val="FFFFFF"/>
                <w:sz w:val="16"/>
                <w:szCs w:val="16"/>
              </w:rPr>
              <w:t xml:space="preserve">Figure</w:t>
            </w:r>
          </w:p>
        </w:tc>
        <w:tc>
          <w:tcPr>
            <w:tcW w:type="dxa" w:w="3240"/>
            <w:shd w:fill="1F4E79" w:val="clear"/>
            <w:tcMar>
              <w:top w:type="dxa" w:w="60"/>
              <w:left w:type="dxa" w:w="80"/>
              <w:bottom w:type="dxa" w:w="60"/>
              <w:right w:type="dxa" w:w="80"/>
            </w:tcMar>
          </w:tcPr>
          <w:p>
            <w:r>
              <w:rPr>
                <w:rFonts w:ascii="Arial" w:cs="Arial" w:eastAsia="Arial" w:hAnsi="Arial"/>
                <w:b/>
                <w:bCs/>
                <w:color w:val="FFFFFF"/>
                <w:sz w:val="16"/>
                <w:szCs w:val="16"/>
              </w:rPr>
              <w:t xml:space="preserve">Source Status</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Combined FHLB Advances (June 2026)</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&gt;$6.0 billion (Indianapolis)</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Bloomberg, Sept. 2, 2026 (Secondary)</w:t>
            </w:r>
          </w:p>
        </w:tc>
      </w:tr>
      <w:tr>
        <w:tc>
          <w:tcPr>
            <w:tcW w:type="dxa" w:w="3600"/>
            <w:shd w:fill="F2F2F2" w:val="clear"/>
            <w:tcMar>
              <w:top w:type="dxa" w:w="60"/>
              <w:left w:type="dxa" w:w="80"/>
              <w:bottom w:type="dxa" w:w="60"/>
              <w:right w:type="dxa" w:w="80"/>
            </w:tcMar>
          </w:tcPr>
          <w:p>
            <w:pPr>
              <w:jc w:val="left"/>
            </w:pPr>
            <w:r>
              <w:rPr>
                <w:rFonts w:ascii="Arial" w:cs="Arial" w:eastAsia="Arial" w:hAnsi="Arial"/>
                <w:b/>
                <w:bCs/>
                <w:sz w:val="18"/>
                <w:szCs w:val="18"/>
              </w:rPr>
              <w:t xml:space="preserve">Growth Rate</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+36% over six months; ~2× start-of-2025</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Bloomberg (Secondary)</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Delaware Life Advances (mid-2026)</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~$4.5–5.0 billion</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Secondary / district 10-Q top-borrower data</w:t>
            </w:r>
          </w:p>
        </w:tc>
      </w:tr>
      <w:tr>
        <w:tc>
          <w:tcPr>
            <w:tcW w:type="dxa" w:w="3600"/>
            <w:shd w:fill="F2F2F2" w:val="clear"/>
            <w:tcMar>
              <w:top w:type="dxa" w:w="60"/>
              <w:left w:type="dxa" w:w="80"/>
              <w:bottom w:type="dxa" w:w="60"/>
              <w:right w:type="dxa" w:w="80"/>
            </w:tcMar>
          </w:tcPr>
          <w:p>
            <w:pPr>
              <w:jc w:val="left"/>
            </w:pPr>
            <w:r>
              <w:rPr>
                <w:rFonts w:ascii="Arial" w:cs="Arial" w:eastAsia="Arial" w:hAnsi="Arial"/>
                <w:b/>
                <w:bCs/>
                <w:sz w:val="18"/>
                <w:szCs w:val="18"/>
              </w:rPr>
              <w:t xml:space="preserve">Delaware Life Utilization (YE 2025)</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~97% of allowable credit capacity</w:t>
            </w:r>
          </w:p>
        </w:tc>
        <w:tc>
          <w:tcPr>
            <w:tcW w:type="dxa" w:w="3240"/>
            <w:shd w:fill="F2F2F2" w:val="clear"/>
            <w:tcMar>
              <w:top w:type="dxa" w:w="60"/>
              <w:left w:type="dxa" w:w="80"/>
              <w:bottom w:type="dxa" w:w="60"/>
              <w:right w:type="dxa" w:w="80"/>
            </w:tcMar>
          </w:tcPr>
          <w:p>
            <w:pPr>
              <w:jc w:val="left"/>
            </w:pPr>
            <w:r>
              <w:rPr>
                <w:rFonts w:ascii="Arial" w:cs="Arial" w:eastAsia="Arial" w:hAnsi="Arial"/>
                <w:b w:val="false"/>
                <w:bCs w:val="false"/>
                <w:sz w:val="18"/>
                <w:szCs w:val="18"/>
              </w:rPr>
              <w:t xml:space="preserve">Bloomberg citing statutory filings (Secondary)</w:t>
            </w:r>
          </w:p>
        </w:tc>
      </w:tr>
      <w:tr>
        <w:tc>
          <w:tcPr>
            <w:tcW w:type="dxa" w:w="3600"/>
            <w:tcMar>
              <w:top w:type="dxa" w:w="60"/>
              <w:left w:type="dxa" w:w="80"/>
              <w:bottom w:type="dxa" w:w="60"/>
              <w:right w:type="dxa" w:w="80"/>
            </w:tcMar>
          </w:tcPr>
          <w:p>
            <w:pPr>
              <w:jc w:val="left"/>
            </w:pPr>
            <w:r>
              <w:rPr>
                <w:rFonts w:ascii="Arial" w:cs="Arial" w:eastAsia="Arial" w:hAnsi="Arial"/>
                <w:b/>
                <w:bCs/>
                <w:sz w:val="18"/>
                <w:szCs w:val="18"/>
              </w:rPr>
              <w:t xml:space="preserve">Clear Spring (implied)</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~$1.0–1.5 billion</w:t>
            </w:r>
          </w:p>
        </w:tc>
        <w:tc>
          <w:tcPr>
            <w:tcW w:type="dxa" w:w="3240"/>
            <w:tcMar>
              <w:top w:type="dxa" w:w="60"/>
              <w:left w:type="dxa" w:w="80"/>
              <w:bottom w:type="dxa" w:w="60"/>
              <w:right w:type="dxa" w:w="80"/>
            </w:tcMar>
          </w:tcPr>
          <w:p>
            <w:pPr>
              <w:jc w:val="left"/>
            </w:pPr>
            <w:r>
              <w:rPr>
                <w:rFonts w:ascii="Arial" w:cs="Arial" w:eastAsia="Arial" w:hAnsi="Arial"/>
                <w:b w:val="false"/>
                <w:bCs w:val="false"/>
                <w:sz w:val="18"/>
                <w:szCs w:val="18"/>
              </w:rPr>
              <w:t xml:space="preserve">Derived from combined total (Secondary)</w:t>
            </w:r>
          </w:p>
        </w:tc>
      </w:tr>
    </w:tbl>
    <w:p>
      <w:pPr>
        <w:spacing w:after="160" w:before="200"/>
      </w:pPr>
      <w:r>
        <w:rPr>
          <w:b/>
          <w:bCs/>
          <w:sz w:val="22"/>
          <w:szCs w:val="22"/>
        </w:rPr>
        <w:t xml:space="preserve">Affiliate Reclassification and Related Scrutiny</w:t>
      </w:r>
    </w:p>
    <w:p>
      <w:pPr>
        <w:spacing w:after="160"/>
      </w:pPr>
      <w:r>
        <w:rPr>
          <w:sz w:val="22"/>
          <w:szCs w:val="22"/>
        </w:rPr>
        <w:t xml:space="preserve">In mid-2026, Delaware Life Insurance Company restated its statutory financial statements, reclassifying approximately $17 billion to $20 billion of private credit investments from “unaffiliated” to “affiliated” status. Reported affiliated investments jumped from 3% to 42% of total invested assets at year-end 2025.</w:t>
      </w:r>
    </w:p>
    <w:p>
      <w:pPr>
        <w:spacing w:after="200"/>
      </w:pPr>
      <w:r>
        <w:rPr>
          <w:b/>
          <w:bCs/>
          <w:i/>
          <w:iCs/>
          <w:sz w:val="18"/>
          <w:szCs w:val="18"/>
        </w:rPr>
        <w:t xml:space="preserve">Footnote: </w:t>
      </w:r>
      <w:r>
        <w:rPr>
          <w:i/>
          <w:iCs/>
          <w:color w:val="404040"/>
          <w:sz w:val="18"/>
          <w:szCs w:val="18"/>
        </w:rPr>
        <w:t xml:space="preserve">Based on Bloomberg / FA-Mag reporting (September 2026), citing Delaware Life statutory filings. The precise NAIC Schedule D reference is not publicly available without an NAIC subscription; these figures should be treated as secondary-source pending direct confirmation. Following these disclosures, federal authorities (including DOJ and SEC) initiated inquiries; policyholders filed a class-action lawsuit; AM Best revised outlooks for Group 1001 subsidiaries to Negative; S&amp;P Global placed Delaware Life on Negative outlook.</w:t>
      </w:r>
    </w:p>
    <w:p>
      <w:pPr>
        <w:pStyle w:val="Heading2"/>
      </w:pPr>
      <w:r>
        <w:t xml:space="preserve">Asset Encumbrance and Policyholder Subordination</w:t>
      </w:r>
    </w:p>
    <w:p>
      <w:pPr>
        <w:spacing w:after="200"/>
      </w:pPr>
      <w:r>
        <w:rPr>
          <w:sz w:val="22"/>
          <w:szCs w:val="22"/>
        </w:rPr>
        <w:t xml:space="preserve">In the event of an insurer insolvency, the statutory super-senior lien of the lending FHLBank (12 U.S.C. § 1430(e)) gives it priority claim on the pledged high-grade collateral. The remaining estate available to policyholders, annuity holders, and state guaranty funds would consist primarily of any unencumbered (and potentially less liquid) assets, including private credit exposures. This structural priority is a documented feature of the FHLB advance framework and is relevant to assessing residual risk to policyholders.</w:t>
      </w:r>
    </w:p>
    <w:p>
      <w:pPr>
        <w:pStyle w:val="Heading1"/>
      </w:pPr>
      <w:r>
        <w:t xml:space="preserve">4. Regulatory and Supervisory Status</w:t>
      </w:r>
    </w:p>
    <w:p>
      <w:pPr>
        <w:pStyle w:val="Heading2"/>
      </w:pPr>
      <w:r>
        <w:t xml:space="preserve">Implementation of Advisory Bulletin AB 2024-03</w:t>
      </w:r>
    </w:p>
    <w:p>
      <w:pPr>
        <w:spacing w:after="160"/>
      </w:pPr>
      <w:r>
        <w:rPr>
          <w:sz w:val="22"/>
          <w:szCs w:val="22"/>
        </w:rPr>
        <w:t xml:space="preserve">The supervisory reform framework established by FHFA Advisory Bulletin AB 2024-03 remains in transition. </w:t>
      </w:r>
      <w:r>
        <w:rPr>
          <w:b/>
          <w:bCs/>
          <w:sz w:val="22"/>
          <w:szCs w:val="22"/>
        </w:rPr>
        <w:t xml:space="preserve">Implementation status and examination outcomes are not publicly disclosed</w:t>
      </w:r>
      <w:r>
        <w:rPr>
          <w:sz w:val="22"/>
          <w:szCs w:val="22"/>
        </w:rPr>
        <w:t xml:space="preserve">; FHFA does not publish individual FHLBank exam ratings or horizontal review results.</w:t>
      </w:r>
    </w:p>
    <w:p>
      <w:pPr>
        <w:spacing w:after="160"/>
      </w:pPr>
      <w:r>
        <w:rPr>
          <w:sz w:val="22"/>
          <w:szCs w:val="22"/>
        </w:rPr>
        <w:t xml:space="preserve">What is publicly documented is the System’s resistance to the directive: in an April 2026 position letter, the Council of Federal Home Loan Banks argued that AB 2024-03 “introduces operational ambiguity, restricts through-the-cycle liquidity, and risks forcing struggling institutions onto Federal Reserve emergency discount facilities during broader financial stress.”</w:t>
      </w:r>
    </w:p>
    <w:p>
      <w:pPr>
        <w:spacing w:after="200"/>
      </w:pPr>
      <w:r>
        <w:rPr>
          <w:sz w:val="22"/>
          <w:szCs w:val="22"/>
        </w:rPr>
        <w:t xml:space="preserve">The FHFA Office of Inspector General’s FY2025 and FY2026 Annual Plans identify FHLBank member credit risk management and third-party exposure as oversight priorities. However, no public evidence currently confirms actual changes in lending behavior toward watch-list or lower-rated members. Any assertion of reform impact should be framed as pending rather than demonstrated.</w:t>
      </w:r>
    </w:p>
    <w:p>
      <w:pPr>
        <w:spacing w:after="200"/>
      </w:pPr>
      <w:r>
        <w:rPr>
          <w:b/>
          <w:bCs/>
          <w:i/>
          <w:iCs/>
          <w:sz w:val="18"/>
          <w:szCs w:val="18"/>
        </w:rPr>
        <w:t xml:space="preserve">Footnote: </w:t>
      </w:r>
      <w:r>
        <w:rPr>
          <w:i/>
          <w:iCs/>
          <w:color w:val="404040"/>
          <w:sz w:val="18"/>
          <w:szCs w:val="18"/>
        </w:rPr>
        <w:t xml:space="preserve">Exam ratings and horizontal review findings are non-public. Statements regarding AB 2024-03 implementation should be limited to documented System commentary and OIG priority-setting, not inferred supervisory outcomes.</w:t>
      </w:r>
    </w:p>
    <w:p>
      <w:pPr>
        <w:pStyle w:val="Heading2"/>
      </w:pPr>
      <w:r>
        <w:t xml:space="preserve">GAO Findings (GAO-26-107373)</w:t>
      </w:r>
    </w:p>
    <w:p>
      <w:pPr>
        <w:spacing w:after="200"/>
      </w:pPr>
      <w:r>
        <w:rPr>
          <w:sz w:val="22"/>
          <w:szCs w:val="22"/>
        </w:rPr>
        <w:t xml:space="preserve">The December 2025 GAO study documented a dual dynamic: for small banks (under $10 billion, ~97% of active bank members), higher FHLB borrowing was associated with positive outcomes (more real-estate lending, lower failure risk). Large banks (~3% of members) accounted for approximately 74% of bank advance volume. GAO also reiterated the long-standing concern that rapid spikes in advances by distressed large institutions can temporarily mask underlying problems and shift resolution costs.</w:t>
      </w:r>
    </w:p>
    <w:p>
      <w:pPr>
        <w:pStyle w:val="Heading1"/>
      </w:pPr>
      <w:r>
        <w:t xml:space="preserve">5. Collateral, SBLOCs, and Off-Balance-Sheet Exposure</w:t>
      </w:r>
    </w:p>
    <w:p>
      <w:pPr>
        <w:spacing w:after="160"/>
      </w:pPr>
      <w:r>
        <w:rPr>
          <w:b/>
          <w:bCs/>
        </w:rPr>
        <w:t xml:space="preserve">Standby Letters of Credit (SBLOCs): </w:t>
      </w:r>
      <w:r>
        <w:t xml:space="preserve">A system-wide aggregate SBLOC figure is not published as a single clean primary table by the Office of Finance with consistent definitions. Individual FHLBank 10-Qs disclose outstanding SBLOCs under commitments and contingencies. District-level examples (e.g., FHLBank Indianapolis) show outstanding SBLOC balances in the $1.2–1.3 billion range in recent periods; broader “commitment” line items can be substantially larger because they incorporate facility headroom. Insurance-linked SBLOC sub-totals are generally not broken out.</w:t>
      </w:r>
    </w:p>
    <w:p>
      <w:pPr>
        <w:spacing w:after="160"/>
      </w:pPr>
      <w:r>
        <w:rPr>
          <w:b/>
          <w:bCs/>
        </w:rPr>
        <w:t xml:space="preserve">Collateral haircut schedules: </w:t>
      </w:r>
      <w:r>
        <w:t xml:space="preserve">Not publicly disclosed. Haircuts are proprietary and member-specific. Qualitative descriptions confirm that advances are over-collateralized by eligible mission-related assets (real estate-related loans and securities, agency and U.S. Treasury securities).</w:t>
      </w:r>
    </w:p>
    <w:p>
      <w:pPr>
        <w:spacing w:after="200"/>
      </w:pPr>
      <w:r>
        <w:rPr>
          <w:b/>
          <w:bCs/>
          <w:i/>
          <w:iCs/>
          <w:sz w:val="18"/>
          <w:szCs w:val="18"/>
        </w:rPr>
        <w:t xml:space="preserve">Recommendation: </w:t>
      </w:r>
      <w:r>
        <w:rPr>
          <w:i/>
          <w:iCs/>
          <w:color w:val="404040"/>
          <w:sz w:val="18"/>
          <w:szCs w:val="18"/>
        </w:rPr>
        <w:t xml:space="preserve">Mark haircut schedules as “not publicly disclosed.” Use district-level 10-Q figures for SBLOCs only where specifically extracted, and avoid presenting any round system-wide SBLOC total as a primary consolidated figure without heavy caveats.</w:t>
      </w:r>
    </w:p>
    <w:p>
      <w:pPr>
        <w:pStyle w:val="Heading1"/>
      </w:pPr>
      <w:r>
        <w:t xml:space="preserve">6. Synthesis and Remaining Data Gaps</w:t>
      </w:r>
    </w:p>
    <w:p>
      <w:pPr>
        <w:spacing w:after="160"/>
      </w:pPr>
      <w:r>
        <w:rPr>
          <w:sz w:val="22"/>
          <w:szCs w:val="22"/>
        </w:rPr>
        <w:t xml:space="preserve">Concentration and insurer risks have increased. Insurance entities accounted for 27% of system advances as of Q1 2026 ($198.4 billion of $734.3 billion), led by Athene ($28.2 billion system-wide by Q1 2026) and Group 1001 entities (&gt;$6 billion at Indianapolis by mid-2026). Advances themselves rose sharply from $676.7 billion at YE 2025 to $810.7 billion by mid-2026 (+20%), driven primarily by large members.</w:t>
      </w:r>
    </w:p>
    <w:p>
      <w:pPr>
        <w:spacing w:after="160"/>
      </w:pPr>
      <w:r>
        <w:rPr>
          <w:sz w:val="22"/>
          <w:szCs w:val="22"/>
        </w:rPr>
        <w:t xml:space="preserve">Evidence that advances can mask stress remains strongest for the 2023 bank failures and is plausible (though less directly proven) in the insurance context, where low-cost FHLB funding has coincided with large private-credit and related-party exposures that later required restatement and attracted regulatory scrutiny.</w:t>
      </w:r>
    </w:p>
    <w:p>
      <w:pPr>
        <w:spacing w:after="120" w:before="120"/>
      </w:pPr>
      <w:r>
        <w:rPr>
          <w:b/>
          <w:bCs/>
          <w:sz w:val="22"/>
          <w:szCs w:val="22"/>
        </w:rPr>
        <w:t xml:space="preserve">Key remaining gaps:</w:t>
      </w:r>
    </w:p>
    <w:p>
      <w:pPr>
        <w:pStyle w:val="ListParagraph"/>
        <w:numPr>
          <w:ilvl w:val="0"/>
          <w:numId w:val="3"/>
        </w:numPr>
      </w:pPr>
      <w:r>
        <w:t xml:space="preserve">Precise 2025 top-borrower percentages at several districts remain undisclosed in public 10-Ks.</w:t>
      </w:r>
    </w:p>
    <w:p>
      <w:pPr>
        <w:pStyle w:val="ListParagraph"/>
        <w:numPr>
          <w:ilvl w:val="0"/>
          <w:numId w:val="3"/>
        </w:numPr>
      </w:pPr>
      <w:r>
        <w:t xml:space="preserve">NAIC statutory filings for private insurers (including Schedule D affiliated vs. unaffiliated designations) are not publicly accessible without subscription.</w:t>
      </w:r>
    </w:p>
    <w:p>
      <w:pPr>
        <w:pStyle w:val="ListParagraph"/>
        <w:numPr>
          <w:ilvl w:val="0"/>
          <w:numId w:val="3"/>
        </w:numPr>
      </w:pPr>
      <w:r>
        <w:t xml:space="preserve">AB 2024-03 examination outcomes are non-public.</w:t>
      </w:r>
    </w:p>
    <w:p>
      <w:pPr>
        <w:pStyle w:val="ListParagraph"/>
        <w:numPr>
          <w:ilvl w:val="0"/>
          <w:numId w:val="3"/>
        </w:numPr>
        <w:spacing w:after="200"/>
      </w:pPr>
      <w:r>
        <w:t xml:space="preserve">System-wide SBLOC and haircut detail is limited and definitionally inconsistent across districts.</w:t>
      </w:r>
    </w:p>
    <w:p>
      <w:pPr>
        <w:spacing w:after="200"/>
      </w:pPr>
      <w:r>
        <w:rPr>
          <w:b/>
          <w:bCs/>
        </w:rPr>
        <w:t xml:space="preserve">Primary sources prioritized throughout: </w:t>
      </w:r>
      <w:r>
        <w:t xml:space="preserve">Office of Finance Combined Operating Highlights and Financial Reports, individual FHLBank and Athene SEC filings, GAO-26-107373, and FHFA/OIG public documents. Secondary sources (Bloomberg, American Banker, AM Best, S&amp;P Global, FA-Mag) are used only where primary data are unavailable and are explicitly labeled.</w:t>
      </w:r>
    </w:p>
    <w:p>
      <w:pPr>
        <w:pStyle w:val="Heading1"/>
      </w:pPr>
      <w:r>
        <w:t xml:space="preserve">Primary Source Bibliography</w:t>
      </w:r>
    </w:p>
    <w:p>
      <w:pPr>
        <w:pStyle w:val="ListParagraph"/>
        <w:numPr>
          <w:ilvl w:val="0"/>
          <w:numId w:val="3"/>
        </w:numPr>
      </w:pPr>
      <w:r>
        <w:t xml:space="preserve">Office of Finance, Second Quarter 2026 Combined Operating Highlights (July 30, 2026).</w:t>
      </w:r>
    </w:p>
    <w:p>
      <w:pPr>
        <w:pStyle w:val="ListParagraph"/>
        <w:numPr>
          <w:ilvl w:val="0"/>
          <w:numId w:val="3"/>
        </w:numPr>
      </w:pPr>
      <w:r>
        <w:t xml:space="preserve">Office of Finance, First Quarter 2026 Combined Financial Report (April/May 2026).</w:t>
      </w:r>
    </w:p>
    <w:p>
      <w:pPr>
        <w:pStyle w:val="ListParagraph"/>
        <w:numPr>
          <w:ilvl w:val="0"/>
          <w:numId w:val="3"/>
        </w:numPr>
      </w:pPr>
      <w:r>
        <w:t xml:space="preserve">Office of Finance, 2025 Q4 Selected Financial Highlights / Combined data.</w:t>
      </w:r>
    </w:p>
    <w:p>
      <w:pPr>
        <w:pStyle w:val="ListParagraph"/>
        <w:numPr>
          <w:ilvl w:val="0"/>
          <w:numId w:val="3"/>
        </w:numPr>
      </w:pPr>
      <w:r>
        <w:t xml:space="preserve">Athene Holding Ltd. Form 10-K for the year ended December 31, 2025 and subsequent 10-Qs.</w:t>
      </w:r>
    </w:p>
    <w:p>
      <w:pPr>
        <w:pStyle w:val="ListParagraph"/>
        <w:numPr>
          <w:ilvl w:val="0"/>
          <w:numId w:val="3"/>
        </w:numPr>
      </w:pPr>
      <w:r>
        <w:t xml:space="preserve">Individual FHLBank Form 10-K and 10-Q filings (Chicago, Des Moines, Indianapolis, San Francisco, others) via SEC EDGAR.</w:t>
      </w:r>
    </w:p>
    <w:p>
      <w:pPr>
        <w:pStyle w:val="ListParagraph"/>
        <w:numPr>
          <w:ilvl w:val="0"/>
          <w:numId w:val="3"/>
        </w:numPr>
      </w:pPr>
      <w:r>
        <w:t xml:space="preserve">GAO-26-107373, Federal Home Loan Banks: Role During Financial Stress and Members’ Borrowing Trends and Outcomes (December 2025).</w:t>
      </w:r>
    </w:p>
    <w:p>
      <w:pPr>
        <w:pStyle w:val="ListParagraph"/>
        <w:numPr>
          <w:ilvl w:val="0"/>
          <w:numId w:val="3"/>
        </w:numPr>
      </w:pPr>
      <w:r>
        <w:t xml:space="preserve">FHFA Office of Inspector General FY2025 and FY2026 Annual Plans.</w:t>
      </w:r>
    </w:p>
    <w:p>
      <w:pPr>
        <w:pStyle w:val="ListParagraph"/>
        <w:numPr>
          <w:ilvl w:val="0"/>
          <w:numId w:val="3"/>
        </w:numPr>
      </w:pPr>
      <w:r>
        <w:t xml:space="preserve">Federal Reserve Z.1 Financial Accounts (Insurance Companies; FHLB Advances series).</w:t>
      </w:r>
    </w:p>
    <w:p>
      <w:pPr>
        <w:pStyle w:val="ListParagraph"/>
        <w:numPr>
          <w:ilvl w:val="0"/>
          <w:numId w:val="3"/>
        </w:numPr>
        <w:spacing w:after="200"/>
      </w:pPr>
      <w:r>
        <w:t xml:space="preserve">Secondary (explicitly labeled where used): Bloomberg, American Banker, S&amp;P Global Market Intelligence, AM Best Special Reports, FA-Mag / Retirement Income Journal.</w:t>
      </w:r>
    </w:p>
    <w:p>
      <w:pPr>
        <w:spacing w:before="300"/>
        <w:jc w:val="center"/>
      </w:pPr>
      <w:r>
        <w:rPr>
          <w:i/>
          <w:iCs/>
          <w:color w:val="666666"/>
          <w:sz w:val="18"/>
          <w:szCs w:val="18"/>
        </w:rPr>
        <w:t xml:space="preserve">— End of Reconciled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Research Document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pPr>
    <w:r>
      <w:rPr>
        <w:rFonts w:ascii="Arial" w:cs="Arial" w:eastAsia="Arial" w:hAnsi="Arial"/>
        <w:i/>
        <w:iCs/>
        <w:color w:val="666666"/>
        <w:sz w:val="16"/>
        <w:szCs w:val="16"/>
      </w:rPr>
      <w:t xml:space="preserve">FHLB Risk Research Report — Reconciled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F4E79"/>
      <w:sz w:val="28"/>
      <w:szCs w:val="28"/>
    </w:rPr>
  </w:style>
  <w:style w:type="paragraph" w:styleId="Heading2">
    <w:name w:val="Heading 2"/>
    <w:basedOn w:val="Normal"/>
    <w:next w:val="Normal"/>
    <w:pPr>
      <w:spacing w:after="160" w:before="280"/>
      <w:outlineLvl w:val="1"/>
    </w:pPr>
    <w:rPr>
      <w:rFonts w:ascii="Arial" w:cs="Arial" w:eastAsia="Arial" w:hAnsi="Arial"/>
      <w:b/>
      <w:bCs/>
      <w:color w:val="2E75B6"/>
      <w:sz w:val="24"/>
      <w:szCs w:val="24"/>
    </w:rPr>
  </w:style>
  <w:style w:type="paragraph" w:styleId="Heading3">
    <w:name w:val="Heading 3"/>
    <w:basedOn w:val="Normal"/>
    <w:next w:val="Normal"/>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2026-10-10T23:41:12.618Z</dcterms:created>
  <dcterms:modified xsi:type="dcterms:W3CDTF">2026-10-10T23:41:12.618Z</dcterms:modified>
</cp:coreProperties>
</file>

<file path=docProps/custom.xml><?xml version="1.0" encoding="utf-8"?>
<Properties xmlns="http://schemas.openxmlformats.org/officeDocument/2006/custom-properties" xmlns:vt="http://schemas.openxmlformats.org/officeDocument/2006/docPropsVTypes"/>
</file>