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Analytical Report on Bank OZK Lending Exposures to Non-Depository Financial Institutions and Commercial Real Estate Debt Funds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rtl w:val="0"/>
        </w:rPr>
        <w:t xml:space="preserve">The structural evolution of the United States banking system since the 2008 financial crisis has been characterized by a significant migration of credit intermediation from traditional depository institutions to the non-bank financial sector. Within this paradigm shift, Bank OZK (NASDAQ: OZK) has carved out a unique and strategically complex position. Traditionally recognized as a premier construction lender through its Real Estate Specialties Group (RESG), the bank has increasingly transitioned into a wholesale liquidity provider for the very non-depository financial institutions (NDFIs) that ostensibly compete with it for market share. By the fourth quarter of 2025, Bank OZK’s FFIEC Call Report data revealed a total exposure of $2.74 billion to NDFIs, a portfolio that functions as a critical nexus between regulated commercial banking and the more opaque world of private credit and commercial real estate (CRE) debt funds.</w:t>
      </w:r>
      <w:r w:rsidDel="00000000" w:rsidR="00000000" w:rsidRPr="00000000">
        <w:rPr>
          <w:rFonts w:ascii="Arial" w:cs="Arial" w:eastAsia="Arial" w:hAnsi="Arial"/>
          <w:color w:val="444746"/>
          <w:sz w:val="20"/>
          <w:szCs w:val="20"/>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This report provides a comprehensive examination of Bank OZK’s institutional relationships with NDFIs, deconstructing the underlying mechanics of its "loan-to-lender" strategies and identifying specific named counterparties across the private equity, business development company (BDC), and bridge lending sectors. Through a synthesis of regulatory filings, earnings commentary, and transaction data, this analysis elucidates how Bank OZK utilizes its RESG and Corporate &amp; Institutional Banking (CIB) divisions to manage a multi-billion-dollar portfolio of specialized credit facilities, while navigating the systemic risks associated with the current liquidity contraction in the private credit markets.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The Quantitative Architecture of the NDFI Portfolio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The $2.74 billion NDFI exposure reported in Bank OZK’s Q4 2025 Call Report represents a sophisticated allocation across several distinct sub-sectors of the financial services industry. This portfolio is not merely a collection of passive investments but rather a series of actively managed credit relationships that leverage the bank's core competencies in asset-level underwriting.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Distribution of NDFI Credit Exposures (Q4 2025)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Category of NDFI Exposure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Asset Volume (USD)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Portfolio Weight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Business Credit Intermediaries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$1.20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43.80%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Private Equity Funds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$772 Million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28.17%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Other Non-Depository Financial Institutions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$722 Million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26.35%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Consumer Credit Intermediaries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$48 Million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Total NDFI Exposure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$2.74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100.00%</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The largest segment, business credit intermediaries, encompasses the bank's "lender finance" activities, where capital is provided to entities that then originate loans to mid-market companies or real estate developers.</w:t>
      </w:r>
      <w:r w:rsidDel="00000000" w:rsidR="00000000" w:rsidRPr="00000000">
        <w:rPr>
          <w:rFonts w:ascii="Arial" w:cs="Arial" w:eastAsia="Arial" w:hAnsi="Arial"/>
          <w:color w:val="444746"/>
          <w:sz w:val="20"/>
          <w:szCs w:val="20"/>
          <w:vertAlign w:val="superscript"/>
          <w:rtl w:val="0"/>
        </w:rPr>
        <w:t xml:space="preserve">1</w:t>
      </w:r>
      <w:r w:rsidDel="00000000" w:rsidR="00000000" w:rsidRPr="00000000">
        <w:rPr>
          <w:rFonts w:ascii="Arial" w:cs="Arial" w:eastAsia="Arial" w:hAnsi="Arial"/>
          <w:color w:val="1f1f1f"/>
          <w:sz w:val="20"/>
          <w:szCs w:val="20"/>
          <w:rtl w:val="0"/>
        </w:rPr>
        <w:t xml:space="preserve"> The private equity allocation primarily consists of subscription credit facilities, which are secured by the uncalled capital commitments of a fund’s limited partners.</w:t>
      </w:r>
      <w:r w:rsidDel="00000000" w:rsidR="00000000" w:rsidRPr="00000000">
        <w:rPr>
          <w:rFonts w:ascii="Arial" w:cs="Arial" w:eastAsia="Arial" w:hAnsi="Arial"/>
          <w:color w:val="444746"/>
          <w:sz w:val="20"/>
          <w:szCs w:val="20"/>
          <w:vertAlign w:val="superscript"/>
          <w:rtl w:val="0"/>
        </w:rPr>
        <w:t xml:space="preserve">3</w:t>
      </w:r>
      <w:r w:rsidDel="00000000" w:rsidR="00000000" w:rsidRPr="00000000">
        <w:rPr>
          <w:rFonts w:ascii="Arial" w:cs="Arial" w:eastAsia="Arial" w:hAnsi="Arial"/>
          <w:color w:val="1f1f1f"/>
          <w:sz w:val="20"/>
          <w:szCs w:val="20"/>
          <w:rtl w:val="0"/>
        </w:rPr>
        <w:t xml:space="preserve"> The "other NDFI" category likely includes specialized vehicles such as real estate investment trust (REIT) subsidiaries and non-bank bridge lenders that do not fit neatly into the primary classifications.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Strategic Interplay Between RESG and NDFI Credit Intermediaries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 defining feature of Bank OZK’s operational model is the high degree of integration between its flagship Real Estate Specialties Group and its NDFI lending activities. As CEO George Gleason noted during the Q3 2025 earnings call, a significant portion of the NDFI loans appearing on the call report are originated and managed by the RESG.</w:t>
      </w:r>
      <w:r w:rsidDel="00000000" w:rsidR="00000000" w:rsidRPr="00000000">
        <w:rPr>
          <w:rFonts w:ascii="Arial" w:cs="Arial" w:eastAsia="Arial" w:hAnsi="Arial"/>
          <w:color w:val="444746"/>
          <w:sz w:val="20"/>
          <w:szCs w:val="20"/>
          <w:vertAlign w:val="superscript"/>
          <w:rtl w:val="0"/>
        </w:rPr>
        <w:t xml:space="preserve">1</w:t>
      </w:r>
      <w:r w:rsidDel="00000000" w:rsidR="00000000" w:rsidRPr="00000000">
        <w:rPr>
          <w:rFonts w:ascii="Arial" w:cs="Arial" w:eastAsia="Arial" w:hAnsi="Arial"/>
          <w:color w:val="1f1f1f"/>
          <w:sz w:val="20"/>
          <w:szCs w:val="20"/>
          <w:rtl w:val="0"/>
        </w:rPr>
        <w:t xml:space="preserve"> This overlap suggests that the bank’s NDFI lending is frequently a extension of its CRE construction lending expertise, rather than a separate corporate banking function.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rtl w:val="0"/>
        </w:rPr>
        <w:t xml:space="preserve">The mechanism through which RESG engages with NDFIs typically involves the bifurcation of large-scale construction or bridge loans. In these scenarios, a CRE debt fund may secure a mandate for a unitranche loan, which is subsequently split into a senior and a mezzanine component. Bank OZK almost invariably occupies the senior position, benefiting from a very low "attachment point" that provides substantial protection against asset-level depreciation.</w:t>
      </w:r>
      <w:r w:rsidDel="00000000" w:rsidR="00000000" w:rsidRPr="00000000">
        <w:rPr>
          <w:rFonts w:ascii="Arial" w:cs="Arial" w:eastAsia="Arial" w:hAnsi="Arial"/>
          <w:color w:val="444746"/>
          <w:sz w:val="20"/>
          <w:szCs w:val="20"/>
          <w:vertAlign w:val="superscript"/>
          <w:rtl w:val="0"/>
        </w:rPr>
        <w:t xml:space="preserve">1</w:t>
      </w:r>
      <w:r w:rsidDel="00000000" w:rsidR="00000000" w:rsidRPr="00000000">
        <w:rPr>
          <w:rFonts w:ascii="Arial" w:cs="Arial" w:eastAsia="Arial" w:hAnsi="Arial"/>
          <w:color w:val="1f1f1f"/>
          <w:sz w:val="20"/>
          <w:szCs w:val="20"/>
          <w:rtl w:val="0"/>
        </w:rPr>
        <w:t xml:space="preserve"> Alternatively, the bank may provide a direct revolving credit or warehouse facility to a debt fund, treating the fund itself as the borrower while performing exhaustive "look-through" analysis on the underlying real estate assets.</w:t>
      </w:r>
      <w:r w:rsidDel="00000000" w:rsidR="00000000" w:rsidRPr="00000000">
        <w:rPr>
          <w:rFonts w:ascii="Arial" w:cs="Arial" w:eastAsia="Arial" w:hAnsi="Arial"/>
          <w:color w:val="444746"/>
          <w:sz w:val="20"/>
          <w:szCs w:val="20"/>
          <w:vertAlign w:val="superscript"/>
          <w:rtl w:val="0"/>
        </w:rPr>
        <w:t xml:space="preserve">1</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Identifying Named Counterparties in the Debt Fund and BDC Sectors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Through an analysis of syndicated loan documents, UCC-1 filings, and trade publications, several specific entities have been identified as part of Bank OZK’s lending network. These relationships vary from direct loan participations to the provision of revolving credit lines to major asset managers.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Acore Capital: The Senior-Mezzanine Paradigm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Acore Capital is a prominent example of a CRE debt fund that frequently operates in tandem with Bank OZK. In November 2022, the two institutions collaborated on a $117 million financing package for an office property located at 4204-4230 Glencoe Avenue in Los Angeles.</w:t>
      </w:r>
      <w:r w:rsidDel="00000000" w:rsidR="00000000" w:rsidRPr="00000000">
        <w:rPr>
          <w:rFonts w:ascii="Arial" w:cs="Arial" w:eastAsia="Arial" w:hAnsi="Arial"/>
          <w:color w:val="444746"/>
          <w:sz w:val="20"/>
          <w:szCs w:val="20"/>
          <w:vertAlign w:val="superscript"/>
          <w:rtl w:val="0"/>
        </w:rPr>
        <w:t xml:space="preserve">6</w:t>
      </w:r>
      <w:r w:rsidDel="00000000" w:rsidR="00000000" w:rsidRPr="00000000">
        <w:rPr>
          <w:rFonts w:ascii="Arial" w:cs="Arial" w:eastAsia="Arial" w:hAnsi="Arial"/>
          <w:color w:val="1f1f1f"/>
          <w:sz w:val="20"/>
          <w:szCs w:val="20"/>
          <w:rtl w:val="0"/>
        </w:rPr>
        <w:t xml:space="preserve"> In this transaction, Bank OZK and Acore Capital provided a combined senior and mezzanine loan, a structure that allowed Bank OZK to maintain its preferred risk profile as the senior lender while Acore Capital took the subordinate position.</w:t>
      </w:r>
      <w:r w:rsidDel="00000000" w:rsidR="00000000" w:rsidRPr="00000000">
        <w:rPr>
          <w:rFonts w:ascii="Arial" w:cs="Arial" w:eastAsia="Arial" w:hAnsi="Arial"/>
          <w:color w:val="444746"/>
          <w:sz w:val="20"/>
          <w:szCs w:val="20"/>
          <w:vertAlign w:val="superscript"/>
          <w:rtl w:val="0"/>
        </w:rPr>
        <w:t xml:space="preserve">6</w:t>
      </w:r>
      <w:r w:rsidDel="00000000" w:rsidR="00000000" w:rsidRPr="00000000">
        <w:rPr>
          <w:rFonts w:ascii="Arial" w:cs="Arial" w:eastAsia="Arial" w:hAnsi="Arial"/>
          <w:color w:val="1f1f1f"/>
          <w:sz w:val="20"/>
          <w:szCs w:val="20"/>
          <w:rtl w:val="0"/>
        </w:rPr>
        <w:t xml:space="preserve"> This deal exemplifies the "loan-to-lender" relationship where Bank OZK provides the fundamental liquidity for a transaction that is managed or co-sponsored by an NDFI.</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Mesa West Capital and the Industrial Logistics Nexus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Mesa West Capital, a subsidiary of Morgan Stanley Investment Management, is another recurring counterparty in Bank OZK’s large-scale project financings. A notable instance of this collaboration occurred in March 2024, when Bank OZK led a consortium to provide a $413 million construction loan for the Bridge Point Tacoma logistics park in Washington.</w:t>
      </w:r>
      <w:r w:rsidDel="00000000" w:rsidR="00000000" w:rsidRPr="00000000">
        <w:rPr>
          <w:rFonts w:ascii="Arial" w:cs="Arial" w:eastAsia="Arial" w:hAnsi="Arial"/>
          <w:color w:val="444746"/>
          <w:sz w:val="20"/>
          <w:szCs w:val="20"/>
          <w:vertAlign w:val="superscript"/>
          <w:rtl w:val="0"/>
        </w:rPr>
        <w:t xml:space="preserve">7</w:t>
      </w:r>
      <w:r w:rsidDel="00000000" w:rsidR="00000000" w:rsidRPr="00000000">
        <w:rPr>
          <w:rFonts w:ascii="Arial" w:cs="Arial" w:eastAsia="Arial" w:hAnsi="Arial"/>
          <w:color w:val="1f1f1f"/>
          <w:sz w:val="20"/>
          <w:szCs w:val="20"/>
          <w:rtl w:val="0"/>
        </w:rPr>
        <w:t xml:space="preserve"> Bank OZK originated a $263 million first mortgage construction loan, while a $150 million mezzanine loan was co-issued by Mesa West Capital and Morgan Stanley Real Estate Investing.</w:t>
      </w:r>
      <w:r w:rsidDel="00000000" w:rsidR="00000000" w:rsidRPr="00000000">
        <w:rPr>
          <w:rFonts w:ascii="Arial" w:cs="Arial" w:eastAsia="Arial" w:hAnsi="Arial"/>
          <w:color w:val="444746"/>
          <w:sz w:val="20"/>
          <w:szCs w:val="20"/>
          <w:vertAlign w:val="superscript"/>
          <w:rtl w:val="0"/>
        </w:rPr>
        <w:t xml:space="preserve">7</w:t>
      </w:r>
      <w:r w:rsidDel="00000000" w:rsidR="00000000" w:rsidRPr="00000000">
        <w:rPr>
          <w:rFonts w:ascii="Arial" w:cs="Arial" w:eastAsia="Arial" w:hAnsi="Arial"/>
          <w:color w:val="1f1f1f"/>
          <w:sz w:val="20"/>
          <w:szCs w:val="20"/>
          <w:rtl w:val="0"/>
        </w:rPr>
        <w:t xml:space="preserve"> This transaction highlights the bank's ability to coordinate with institutional debt funds to finance massive industrial developments, utilizing the fund's subordinate capital to insulate the bank's senior interest.</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Affinius Capital and the Perris Gateway Project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rtl w:val="0"/>
        </w:rPr>
        <w:t xml:space="preserve">Affinius Capital (formerly known as Square Mile Capital and USAA Real Estate) has a long-standing relationship with Bank OZK in the industrial and logistics sectors. In September 2024, the firms co-funded a $135 million construction loan for the Perris Gateway industrial development in Perris, California.</w:t>
      </w:r>
      <w:r w:rsidDel="00000000" w:rsidR="00000000" w:rsidRPr="00000000">
        <w:rPr>
          <w:rFonts w:ascii="Arial" w:cs="Arial" w:eastAsia="Arial" w:hAnsi="Arial"/>
          <w:color w:val="444746"/>
          <w:sz w:val="20"/>
          <w:szCs w:val="20"/>
          <w:vertAlign w:val="superscript"/>
          <w:rtl w:val="0"/>
        </w:rPr>
        <w:t xml:space="preserve">8</w:t>
      </w:r>
      <w:r w:rsidDel="00000000" w:rsidR="00000000" w:rsidRPr="00000000">
        <w:rPr>
          <w:rFonts w:ascii="Arial" w:cs="Arial" w:eastAsia="Arial" w:hAnsi="Arial"/>
          <w:color w:val="1f1f1f"/>
          <w:sz w:val="20"/>
          <w:szCs w:val="20"/>
          <w:rtl w:val="0"/>
        </w:rPr>
        <w:t xml:space="preserve"> Bank OZK served as the senior lender, while Affinius Capital originated the subordinate portion of the financing.</w:t>
      </w:r>
      <w:r w:rsidDel="00000000" w:rsidR="00000000" w:rsidRPr="00000000">
        <w:rPr>
          <w:rFonts w:ascii="Arial" w:cs="Arial" w:eastAsia="Arial" w:hAnsi="Arial"/>
          <w:color w:val="444746"/>
          <w:sz w:val="20"/>
          <w:szCs w:val="20"/>
          <w:vertAlign w:val="superscript"/>
          <w:rtl w:val="0"/>
        </w:rPr>
        <w:t xml:space="preserve">8</w:t>
      </w:r>
      <w:r w:rsidDel="00000000" w:rsidR="00000000" w:rsidRPr="00000000">
        <w:rPr>
          <w:rFonts w:ascii="Arial" w:cs="Arial" w:eastAsia="Arial" w:hAnsi="Arial"/>
          <w:color w:val="1f1f1f"/>
          <w:sz w:val="20"/>
          <w:szCs w:val="20"/>
          <w:rtl w:val="0"/>
        </w:rPr>
        <w:t xml:space="preserve"> This project was part of a broader trend of industrial lending where Bank OZK partners with specialized real estate credit funds to finance ground-up developments in key logistics hubs like the Inland Empire.</w:t>
      </w:r>
      <w:r w:rsidDel="00000000" w:rsidR="00000000" w:rsidRPr="00000000">
        <w:rPr>
          <w:rFonts w:ascii="Arial" w:cs="Arial" w:eastAsia="Arial" w:hAnsi="Arial"/>
          <w:color w:val="444746"/>
          <w:sz w:val="20"/>
          <w:szCs w:val="20"/>
          <w:vertAlign w:val="superscript"/>
          <w:rtl w:val="0"/>
        </w:rPr>
        <w:t xml:space="preserve">9</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Related Fund Management and Strategic Alliances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The relationship between Bank OZK and Related Companies—and its investment arm, Related Fund Management—is among the most integrated in the bank’s portfolio. Related has frequently acted as a co-lender or a participant in loans originated by Bank OZK. For example, in the $54.7 million financing of a West Adams office project for The Luzzatto Company, Bank OZK acted as the lead lender with Related Fund Management participating in the loan.</w:t>
      </w:r>
      <w:r w:rsidDel="00000000" w:rsidR="00000000" w:rsidRPr="00000000">
        <w:rPr>
          <w:rFonts w:ascii="Arial" w:cs="Arial" w:eastAsia="Arial" w:hAnsi="Arial"/>
          <w:color w:val="444746"/>
          <w:sz w:val="20"/>
          <w:szCs w:val="20"/>
          <w:vertAlign w:val="superscript"/>
          <w:rtl w:val="0"/>
        </w:rPr>
        <w:t xml:space="preserve">10</w:t>
      </w:r>
      <w:r w:rsidDel="00000000" w:rsidR="00000000" w:rsidRPr="00000000">
        <w:rPr>
          <w:rFonts w:ascii="Arial" w:cs="Arial" w:eastAsia="Arial" w:hAnsi="Arial"/>
          <w:color w:val="1f1f1f"/>
          <w:sz w:val="20"/>
          <w:szCs w:val="20"/>
          <w:rtl w:val="0"/>
        </w:rPr>
        <w:t xml:space="preserve"> Furthermore, Bank OZK and Related co-originated a $380 million construction loan for the Riverwalk development in San Diego, a multi-phase project backed by Hines.</w:t>
      </w:r>
      <w:r w:rsidDel="00000000" w:rsidR="00000000" w:rsidRPr="00000000">
        <w:rPr>
          <w:rFonts w:ascii="Arial" w:cs="Arial" w:eastAsia="Arial" w:hAnsi="Arial"/>
          <w:color w:val="444746"/>
          <w:sz w:val="20"/>
          <w:szCs w:val="20"/>
          <w:vertAlign w:val="superscript"/>
          <w:rtl w:val="0"/>
        </w:rPr>
        <w:t xml:space="preserve">11</w:t>
      </w:r>
      <w:r w:rsidDel="00000000" w:rsidR="00000000" w:rsidRPr="00000000">
        <w:rPr>
          <w:rFonts w:ascii="Arial" w:cs="Arial" w:eastAsia="Arial" w:hAnsi="Arial"/>
          <w:color w:val="1f1f1f"/>
          <w:sz w:val="20"/>
          <w:szCs w:val="20"/>
          <w:rtl w:val="0"/>
        </w:rPr>
        <w:t xml:space="preserve"> These relationships indicate a deep strategic alignment where Bank OZK provides the primary senior capital, and Related Fund Management provides specialized subordinate or co-investment capital.</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Corporate and Institutional Banking (CIB) and Fund Finance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rtl w:val="0"/>
        </w:rPr>
        <w:t xml:space="preserve">The Corporate &amp; Institutional Banking division of Bank OZK manages the $772 million allocation to private equity funds, which largely consists of subscription credit facilities (also known as capital call lines). These facilities are essential tools for private equity fund managers, providing them with bridge liquidity to execute acquisitions quickly before calling capital from their limited partners.</w:t>
      </w:r>
      <w:r w:rsidDel="00000000" w:rsidR="00000000" w:rsidRPr="00000000">
        <w:rPr>
          <w:rFonts w:ascii="Arial" w:cs="Arial" w:eastAsia="Arial" w:hAnsi="Arial"/>
          <w:color w:val="444746"/>
          <w:sz w:val="20"/>
          <w:szCs w:val="20"/>
          <w:vertAlign w:val="superscript"/>
          <w:rtl w:val="0"/>
        </w:rPr>
        <w:t xml:space="preserve">3</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Subscription Financing for Major Asset Managers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rtl w:val="0"/>
        </w:rPr>
        <w:t xml:space="preserve">While specific fund-level facility names are often shielded by confidentiality agreements, Bank OZK’s presence at institutional venues such as the Fund Finance Association Global Symposium alongside representatives from Ares Management and Apollo Global Management signals its active role in this niche market.</w:t>
      </w:r>
      <w:r w:rsidDel="00000000" w:rsidR="00000000" w:rsidRPr="00000000">
        <w:rPr>
          <w:rFonts w:ascii="Arial" w:cs="Arial" w:eastAsia="Arial" w:hAnsi="Arial"/>
          <w:color w:val="444746"/>
          <w:sz w:val="20"/>
          <w:szCs w:val="20"/>
          <w:vertAlign w:val="superscript"/>
          <w:rtl w:val="0"/>
        </w:rPr>
        <w:t xml:space="preserve">4</w:t>
      </w:r>
      <w:r w:rsidDel="00000000" w:rsidR="00000000" w:rsidRPr="00000000">
        <w:rPr>
          <w:rFonts w:ascii="Arial" w:cs="Arial" w:eastAsia="Arial" w:hAnsi="Arial"/>
          <w:color w:val="1f1f1f"/>
          <w:sz w:val="20"/>
          <w:szCs w:val="20"/>
          <w:rtl w:val="0"/>
        </w:rPr>
        <w:t xml:space="preserve"> The bank’s "subscription financing service" is marketed as a core part of its CIB offering, targeted at both middle-market and large-scale investment funds.</w:t>
      </w:r>
      <w:r w:rsidDel="00000000" w:rsidR="00000000" w:rsidRPr="00000000">
        <w:rPr>
          <w:rFonts w:ascii="Arial" w:cs="Arial" w:eastAsia="Arial" w:hAnsi="Arial"/>
          <w:color w:val="444746"/>
          <w:sz w:val="20"/>
          <w:szCs w:val="20"/>
          <w:vertAlign w:val="superscript"/>
          <w:rtl w:val="0"/>
        </w:rPr>
        <w:t xml:space="preserve">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rtl w:val="0"/>
        </w:rPr>
        <w:t xml:space="preserve">The risk profile of these subscription lines is fundamentally different from RESG’s construction loans. They are underwritten based on the creditworthiness of the fund's limited partners—often large pension funds and insurance companies—rather than the performance of the fund's underlying assets.</w:t>
      </w:r>
      <w:r w:rsidDel="00000000" w:rsidR="00000000" w:rsidRPr="00000000">
        <w:rPr>
          <w:rFonts w:ascii="Arial" w:cs="Arial" w:eastAsia="Arial" w:hAnsi="Arial"/>
          <w:color w:val="444746"/>
          <w:sz w:val="20"/>
          <w:szCs w:val="20"/>
          <w:vertAlign w:val="superscript"/>
          <w:rtl w:val="0"/>
        </w:rPr>
        <w:t xml:space="preserve">5</w:t>
      </w:r>
      <w:r w:rsidDel="00000000" w:rsidR="00000000" w:rsidRPr="00000000">
        <w:rPr>
          <w:rFonts w:ascii="Arial" w:cs="Arial" w:eastAsia="Arial" w:hAnsi="Arial"/>
          <w:color w:val="1f1f1f"/>
          <w:sz w:val="20"/>
          <w:szCs w:val="20"/>
          <w:rtl w:val="0"/>
        </w:rPr>
        <w:t xml:space="preserve"> However, as liquidity in the private equity space tightens, Bank OZK has proactively "shed legacy borrowers" in its fund finance group to focus on higher-utilization and higher-fee relationships.</w:t>
      </w:r>
      <w:r w:rsidDel="00000000" w:rsidR="00000000" w:rsidRPr="00000000">
        <w:rPr>
          <w:rFonts w:ascii="Arial" w:cs="Arial" w:eastAsia="Arial" w:hAnsi="Arial"/>
          <w:color w:val="444746"/>
          <w:sz w:val="20"/>
          <w:szCs w:val="20"/>
          <w:vertAlign w:val="superscript"/>
          <w:rtl w:val="0"/>
        </w:rPr>
        <w:t xml:space="preserve">1</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Syndicated Credit Facilities and Natural Resources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The CIB division also manages Bank OZK’s participation in broader syndicated credit facilities for energy-focused and industrial NDFIs.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0"/>
          <w:szCs w:val="20"/>
        </w:rPr>
      </w:pPr>
      <w:r w:rsidDel="00000000" w:rsidR="00000000" w:rsidRPr="00000000">
        <w:rPr>
          <w:rFonts w:ascii="Arial" w:cs="Arial" w:eastAsia="Arial" w:hAnsi="Arial"/>
          <w:b w:val="1"/>
          <w:bCs w:val="1"/>
          <w:color w:val="1f1f1f"/>
          <w:sz w:val="20"/>
          <w:szCs w:val="20"/>
          <w:rtl w:val="0"/>
        </w:rPr>
        <w:t xml:space="preserve">Mach Natural Resources LP:</w:t>
      </w:r>
      <w:r w:rsidDel="00000000" w:rsidR="00000000" w:rsidRPr="00000000">
        <w:rPr>
          <w:rFonts w:ascii="Arial" w:cs="Arial" w:eastAsia="Arial" w:hAnsi="Arial"/>
          <w:color w:val="1f1f1f"/>
          <w:sz w:val="20"/>
          <w:szCs w:val="20"/>
          <w:rtl w:val="0"/>
        </w:rPr>
        <w:t xml:space="preserve"> In September 2025, Bank OZK was identified as a "New Lender" and a "Co-Syndication Agent" in a major credit agreement for Mach Natural Resources LP.</w:t>
      </w:r>
      <w:r w:rsidDel="00000000" w:rsidR="00000000" w:rsidRPr="00000000">
        <w:rPr>
          <w:rFonts w:ascii="Arial" w:cs="Arial" w:eastAsia="Arial" w:hAnsi="Arial"/>
          <w:color w:val="444746"/>
          <w:sz w:val="20"/>
          <w:szCs w:val="20"/>
          <w:vertAlign w:val="superscript"/>
          <w:rtl w:val="0"/>
        </w:rPr>
        <w:t xml:space="preserve">12</w:t>
      </w:r>
      <w:r w:rsidDel="00000000" w:rsidR="00000000" w:rsidRPr="00000000">
        <w:rPr>
          <w:rFonts w:ascii="Arial" w:cs="Arial" w:eastAsia="Arial" w:hAnsi="Arial"/>
          <w:color w:val="1f1f1f"/>
          <w:sz w:val="20"/>
          <w:szCs w:val="20"/>
          <w:rtl w:val="0"/>
        </w:rPr>
        <w:t xml:space="preserve"> The bank provided an initial term commitment of approximately $37.24 million, participating alongside major institutions like Bank of America and Royal Bank of Canada.</w:t>
      </w:r>
      <w:r w:rsidDel="00000000" w:rsidR="00000000" w:rsidRPr="00000000">
        <w:rPr>
          <w:rFonts w:ascii="Arial" w:cs="Arial" w:eastAsia="Arial" w:hAnsi="Arial"/>
          <w:color w:val="444746"/>
          <w:sz w:val="20"/>
          <w:szCs w:val="20"/>
          <w:vertAlign w:val="superscript"/>
          <w:rtl w:val="0"/>
        </w:rPr>
        <w:t xml:space="preserve">12</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0"/>
          <w:szCs w:val="20"/>
        </w:rPr>
      </w:pPr>
      <w:r w:rsidDel="00000000" w:rsidR="00000000" w:rsidRPr="00000000">
        <w:rPr>
          <w:rFonts w:ascii="Arial" w:cs="Arial" w:eastAsia="Arial" w:hAnsi="Arial"/>
          <w:b w:val="1"/>
          <w:bCs w:val="1"/>
          <w:color w:val="1f1f1f"/>
          <w:sz w:val="20"/>
          <w:szCs w:val="20"/>
          <w:rtl w:val="0"/>
        </w:rPr>
        <w:t xml:space="preserve">Archrock Services, L.P.:</w:t>
      </w:r>
      <w:r w:rsidDel="00000000" w:rsidR="00000000" w:rsidRPr="00000000">
        <w:rPr>
          <w:rFonts w:ascii="Arial" w:cs="Arial" w:eastAsia="Arial" w:hAnsi="Arial"/>
          <w:color w:val="1f1f1f"/>
          <w:sz w:val="20"/>
          <w:szCs w:val="20"/>
          <w:rtl w:val="0"/>
        </w:rPr>
        <w:t xml:space="preserve"> Bank OZK committed $75 million as a "New Lender" to an upsized $1.1 billion revolving credit facility for Archrock in August 2024.</w:t>
      </w:r>
      <w:r w:rsidDel="00000000" w:rsidR="00000000" w:rsidRPr="00000000">
        <w:rPr>
          <w:rFonts w:ascii="Arial" w:cs="Arial" w:eastAsia="Arial" w:hAnsi="Arial"/>
          <w:color w:val="444746"/>
          <w:sz w:val="20"/>
          <w:szCs w:val="20"/>
          <w:vertAlign w:val="superscript"/>
          <w:rtl w:val="0"/>
        </w:rPr>
        <w:t xml:space="preserve">13</w:t>
      </w:r>
      <w:r w:rsidDel="00000000" w:rsidR="00000000" w:rsidRPr="00000000">
        <w:rPr>
          <w:rFonts w:ascii="Arial" w:cs="Arial" w:eastAsia="Arial" w:hAnsi="Arial"/>
          <w:color w:val="1f1f1f"/>
          <w:sz w:val="20"/>
          <w:szCs w:val="20"/>
          <w:rtl w:val="0"/>
        </w:rPr>
        <w:t xml:space="preserve"> This participation was facilitated by the bank's Lender Finance and Corporate Banking groups, showcasing its ability to provide revolving liquidity to specialized industrial finance entities.</w:t>
      </w:r>
      <w:r w:rsidDel="00000000" w:rsidR="00000000" w:rsidRPr="00000000">
        <w:rPr>
          <w:rFonts w:ascii="Arial" w:cs="Arial" w:eastAsia="Arial" w:hAnsi="Arial"/>
          <w:color w:val="444746"/>
          <w:sz w:val="20"/>
          <w:szCs w:val="20"/>
          <w:vertAlign w:val="superscript"/>
          <w:rtl w:val="0"/>
        </w:rPr>
        <w:t xml:space="preserve">1</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Liquidity Stress and Financial Stability of Counterparties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The current macroeconomic environment, marked by elevated interest rates and a "DPI drought" in private markets, has placed significant stress on several of Bank OZK’s typical NDFI counterparties. This stress manifests in the form of redemption gates, declining Net Asset Values (NAV), and sharp share price contractions for publicly traded BDCs.</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Blue Owl Capital and the Redemption Gate Crisis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rtl w:val="0"/>
        </w:rPr>
        <w:t xml:space="preserve">Blue Owl Capital, a major player in the private credit and BDC sectors, has faced notable liquidity challenges in early 2026. After a surge in withdrawal requests that exceeded preset limits, Blue Owl was forced to alter its withdrawal mechanisms and implement redemption gates for several of its vehicles, including Blue Owl Capital Corporation II (OBDC II), Blue Owl Technology Income Corp (OTIC), and Blue Owl Credit Income Corp (OCIC).</w:t>
      </w:r>
      <w:r w:rsidDel="00000000" w:rsidR="00000000" w:rsidRPr="00000000">
        <w:rPr>
          <w:rFonts w:ascii="Arial" w:cs="Arial" w:eastAsia="Arial" w:hAnsi="Arial"/>
          <w:color w:val="444746"/>
          <w:sz w:val="20"/>
          <w:szCs w:val="20"/>
          <w:vertAlign w:val="superscript"/>
          <w:rtl w:val="0"/>
        </w:rPr>
        <w:t xml:space="preserve">14</w:t>
      </w:r>
      <w:r w:rsidDel="00000000" w:rsidR="00000000" w:rsidRPr="00000000">
        <w:rPr>
          <w:rFonts w:ascii="Arial" w:cs="Arial" w:eastAsia="Arial" w:hAnsi="Arial"/>
          <w:color w:val="1f1f1f"/>
          <w:sz w:val="20"/>
          <w:szCs w:val="20"/>
          <w:rtl w:val="0"/>
        </w:rPr>
        <w:t xml:space="preserve"> To address these capital needs, the firm agreed to sell $1.4 billion in direct company loans to a group of North American insurers and pension funds.</w:t>
      </w:r>
      <w:r w:rsidDel="00000000" w:rsidR="00000000" w:rsidRPr="00000000">
        <w:rPr>
          <w:rFonts w:ascii="Arial" w:cs="Arial" w:eastAsia="Arial" w:hAnsi="Arial"/>
          <w:color w:val="444746"/>
          <w:sz w:val="20"/>
          <w:szCs w:val="20"/>
          <w:vertAlign w:val="superscript"/>
          <w:rtl w:val="0"/>
        </w:rPr>
        <w:t xml:space="preserve">14</w:t>
      </w:r>
      <w:r w:rsidDel="00000000" w:rsidR="00000000" w:rsidRPr="00000000">
        <w:rPr>
          <w:rFonts w:ascii="Arial" w:cs="Arial" w:eastAsia="Arial" w:hAnsi="Arial"/>
          <w:color w:val="1f1f1f"/>
          <w:sz w:val="20"/>
          <w:szCs w:val="20"/>
          <w:rtl w:val="0"/>
        </w:rPr>
        <w:t xml:space="preserve"> For Bank OZK, which provides subscription lines and potentially lender finance to such entities, these redemption gates represent a potential disruption in the fund’s primary repayment source.</w:t>
      </w:r>
      <w:r w:rsidDel="00000000" w:rsidR="00000000" w:rsidRPr="00000000">
        <w:rPr>
          <w:rFonts w:ascii="Arial" w:cs="Arial" w:eastAsia="Arial" w:hAnsi="Arial"/>
          <w:color w:val="444746"/>
          <w:sz w:val="20"/>
          <w:szCs w:val="20"/>
          <w:vertAlign w:val="superscript"/>
          <w:rtl w:val="0"/>
        </w:rPr>
        <w:t xml:space="preserve">14</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Blackstone and the AI Shock to Private Credit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rtl w:val="0"/>
        </w:rPr>
        <w:t xml:space="preserve">Blackstone, particularly through its real estate debt business (BREDS), has been a frequent co-operator with Bank OZK in large urban markets like Jersey City and New York.</w:t>
      </w:r>
      <w:r w:rsidDel="00000000" w:rsidR="00000000" w:rsidRPr="00000000">
        <w:rPr>
          <w:rFonts w:ascii="Arial" w:cs="Arial" w:eastAsia="Arial" w:hAnsi="Arial"/>
          <w:color w:val="444746"/>
          <w:sz w:val="20"/>
          <w:szCs w:val="20"/>
          <w:vertAlign w:val="superscript"/>
          <w:rtl w:val="0"/>
        </w:rPr>
        <w:t xml:space="preserve">15</w:t>
      </w:r>
      <w:r w:rsidDel="00000000" w:rsidR="00000000" w:rsidRPr="00000000">
        <w:rPr>
          <w:rFonts w:ascii="Arial" w:cs="Arial" w:eastAsia="Arial" w:hAnsi="Arial"/>
          <w:color w:val="1f1f1f"/>
          <w:sz w:val="20"/>
          <w:szCs w:val="20"/>
          <w:rtl w:val="0"/>
        </w:rPr>
        <w:t xml:space="preserve"> However, the broader private credit market has recently been rattled by what analysts call the "AI Shock," where software-heavy credit portfolios are being reassessed for disruption risk.</w:t>
      </w:r>
      <w:r w:rsidDel="00000000" w:rsidR="00000000" w:rsidRPr="00000000">
        <w:rPr>
          <w:rFonts w:ascii="Arial" w:cs="Arial" w:eastAsia="Arial" w:hAnsi="Arial"/>
          <w:color w:val="444746"/>
          <w:sz w:val="20"/>
          <w:szCs w:val="20"/>
          <w:vertAlign w:val="superscript"/>
          <w:rtl w:val="0"/>
        </w:rPr>
        <w:t xml:space="preserve">17</w:t>
      </w:r>
      <w:r w:rsidDel="00000000" w:rsidR="00000000" w:rsidRPr="00000000">
        <w:rPr>
          <w:rFonts w:ascii="Arial" w:cs="Arial" w:eastAsia="Arial" w:hAnsi="Arial"/>
          <w:color w:val="1f1f1f"/>
          <w:sz w:val="20"/>
          <w:szCs w:val="20"/>
          <w:rtl w:val="0"/>
        </w:rPr>
        <w:t xml:space="preserve"> As investors treat "software exposure" as a proxy for credit risk, the valuations of major alternative managers like Blackstone, Apollo, and Ares have seen significant volatility, with shares in several firms down more than 20% year-to-date in early 2026.</w:t>
      </w:r>
      <w:r w:rsidDel="00000000" w:rsidR="00000000" w:rsidRPr="00000000">
        <w:rPr>
          <w:rFonts w:ascii="Arial" w:cs="Arial" w:eastAsia="Arial" w:hAnsi="Arial"/>
          <w:color w:val="444746"/>
          <w:sz w:val="20"/>
          <w:szCs w:val="20"/>
          <w:vertAlign w:val="superscript"/>
          <w:rtl w:val="0"/>
        </w:rPr>
        <w:t xml:space="preserve">14</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Arbor Realty Trust and the Short-Seller Narrative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rtl w:val="0"/>
        </w:rPr>
        <w:t xml:space="preserve">Arbor Realty Trust, a major player in the multifamily bridge lending space, has been the target of intensive short-seller reports from firms like Viceroy Research and Ningi Research.</w:t>
      </w:r>
      <w:r w:rsidDel="00000000" w:rsidR="00000000" w:rsidRPr="00000000">
        <w:rPr>
          <w:rFonts w:ascii="Arial" w:cs="Arial" w:eastAsia="Arial" w:hAnsi="Arial"/>
          <w:color w:val="444746"/>
          <w:sz w:val="20"/>
          <w:szCs w:val="20"/>
          <w:vertAlign w:val="superscript"/>
          <w:rtl w:val="0"/>
        </w:rPr>
        <w:t xml:space="preserve">18</w:t>
      </w:r>
      <w:r w:rsidDel="00000000" w:rsidR="00000000" w:rsidRPr="00000000">
        <w:rPr>
          <w:rFonts w:ascii="Arial" w:cs="Arial" w:eastAsia="Arial" w:hAnsi="Arial"/>
          <w:color w:val="1f1f1f"/>
          <w:sz w:val="20"/>
          <w:szCs w:val="20"/>
          <w:rtl w:val="0"/>
        </w:rPr>
        <w:t xml:space="preserve"> These reports allege weaknesses in the trust's CRE loan book and have contributed to a broader market skepticism toward non-bank bridge lenders.</w:t>
      </w:r>
      <w:r w:rsidDel="00000000" w:rsidR="00000000" w:rsidRPr="00000000">
        <w:rPr>
          <w:rFonts w:ascii="Arial" w:cs="Arial" w:eastAsia="Arial" w:hAnsi="Arial"/>
          <w:color w:val="444746"/>
          <w:sz w:val="20"/>
          <w:szCs w:val="20"/>
          <w:vertAlign w:val="superscript"/>
          <w:rtl w:val="0"/>
        </w:rPr>
        <w:t xml:space="preserve">18</w:t>
      </w:r>
      <w:r w:rsidDel="00000000" w:rsidR="00000000" w:rsidRPr="00000000">
        <w:rPr>
          <w:rFonts w:ascii="Arial" w:cs="Arial" w:eastAsia="Arial" w:hAnsi="Arial"/>
          <w:color w:val="1f1f1f"/>
          <w:sz w:val="20"/>
          <w:szCs w:val="20"/>
          <w:rtl w:val="0"/>
        </w:rPr>
        <w:t xml:space="preserve"> While Bank OZK's direct exposure to Arbor is not explicitly detailed in the call reports, the general "contagion" risk from a failure in the bridge lending sector is a primary concern for the bank's CIB and RESG monitoring teams.</w:t>
      </w:r>
      <w:r w:rsidDel="00000000" w:rsidR="00000000" w:rsidRPr="00000000">
        <w:rPr>
          <w:rFonts w:ascii="Arial" w:cs="Arial" w:eastAsia="Arial" w:hAnsi="Arial"/>
          <w:color w:val="444746"/>
          <w:sz w:val="20"/>
          <w:szCs w:val="20"/>
          <w:vertAlign w:val="superscript"/>
          <w:rtl w:val="0"/>
        </w:rPr>
        <w:t xml:space="preserve">5</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Summary of Identified NDFI and Debt Fund Relationships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The following table synthesizes the identified lending and participation relationships between Bank OZK and various NDFIs, including the nature of the relationship and current market status.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Entity / Fund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Relationship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Key Project /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Stress /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Acore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Senior/Mezzanine Co-Lender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shd w:fill="auto" w:val="clear"/>
                <w:rtl w:val="0"/>
              </w:rPr>
              <w:t xml:space="preserve">4204 Glencoe Ave, LA </w:t>
            </w:r>
            <w:r w:rsidDel="00000000" w:rsidR="00000000" w:rsidRPr="00000000">
              <w:rPr>
                <w:rFonts w:ascii="Arial" w:cs="Arial" w:eastAsia="Arial" w:hAnsi="Arial"/>
                <w:color w:val="444746"/>
                <w:sz w:val="20"/>
                <w:szCs w:val="20"/>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Nov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Stable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Mesa West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Senior/Mezzanine Co-Lender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shd w:fill="auto" w:val="clear"/>
                <w:rtl w:val="0"/>
              </w:rPr>
              <w:t xml:space="preserve">Bridge Point Tacoma </w:t>
            </w:r>
            <w:r w:rsidDel="00000000" w:rsidR="00000000" w:rsidRPr="00000000">
              <w:rPr>
                <w:rFonts w:ascii="Arial" w:cs="Arial" w:eastAsia="Arial" w:hAnsi="Arial"/>
                <w:color w:val="444746"/>
                <w:sz w:val="20"/>
                <w:szCs w:val="20"/>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Mar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Stable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Affinius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Senior/Subordinate Partner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shd w:fill="auto" w:val="clear"/>
                <w:rtl w:val="0"/>
              </w:rPr>
              <w:t xml:space="preserve">Perris Gateway </w:t>
            </w:r>
            <w:r w:rsidDel="00000000" w:rsidR="00000000" w:rsidRPr="00000000">
              <w:rPr>
                <w:rFonts w:ascii="Arial" w:cs="Arial" w:eastAsia="Arial" w:hAnsi="Arial"/>
                <w:color w:val="444746"/>
                <w:sz w:val="20"/>
                <w:szCs w:val="20"/>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Sep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Stable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Related Fund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Loan Participant / Co-Originator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shd w:fill="auto" w:val="clear"/>
                <w:rtl w:val="0"/>
              </w:rPr>
              <w:t xml:space="preserve">Riverwalk San Diego </w:t>
            </w:r>
            <w:r w:rsidDel="00000000" w:rsidR="00000000" w:rsidRPr="00000000">
              <w:rPr>
                <w:rFonts w:ascii="Arial" w:cs="Arial" w:eastAsia="Arial" w:hAnsi="Arial"/>
                <w:color w:val="444746"/>
                <w:sz w:val="20"/>
                <w:szCs w:val="20"/>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Oct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Stable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Mach Natural Resources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Co-Syndication Agent / Term Loan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shd w:fill="auto" w:val="clear"/>
                <w:rtl w:val="0"/>
              </w:rPr>
              <w:t xml:space="preserve">Credit Agreement Amendment </w:t>
            </w:r>
            <w:r w:rsidDel="00000000" w:rsidR="00000000" w:rsidRPr="00000000">
              <w:rPr>
                <w:rFonts w:ascii="Arial" w:cs="Arial" w:eastAsia="Arial" w:hAnsi="Arial"/>
                <w:color w:val="444746"/>
                <w:sz w:val="20"/>
                <w:szCs w:val="20"/>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Sep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Stable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Archrock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Revolving Credit Participant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shd w:fill="auto" w:val="clear"/>
                <w:rtl w:val="0"/>
              </w:rPr>
              <w:t xml:space="preserve">$1.1B Credit Facility </w:t>
            </w:r>
            <w:r w:rsidDel="00000000" w:rsidR="00000000" w:rsidRPr="00000000">
              <w:rPr>
                <w:rFonts w:ascii="Arial" w:cs="Arial" w:eastAsia="Arial" w:hAnsi="Arial"/>
                <w:color w:val="444746"/>
                <w:sz w:val="20"/>
                <w:szCs w:val="20"/>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Aug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Stable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Blackstone (BREDS)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Competitive/Geographic Co-Lender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shd w:fill="auto" w:val="clear"/>
                <w:rtl w:val="0"/>
              </w:rPr>
              <w:t xml:space="preserve">Jersey City Projects </w:t>
            </w:r>
            <w:r w:rsidDel="00000000" w:rsidR="00000000" w:rsidRPr="00000000">
              <w:rPr>
                <w:rFonts w:ascii="Arial" w:cs="Arial" w:eastAsia="Arial" w:hAnsi="Arial"/>
                <w:color w:val="444746"/>
                <w:sz w:val="20"/>
                <w:szCs w:val="20"/>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Jul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b w:val="1"/>
                <w:bCs w:val="1"/>
                <w:color w:val="1f1f1f"/>
                <w:sz w:val="20"/>
                <w:szCs w:val="20"/>
                <w:shd w:fill="auto" w:val="clear"/>
                <w:rtl w:val="0"/>
              </w:rPr>
              <w:t xml:space="preserve">MONITOR:</w:t>
            </w:r>
            <w:r w:rsidDel="00000000" w:rsidR="00000000" w:rsidRPr="00000000">
              <w:rPr>
                <w:rFonts w:ascii="Arial" w:cs="Arial" w:eastAsia="Arial" w:hAnsi="Arial"/>
                <w:color w:val="1f1f1f"/>
                <w:sz w:val="20"/>
                <w:szCs w:val="20"/>
                <w:shd w:fill="auto" w:val="clear"/>
                <w:rtl w:val="0"/>
              </w:rPr>
              <w:t xml:space="preserve"> AI Shock </w:t>
            </w:r>
            <w:r w:rsidDel="00000000" w:rsidR="00000000" w:rsidRPr="00000000">
              <w:rPr>
                <w:rFonts w:ascii="Arial" w:cs="Arial" w:eastAsia="Arial" w:hAnsi="Arial"/>
                <w:color w:val="444746"/>
                <w:sz w:val="20"/>
                <w:szCs w:val="20"/>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Blue Owl (OBDC 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Fund Finance / Subscription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shd w:fill="auto" w:val="clear"/>
                <w:rtl w:val="0"/>
              </w:rPr>
              <w:t xml:space="preserve">Liquidity Report </w:t>
            </w:r>
            <w:r w:rsidDel="00000000" w:rsidR="00000000" w:rsidRPr="00000000">
              <w:rPr>
                <w:rFonts w:ascii="Arial" w:cs="Arial" w:eastAsia="Arial" w:hAnsi="Arial"/>
                <w:color w:val="444746"/>
                <w:sz w:val="20"/>
                <w:szCs w:val="20"/>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Feb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b w:val="1"/>
                <w:bCs w:val="1"/>
                <w:color w:val="1f1f1f"/>
                <w:sz w:val="20"/>
                <w:szCs w:val="20"/>
                <w:shd w:fill="auto" w:val="clear"/>
                <w:rtl w:val="0"/>
              </w:rPr>
              <w:t xml:space="preserve">STRESS:</w:t>
            </w:r>
            <w:r w:rsidDel="00000000" w:rsidR="00000000" w:rsidRPr="00000000">
              <w:rPr>
                <w:rFonts w:ascii="Arial" w:cs="Arial" w:eastAsia="Arial" w:hAnsi="Arial"/>
                <w:color w:val="1f1f1f"/>
                <w:sz w:val="20"/>
                <w:szCs w:val="20"/>
                <w:shd w:fill="auto" w:val="clear"/>
                <w:rtl w:val="0"/>
              </w:rPr>
              <w:t xml:space="preserve"> Redemption Gates </w:t>
            </w:r>
            <w:r w:rsidDel="00000000" w:rsidR="00000000" w:rsidRPr="00000000">
              <w:rPr>
                <w:rFonts w:ascii="Arial" w:cs="Arial" w:eastAsia="Arial" w:hAnsi="Arial"/>
                <w:color w:val="444746"/>
                <w:sz w:val="20"/>
                <w:szCs w:val="20"/>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Ares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Fund Finance / Lender Finance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shd w:fill="auto" w:val="clear"/>
                <w:rtl w:val="0"/>
              </w:rPr>
              <w:t xml:space="preserve">Industry Participation </w:t>
            </w:r>
            <w:r w:rsidDel="00000000" w:rsidR="00000000" w:rsidRPr="00000000">
              <w:rPr>
                <w:rFonts w:ascii="Arial" w:cs="Arial" w:eastAsia="Arial" w:hAnsi="Arial"/>
                <w:color w:val="444746"/>
                <w:sz w:val="20"/>
                <w:szCs w:val="20"/>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Feb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b w:val="1"/>
                <w:bCs w:val="1"/>
                <w:color w:val="1f1f1f"/>
                <w:sz w:val="20"/>
                <w:szCs w:val="20"/>
                <w:shd w:fill="auto" w:val="clear"/>
                <w:rtl w:val="0"/>
              </w:rPr>
              <w:t xml:space="preserve">MONITOR:</w:t>
            </w:r>
            <w:r w:rsidDel="00000000" w:rsidR="00000000" w:rsidRPr="00000000">
              <w:rPr>
                <w:rFonts w:ascii="Arial" w:cs="Arial" w:eastAsia="Arial" w:hAnsi="Arial"/>
                <w:color w:val="1f1f1f"/>
                <w:sz w:val="20"/>
                <w:szCs w:val="20"/>
                <w:shd w:fill="auto" w:val="clear"/>
                <w:rtl w:val="0"/>
              </w:rPr>
              <w:t xml:space="preserve"> Stock Decline </w:t>
            </w:r>
            <w:r w:rsidDel="00000000" w:rsidR="00000000" w:rsidRPr="00000000">
              <w:rPr>
                <w:rFonts w:ascii="Arial" w:cs="Arial" w:eastAsia="Arial" w:hAnsi="Arial"/>
                <w:color w:val="444746"/>
                <w:sz w:val="20"/>
                <w:szCs w:val="20"/>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Arbor Realty Trust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Sector Peer / Bridge Lender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shd w:fill="auto" w:val="clear"/>
                <w:rtl w:val="0"/>
              </w:rPr>
              <w:t xml:space="preserve">Short-Seller Reports </w:t>
            </w:r>
            <w:r w:rsidDel="00000000" w:rsidR="00000000" w:rsidRPr="00000000">
              <w:rPr>
                <w:rFonts w:ascii="Arial" w:cs="Arial" w:eastAsia="Arial" w:hAnsi="Arial"/>
                <w:color w:val="444746"/>
                <w:sz w:val="20"/>
                <w:szCs w:val="20"/>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Oct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b w:val="1"/>
                <w:bCs w:val="1"/>
                <w:color w:val="1f1f1f"/>
                <w:sz w:val="20"/>
                <w:szCs w:val="20"/>
                <w:shd w:fill="auto" w:val="clear"/>
                <w:rtl w:val="0"/>
              </w:rPr>
              <w:t xml:space="preserve">STRESS:</w:t>
            </w:r>
            <w:r w:rsidDel="00000000" w:rsidR="00000000" w:rsidRPr="00000000">
              <w:rPr>
                <w:rFonts w:ascii="Arial" w:cs="Arial" w:eastAsia="Arial" w:hAnsi="Arial"/>
                <w:color w:val="1f1f1f"/>
                <w:sz w:val="20"/>
                <w:szCs w:val="20"/>
                <w:shd w:fill="auto" w:val="clear"/>
                <w:rtl w:val="0"/>
              </w:rPr>
              <w:t xml:space="preserve"> Short Targets </w:t>
            </w:r>
            <w:r w:rsidDel="00000000" w:rsidR="00000000" w:rsidRPr="00000000">
              <w:rPr>
                <w:rFonts w:ascii="Arial" w:cs="Arial" w:eastAsia="Arial" w:hAnsi="Arial"/>
                <w:color w:val="444746"/>
                <w:sz w:val="20"/>
                <w:szCs w:val="20"/>
                <w:vertAlign w:val="superscript"/>
                <w:rtl w:val="0"/>
              </w:rPr>
              <w:t xml:space="preserve">18</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Internal Risk Mitigation and The $500 Million Cap</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rtl w:val="0"/>
        </w:rPr>
        <w:t xml:space="preserve">Bank OZK has not been immune to the broader stress in the commercial real estate market. Following significant criticism of its concentration in large construction loans—most notably a $915 million loan for IQHQ’s life science project in San Diego—the bank has implemented several high-profile risk management shifts.</w:t>
      </w:r>
      <w:r w:rsidDel="00000000" w:rsidR="00000000" w:rsidRPr="00000000">
        <w:rPr>
          <w:rFonts w:ascii="Arial" w:cs="Arial" w:eastAsia="Arial" w:hAnsi="Arial"/>
          <w:color w:val="444746"/>
          <w:sz w:val="20"/>
          <w:szCs w:val="20"/>
          <w:vertAlign w:val="superscript"/>
          <w:rtl w:val="0"/>
        </w:rPr>
        <w:t xml:space="preserve">18</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rtl w:val="0"/>
        </w:rPr>
        <w:t xml:space="preserve">In late 2024, Bank OZK decided to cap its new loan sizes at $500 million to reduce its single-asset exposure and manage the "headline risk" that oversized loans attract.</w:t>
      </w:r>
      <w:r w:rsidDel="00000000" w:rsidR="00000000" w:rsidRPr="00000000">
        <w:rPr>
          <w:rFonts w:ascii="Arial" w:cs="Arial" w:eastAsia="Arial" w:hAnsi="Arial"/>
          <w:color w:val="444746"/>
          <w:sz w:val="20"/>
          <w:szCs w:val="20"/>
          <w:vertAlign w:val="superscript"/>
          <w:rtl w:val="0"/>
        </w:rPr>
        <w:t xml:space="preserve">19</w:t>
      </w:r>
      <w:r w:rsidDel="00000000" w:rsidR="00000000" w:rsidRPr="00000000">
        <w:rPr>
          <w:rFonts w:ascii="Arial" w:cs="Arial" w:eastAsia="Arial" w:hAnsi="Arial"/>
          <w:color w:val="1f1f1f"/>
          <w:sz w:val="20"/>
          <w:szCs w:val="20"/>
          <w:rtl w:val="0"/>
        </w:rPr>
        <w:t xml:space="preserve"> This strategy is intended to complement its new loan syndication desk, which is tasked with sharing larger loan risks with other institutional lenders and debt funds.</w:t>
      </w:r>
      <w:r w:rsidDel="00000000" w:rsidR="00000000" w:rsidRPr="00000000">
        <w:rPr>
          <w:rFonts w:ascii="Arial" w:cs="Arial" w:eastAsia="Arial" w:hAnsi="Arial"/>
          <w:color w:val="444746"/>
          <w:sz w:val="20"/>
          <w:szCs w:val="20"/>
          <w:vertAlign w:val="superscript"/>
          <w:rtl w:val="0"/>
        </w:rPr>
        <w:t xml:space="preserve">19</w:t>
      </w:r>
      <w:r w:rsidDel="00000000" w:rsidR="00000000" w:rsidRPr="00000000">
        <w:rPr>
          <w:rFonts w:ascii="Arial" w:cs="Arial" w:eastAsia="Arial" w:hAnsi="Arial"/>
          <w:color w:val="1f1f1f"/>
          <w:sz w:val="20"/>
          <w:szCs w:val="20"/>
          <w:rtl w:val="0"/>
        </w:rPr>
        <w:t xml:space="preserve"> The bank is also actively diversifying its portfolio away from CRE construction lending, aiming to reduce its CRE concentration from 64% to 50% by the end of 2025.</w:t>
      </w:r>
      <w:r w:rsidDel="00000000" w:rsidR="00000000" w:rsidRPr="00000000">
        <w:rPr>
          <w:rFonts w:ascii="Arial" w:cs="Arial" w:eastAsia="Arial" w:hAnsi="Arial"/>
          <w:color w:val="444746"/>
          <w:sz w:val="20"/>
          <w:szCs w:val="20"/>
          <w:vertAlign w:val="superscript"/>
          <w:rtl w:val="0"/>
        </w:rPr>
        <w:t xml:space="preserve">19</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Credit Performance and Asset-Level Stress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Despite its disciplined underwriting, Bank OZK has seen a rise in criticized assets and net charge-offs in recent quarters.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Asset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Stress 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Financial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Chicago Land Loan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Stalled progress (Lincoln Yards)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shd w:fill="auto" w:val="clear"/>
                <w:rtl w:val="0"/>
              </w:rPr>
              <w:t xml:space="preserve">$20.8M write-down </w:t>
            </w:r>
            <w:r w:rsidDel="00000000" w:rsidR="00000000" w:rsidRPr="00000000">
              <w:rPr>
                <w:rFonts w:ascii="Arial" w:cs="Arial" w:eastAsia="Arial" w:hAnsi="Arial"/>
                <w:color w:val="444746"/>
                <w:sz w:val="20"/>
                <w:szCs w:val="20"/>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LA Office Loan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Non-accrual status (Arts District)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shd w:fill="auto" w:val="clear"/>
                <w:rtl w:val="0"/>
              </w:rPr>
              <w:t xml:space="preserve">Part of Q4 stress spike </w:t>
            </w:r>
            <w:r w:rsidDel="00000000" w:rsidR="00000000" w:rsidRPr="00000000">
              <w:rPr>
                <w:rFonts w:ascii="Arial" w:cs="Arial" w:eastAsia="Arial" w:hAnsi="Arial"/>
                <w:color w:val="444746"/>
                <w:sz w:val="20"/>
                <w:szCs w:val="20"/>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Atlanta Mixed-Use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Difficult leasing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shd w:fill="auto" w:val="clear"/>
                <w:rtl w:val="0"/>
              </w:rPr>
              <w:t xml:space="preserve">~$1 Billion total exposure </w:t>
            </w:r>
            <w:r w:rsidDel="00000000" w:rsidR="00000000" w:rsidRPr="00000000">
              <w:rPr>
                <w:rFonts w:ascii="Arial" w:cs="Arial" w:eastAsia="Arial" w:hAnsi="Arial"/>
                <w:color w:val="444746"/>
                <w:sz w:val="20"/>
                <w:szCs w:val="20"/>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San Diego Life Science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Oversupply/Leasing headwinds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shd w:fill="auto" w:val="clear"/>
                <w:rtl w:val="0"/>
              </w:rPr>
              <w:t xml:space="preserve">Criticized by Citigroup </w:t>
            </w:r>
            <w:r w:rsidDel="00000000" w:rsidR="00000000" w:rsidRPr="00000000">
              <w:rPr>
                <w:rFonts w:ascii="Arial" w:cs="Arial" w:eastAsia="Arial" w:hAnsi="Arial"/>
                <w:color w:val="444746"/>
                <w:sz w:val="20"/>
                <w:szCs w:val="20"/>
                <w:vertAlign w:val="superscript"/>
                <w:rtl w:val="0"/>
              </w:rPr>
              <w:t xml:space="preserve">20</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0"/>
          <w:szCs w:val="20"/>
          <w:vertAlign w:val="superscript"/>
        </w:rPr>
      </w:pPr>
      <w:r w:rsidDel="00000000" w:rsidR="00000000" w:rsidRPr="00000000">
        <w:rPr>
          <w:rFonts w:ascii="Arial" w:cs="Arial" w:eastAsia="Arial" w:hAnsi="Arial"/>
          <w:color w:val="1f1f1f"/>
          <w:sz w:val="20"/>
          <w:szCs w:val="20"/>
          <w:rtl w:val="0"/>
        </w:rPr>
        <w:t xml:space="preserve">The bank’s </w:t>
      </w:r>
      <w:r w:rsidDel="00000000" w:rsidR="00000000" w:rsidRPr="00000000">
        <w:rPr>
          <w:rFonts w:ascii="Arial" w:cs="Arial" w:eastAsia="Arial" w:hAnsi="Arial"/>
          <w:color w:val="1f1f1f"/>
          <w:sz w:val="20"/>
          <w:szCs w:val="20"/>
        </w:rPr>
        <w:drawing>
          <wp:inline distB="19050" distT="19050" distL="19050" distR="19050">
            <wp:extent cx="462690" cy="22082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2690" cy="220829"/>
                    </a:xfrm>
                    <a:prstGeom prst="rect"/>
                    <a:ln/>
                  </pic:spPr>
                </pic:pic>
              </a:graphicData>
            </a:graphic>
          </wp:inline>
        </w:drawing>
      </w:r>
      <w:r w:rsidDel="00000000" w:rsidR="00000000" w:rsidRPr="00000000">
        <w:rPr>
          <w:rFonts w:ascii="Arial" w:cs="Arial" w:eastAsia="Arial" w:hAnsi="Arial"/>
          <w:color w:val="1f1f1f"/>
          <w:sz w:val="20"/>
          <w:szCs w:val="20"/>
          <w:rtl w:val="0"/>
        </w:rPr>
        <w:t xml:space="preserve"> is also expected to face headwinds as interest rates decline. With 22% of its variable-rate loans already at their "floor" rates, the bank’s ability to offset falling rates with margin expansion is limited, leading to a projected dip in NIM for 2026.</w:t>
      </w:r>
      <w:r w:rsidDel="00000000" w:rsidR="00000000" w:rsidRPr="00000000">
        <w:rPr>
          <w:rFonts w:ascii="Arial" w:cs="Arial" w:eastAsia="Arial" w:hAnsi="Arial"/>
          <w:color w:val="444746"/>
          <w:sz w:val="20"/>
          <w:szCs w:val="20"/>
          <w:vertAlign w:val="superscript"/>
          <w:rtl w:val="0"/>
        </w:rPr>
        <w:t xml:space="preserve">1</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Deep Insights into the Loan-to-Lender Model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The "loan-to-lender" model, while often categorized as NDFI exposure, is fundamentally an asset-backed lending strategy. Bank OZK’s Corporate &amp; Institutional Banking unit examines the underlying portfolios of the debt funds it leverages in exhaustive detail.</w:t>
      </w:r>
      <w:r w:rsidDel="00000000" w:rsidR="00000000" w:rsidRPr="00000000">
        <w:rPr>
          <w:rFonts w:ascii="Arial" w:cs="Arial" w:eastAsia="Arial" w:hAnsi="Arial"/>
          <w:color w:val="444746"/>
          <w:sz w:val="20"/>
          <w:szCs w:val="20"/>
          <w:vertAlign w:val="superscript"/>
          <w:rtl w:val="0"/>
        </w:rPr>
        <w:t xml:space="preserve">1</w:t>
      </w:r>
      <w:r w:rsidDel="00000000" w:rsidR="00000000" w:rsidRPr="00000000">
        <w:rPr>
          <w:rFonts w:ascii="Arial" w:cs="Arial" w:eastAsia="Arial" w:hAnsi="Arial"/>
          <w:color w:val="1f1f1f"/>
          <w:sz w:val="20"/>
          <w:szCs w:val="20"/>
          <w:rtl w:val="0"/>
        </w:rPr>
        <w:t xml:space="preserve"> This "look-through" analysis is crucial because the bank is not just lending against the balance sheet of the NDFI but is effectively taking a senior interest in a basket of the fund's own loans.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To insulate itself from risk, the bank utilizes several operational safeguards:</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0"/>
          <w:szCs w:val="20"/>
        </w:rPr>
      </w:pPr>
      <w:r w:rsidDel="00000000" w:rsidR="00000000" w:rsidRPr="00000000">
        <w:rPr>
          <w:rFonts w:ascii="Arial" w:cs="Arial" w:eastAsia="Arial" w:hAnsi="Arial"/>
          <w:b w:val="1"/>
          <w:bCs w:val="1"/>
          <w:color w:val="1f1f1f"/>
          <w:sz w:val="20"/>
          <w:szCs w:val="20"/>
          <w:rtl w:val="0"/>
        </w:rPr>
        <w:t xml:space="preserve">Low Attachment Points:</w:t>
      </w:r>
      <w:r w:rsidDel="00000000" w:rsidR="00000000" w:rsidRPr="00000000">
        <w:rPr>
          <w:rFonts w:ascii="Arial" w:cs="Arial" w:eastAsia="Arial" w:hAnsi="Arial"/>
          <w:color w:val="1f1f1f"/>
          <w:sz w:val="20"/>
          <w:szCs w:val="20"/>
          <w:rtl w:val="0"/>
        </w:rPr>
        <w:t xml:space="preserve"> By financing only the most senior 50-60% of a property's value, Bank OZK ensures that the debt fund’s own equity and mezzanine capital act as a buffer.</w:t>
      </w:r>
      <w:r w:rsidDel="00000000" w:rsidR="00000000" w:rsidRPr="00000000">
        <w:rPr>
          <w:rFonts w:ascii="Arial" w:cs="Arial" w:eastAsia="Arial" w:hAnsi="Arial"/>
          <w:color w:val="444746"/>
          <w:sz w:val="20"/>
          <w:szCs w:val="20"/>
          <w:vertAlign w:val="superscript"/>
          <w:rtl w:val="0"/>
        </w:rPr>
        <w:t xml:space="preserve">1</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0"/>
          <w:szCs w:val="20"/>
        </w:rPr>
      </w:pPr>
      <w:r w:rsidDel="00000000" w:rsidR="00000000" w:rsidRPr="00000000">
        <w:rPr>
          <w:rFonts w:ascii="Arial" w:cs="Arial" w:eastAsia="Arial" w:hAnsi="Arial"/>
          <w:b w:val="1"/>
          <w:bCs w:val="1"/>
          <w:color w:val="1f1f1f"/>
          <w:sz w:val="20"/>
          <w:szCs w:val="20"/>
          <w:rtl w:val="0"/>
        </w:rPr>
        <w:t xml:space="preserve">Lock Boxes:</w:t>
      </w:r>
      <w:r w:rsidDel="00000000" w:rsidR="00000000" w:rsidRPr="00000000">
        <w:rPr>
          <w:rFonts w:ascii="Arial" w:cs="Arial" w:eastAsia="Arial" w:hAnsi="Arial"/>
          <w:color w:val="1f1f1f"/>
          <w:sz w:val="20"/>
          <w:szCs w:val="20"/>
          <w:rtl w:val="0"/>
        </w:rPr>
        <w:t xml:space="preserve"> The bank often requires that the cash flows from the underlying loans in an NDFI facility are directed to a controlled account, ensuring principal and interest are paid before any money flows back to the fund.</w:t>
      </w:r>
      <w:r w:rsidDel="00000000" w:rsidR="00000000" w:rsidRPr="00000000">
        <w:rPr>
          <w:rFonts w:ascii="Arial" w:cs="Arial" w:eastAsia="Arial" w:hAnsi="Arial"/>
          <w:color w:val="444746"/>
          <w:sz w:val="20"/>
          <w:szCs w:val="20"/>
          <w:vertAlign w:val="superscript"/>
          <w:rtl w:val="0"/>
        </w:rPr>
        <w:t xml:space="preserve">1</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0"/>
          <w:szCs w:val="20"/>
        </w:rPr>
      </w:pPr>
      <w:r w:rsidDel="00000000" w:rsidR="00000000" w:rsidRPr="00000000">
        <w:rPr>
          <w:rFonts w:ascii="Arial" w:cs="Arial" w:eastAsia="Arial" w:hAnsi="Arial"/>
          <w:b w:val="1"/>
          <w:bCs w:val="1"/>
          <w:color w:val="1f1f1f"/>
          <w:sz w:val="20"/>
          <w:szCs w:val="20"/>
          <w:rtl w:val="0"/>
        </w:rPr>
        <w:t xml:space="preserve">Third-Party Servicers:</w:t>
      </w:r>
      <w:r w:rsidDel="00000000" w:rsidR="00000000" w:rsidRPr="00000000">
        <w:rPr>
          <w:rFonts w:ascii="Arial" w:cs="Arial" w:eastAsia="Arial" w:hAnsi="Arial"/>
          <w:color w:val="1f1f1f"/>
          <w:sz w:val="20"/>
          <w:szCs w:val="20"/>
          <w:rtl w:val="0"/>
        </w:rPr>
        <w:t xml:space="preserve"> In complex multi-asset facilities, the bank utilizes independent servicers and field examiners to verify the existence and valuation of the collateral.</w:t>
      </w:r>
      <w:r w:rsidDel="00000000" w:rsidR="00000000" w:rsidRPr="00000000">
        <w:rPr>
          <w:rFonts w:ascii="Arial" w:cs="Arial" w:eastAsia="Arial" w:hAnsi="Arial"/>
          <w:color w:val="444746"/>
          <w:sz w:val="20"/>
          <w:szCs w:val="20"/>
          <w:vertAlign w:val="superscript"/>
          <w:rtl w:val="0"/>
        </w:rPr>
        <w:t xml:space="preserve">1</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Conclusion and Strategic Outlook</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Bank OZK’s $2.74 billion NDFI portfolio is a testament to its evolution from a regional construction lender into a wholesale provider of capital for the private credit industry. By partnering with, rather than simply competing against, major debt funds like Acore, Mesa West, and Related Fund Management, the bank has been able to maintain its dominance in the large-scale project finance market while diversifying its risk across a broader institutional base.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However, the 2026 outlook suggests that this model will be tested. The convergence of "redemption gates" in the BDC sector and the leasing headwinds in the office and life science real estate markets has created a high-risk environment for NDFIs. Bank OZK’s decision to cap its loan sizes and move toward a syndication-heavy model indicates an awareness that the era of massive, single-bank construction financing is drawing to a close. As the bank digests its record 2022 originations and navigates the expected runoff in its RESG segment, its ability to maintain its </w:t>
      </w:r>
      <w:r w:rsidDel="00000000" w:rsidR="00000000" w:rsidRPr="00000000">
        <w:rPr>
          <w:rFonts w:ascii="Arial" w:cs="Arial" w:eastAsia="Arial" w:hAnsi="Arial"/>
          <w:color w:val="1f1f1f"/>
          <w:sz w:val="20"/>
          <w:szCs w:val="20"/>
        </w:rPr>
        <w:drawing>
          <wp:inline distB="19050" distT="19050" distL="19050" distR="19050">
            <wp:extent cx="462690" cy="22082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2690" cy="220829"/>
                    </a:xfrm>
                    <a:prstGeom prst="rect"/>
                    <a:ln/>
                  </pic:spPr>
                </pic:pic>
              </a:graphicData>
            </a:graphic>
          </wp:inline>
        </w:drawing>
      </w:r>
      <w:r w:rsidDel="00000000" w:rsidR="00000000" w:rsidRPr="00000000">
        <w:rPr>
          <w:rFonts w:ascii="Arial" w:cs="Arial" w:eastAsia="Arial" w:hAnsi="Arial"/>
          <w:color w:val="1f1f1f"/>
          <w:sz w:val="20"/>
          <w:szCs w:val="20"/>
          <w:rtl w:val="0"/>
        </w:rPr>
        <w:t xml:space="preserve"> and credit quality will depend on the efficacy of its "look-through" underwriting on the funds it continues to finance. The bank's transition toward a more balanced CIB-led structure may provide the necessary stability to weather the ongoing "AI shock" and the broader liquidity contraction in the non-depository sector.</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Works cited</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Bank OZK (OZK) Q3 2025 Earnings Call Transcript | The Motley Fool, accessed March 23, 2026, </w:t>
      </w:r>
      <w:hyperlink r:id="rId7">
        <w:r w:rsidDel="00000000" w:rsidR="00000000" w:rsidRPr="00000000">
          <w:rPr>
            <w:rFonts w:ascii="Arial" w:cs="Arial" w:eastAsia="Arial" w:hAnsi="Arial"/>
            <w:color w:val="0000ee"/>
            <w:sz w:val="20"/>
            <w:szCs w:val="20"/>
            <w:u w:val="single"/>
            <w:rtl w:val="0"/>
          </w:rPr>
          <w:t xml:space="preserve">https://www.fool.com/earnings/call-transcripts/2026/01/22/bank-ozk-ozk-q3-2025-earnings-call-transcript/</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Bank OZK (OZK) - Trefis, accessed March 23, 2026, </w:t>
      </w:r>
      <w:hyperlink r:id="rId8">
        <w:r w:rsidDel="00000000" w:rsidR="00000000" w:rsidRPr="00000000">
          <w:rPr>
            <w:rFonts w:ascii="Arial" w:cs="Arial" w:eastAsia="Arial" w:hAnsi="Arial"/>
            <w:color w:val="0000ee"/>
            <w:sz w:val="20"/>
            <w:szCs w:val="20"/>
            <w:u w:val="single"/>
            <w:rtl w:val="0"/>
          </w:rPr>
          <w:t xml:space="preserve">https://www.trefis.com/data/companies/OZK</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Apollo Global Management Vs Bank OZK: Which is a Better Buy? AI Stock Analysis - Danelfin, accessed March 23, 2026, </w:t>
      </w:r>
      <w:hyperlink r:id="rId9">
        <w:r w:rsidDel="00000000" w:rsidR="00000000" w:rsidRPr="00000000">
          <w:rPr>
            <w:rFonts w:ascii="Arial" w:cs="Arial" w:eastAsia="Arial" w:hAnsi="Arial"/>
            <w:color w:val="0000ee"/>
            <w:sz w:val="20"/>
            <w:szCs w:val="20"/>
            <w:u w:val="single"/>
            <w:rtl w:val="0"/>
          </w:rPr>
          <w:t xml:space="preserve">https://danelfin.com/stocks/APO-apollo-global-management-vs-OZK-bank-ozk-compare</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15th Annual Global Fund Finance Symposium, accessed March 23, 2026, </w:t>
      </w:r>
      <w:hyperlink r:id="rId10">
        <w:r w:rsidDel="00000000" w:rsidR="00000000" w:rsidRPr="00000000">
          <w:rPr>
            <w:rFonts w:ascii="Arial" w:cs="Arial" w:eastAsia="Arial" w:hAnsi="Arial"/>
            <w:color w:val="0000ee"/>
            <w:sz w:val="20"/>
            <w:szCs w:val="20"/>
            <w:u w:val="single"/>
            <w:rtl w:val="0"/>
          </w:rPr>
          <w:t xml:space="preserve">https://fundfinanceassociation.com/events/past-events/02-02-26-global-symposium/</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3Q25 Bank Earnings Credit Risk Deep Dive: Shifting From Stability to Specifics, accessed March 23, 2026, </w:t>
      </w:r>
      <w:hyperlink r:id="rId11">
        <w:r w:rsidDel="00000000" w:rsidR="00000000" w:rsidRPr="00000000">
          <w:rPr>
            <w:rFonts w:ascii="Arial" w:cs="Arial" w:eastAsia="Arial" w:hAnsi="Arial"/>
            <w:color w:val="0000ee"/>
            <w:sz w:val="20"/>
            <w:szCs w:val="20"/>
            <w:u w:val="single"/>
            <w:rtl w:val="0"/>
          </w:rPr>
          <w:t xml:space="preserve">https://www.sraconsults.com/3q25-bank-earnings-credit-risk-deep-dive-shifting-from-stability-to-specifics/</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Bank OZK And Acore Capital Provide $117M Loan For Glencoe Avenue Office In Los Angeles | Traded, accessed March 23, 2026, </w:t>
      </w:r>
      <w:hyperlink r:id="rId12">
        <w:r w:rsidDel="00000000" w:rsidR="00000000" w:rsidRPr="00000000">
          <w:rPr>
            <w:rFonts w:ascii="Arial" w:cs="Arial" w:eastAsia="Arial" w:hAnsi="Arial"/>
            <w:color w:val="0000ee"/>
            <w:sz w:val="20"/>
            <w:szCs w:val="20"/>
            <w:u w:val="single"/>
            <w:rtl w:val="0"/>
          </w:rPr>
          <w:t xml:space="preserve">https://traded.co/deals/california/office/loan/4204-4230-glencoe-avenue-2/</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Bridge Industrial taps Bank OZK, Mesa West consortium for $413m construction loan, accessed March 23, 2026, </w:t>
      </w:r>
      <w:hyperlink r:id="rId13">
        <w:r w:rsidDel="00000000" w:rsidR="00000000" w:rsidRPr="00000000">
          <w:rPr>
            <w:rFonts w:ascii="Arial" w:cs="Arial" w:eastAsia="Arial" w:hAnsi="Arial"/>
            <w:color w:val="0000ee"/>
            <w:sz w:val="20"/>
            <w:szCs w:val="20"/>
            <w:u w:val="single"/>
            <w:rtl w:val="0"/>
          </w:rPr>
          <w:t xml:space="preserve">https://www.perecredit.com/bridge-industrial-taps-bank-ozk-mesa-west-consortium-for-413m-construction-loan/</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News | Deca Companies, accessed March 23, 2026, </w:t>
      </w:r>
      <w:hyperlink r:id="rId14">
        <w:r w:rsidDel="00000000" w:rsidR="00000000" w:rsidRPr="00000000">
          <w:rPr>
            <w:rFonts w:ascii="Arial" w:cs="Arial" w:eastAsia="Arial" w:hAnsi="Arial"/>
            <w:color w:val="0000ee"/>
            <w:sz w:val="20"/>
            <w:szCs w:val="20"/>
            <w:u w:val="single"/>
            <w:rtl w:val="0"/>
          </w:rPr>
          <w:t xml:space="preserve">https://www.decaco.com/news</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Loans in focus: Blue Owl's Wynwood stake; ACORE's DC office debt ..., accessed March 23, 2026, </w:t>
      </w:r>
      <w:hyperlink r:id="rId15">
        <w:r w:rsidDel="00000000" w:rsidR="00000000" w:rsidRPr="00000000">
          <w:rPr>
            <w:rFonts w:ascii="Arial" w:cs="Arial" w:eastAsia="Arial" w:hAnsi="Arial"/>
            <w:color w:val="0000ee"/>
            <w:sz w:val="20"/>
            <w:szCs w:val="20"/>
            <w:u w:val="single"/>
            <w:rtl w:val="0"/>
          </w:rPr>
          <w:t xml:space="preserve">https://www.perecredit.com/loans-in-focus-blue-owls-wynwood-stake-acores-dc-office-debt-affiniuss-murray-hill-move/</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Bank OZK Provides $54.7M Loan For Office Property In West Adams - Traded Co, accessed March 23, 2026, </w:t>
      </w:r>
      <w:hyperlink r:id="rId16">
        <w:r w:rsidDel="00000000" w:rsidR="00000000" w:rsidRPr="00000000">
          <w:rPr>
            <w:rFonts w:ascii="Arial" w:cs="Arial" w:eastAsia="Arial" w:hAnsi="Arial"/>
            <w:color w:val="0000ee"/>
            <w:sz w:val="20"/>
            <w:szCs w:val="20"/>
            <w:u w:val="single"/>
            <w:rtl w:val="0"/>
          </w:rPr>
          <w:t xml:space="preserve">https://traded.co/deals/california/office/loan/3609-10th-avenue/</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Bank OZK, Related fund $380m construction loan for $4bn Hines-backed project, accessed March 23, 2026, </w:t>
      </w:r>
      <w:hyperlink r:id="rId17">
        <w:r w:rsidDel="00000000" w:rsidR="00000000" w:rsidRPr="00000000">
          <w:rPr>
            <w:rFonts w:ascii="Arial" w:cs="Arial" w:eastAsia="Arial" w:hAnsi="Arial"/>
            <w:color w:val="0000ee"/>
            <w:sz w:val="20"/>
            <w:szCs w:val="20"/>
            <w:u w:val="single"/>
            <w:rtl w:val="0"/>
          </w:rPr>
          <w:t xml:space="preserve">https://www.perecredit.com/bank-ozk-related-fund-380m-construction-loan-for-4bn-hines-backed-project/</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First Amendment to Credit Agreement, dated as of September 12, 2025, by and among Mach Natural Resources LP, the subsidiaries of Mach Natural Resources LP party thereto, the lenders and issuing banks party thereto and Truist Bank, as the administrative - SEC.gov, accessed March 23, 2026, </w:t>
      </w:r>
      <w:hyperlink r:id="rId18">
        <w:r w:rsidDel="00000000" w:rsidR="00000000" w:rsidRPr="00000000">
          <w:rPr>
            <w:rFonts w:ascii="Arial" w:cs="Arial" w:eastAsia="Arial" w:hAnsi="Arial"/>
            <w:color w:val="0000ee"/>
            <w:sz w:val="20"/>
            <w:szCs w:val="20"/>
            <w:u w:val="single"/>
            <w:rtl w:val="0"/>
          </w:rPr>
          <w:t xml:space="preserve">https://www.sec.gov/Archives/edgar/data/1980088/000121390025088361/ea025751501ex10-1_mach.htm</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First Amendment to Amended and Restated Credit Agreement among | Archrock Inc | Business Contracts | Justia, accessed March 23, 2026, </w:t>
      </w:r>
      <w:hyperlink r:id="rId19">
        <w:r w:rsidDel="00000000" w:rsidR="00000000" w:rsidRPr="00000000">
          <w:rPr>
            <w:rFonts w:ascii="Arial" w:cs="Arial" w:eastAsia="Arial" w:hAnsi="Arial"/>
            <w:color w:val="0000ee"/>
            <w:sz w:val="20"/>
            <w:szCs w:val="20"/>
            <w:u w:val="single"/>
            <w:rtl w:val="0"/>
          </w:rPr>
          <w:t xml:space="preserve">https://contracts.justia.com/companies/archrock-inc-120/contract/1295846/</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Blue Owl liquidity concerns spark questions about retail investor ..., accessed March 23, 2026, </w:t>
      </w:r>
      <w:hyperlink r:id="rId20">
        <w:r w:rsidDel="00000000" w:rsidR="00000000" w:rsidRPr="00000000">
          <w:rPr>
            <w:rFonts w:ascii="Arial" w:cs="Arial" w:eastAsia="Arial" w:hAnsi="Arial"/>
            <w:color w:val="0000ee"/>
            <w:sz w:val="20"/>
            <w:szCs w:val="20"/>
            <w:u w:val="single"/>
            <w:rtl w:val="0"/>
          </w:rPr>
          <w:t xml:space="preserve">https://www.investmentweek.co.uk/feature/4526255/blue-owl-liquidity-concerns-spark-questions-about-retail-investor-access-private-credit</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Blackstone closes $515m loan for Kushner's Jersey City mega ..., accessed March 23, 2026, </w:t>
      </w:r>
      <w:hyperlink r:id="rId21">
        <w:r w:rsidDel="00000000" w:rsidR="00000000" w:rsidRPr="00000000">
          <w:rPr>
            <w:rFonts w:ascii="Arial" w:cs="Arial" w:eastAsia="Arial" w:hAnsi="Arial"/>
            <w:color w:val="0000ee"/>
            <w:sz w:val="20"/>
            <w:szCs w:val="20"/>
            <w:u w:val="single"/>
            <w:rtl w:val="0"/>
          </w:rPr>
          <w:t xml:space="preserve">https://www.perecredit.com/blackstone-closes-515m-loan-for-kushners-jersey-city-mega-development/</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The 50 Most Important Figures of Commercial Real Estate Finance, accessed March 23, 2026, </w:t>
      </w:r>
      <w:hyperlink r:id="rId22">
        <w:r w:rsidDel="00000000" w:rsidR="00000000" w:rsidRPr="00000000">
          <w:rPr>
            <w:rFonts w:ascii="Arial" w:cs="Arial" w:eastAsia="Arial" w:hAnsi="Arial"/>
            <w:color w:val="0000ee"/>
            <w:sz w:val="20"/>
            <w:szCs w:val="20"/>
            <w:u w:val="single"/>
            <w:rtl w:val="0"/>
          </w:rPr>
          <w:t xml:space="preserve">https://commercialobserver.com/2019/04/power-50-2019-most-important-figures-of-commercial-real-estate-finance/</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AI Shock Hits Alts: Blackstone, Apollo, KKR, Ares and Blue Owl Defend Private Credit, accessed March 23, 2026, </w:t>
      </w:r>
      <w:hyperlink r:id="rId23">
        <w:r w:rsidDel="00000000" w:rsidR="00000000" w:rsidRPr="00000000">
          <w:rPr>
            <w:rFonts w:ascii="Arial" w:cs="Arial" w:eastAsia="Arial" w:hAnsi="Arial"/>
            <w:color w:val="0000ee"/>
            <w:sz w:val="20"/>
            <w:szCs w:val="20"/>
            <w:u w:val="single"/>
            <w:rtl w:val="0"/>
          </w:rPr>
          <w:t xml:space="preserve">https://www.hedgeco.net/news/02/2026/ai-shock-hits-alts-blackstone-apollo-kkr-ares-and-blue-owl-defend-private-credit.html</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Gary Barnett Extell | Bank OZK | Regional Banks CRE - The Promote Podcast, accessed March 23, 2026, </w:t>
      </w:r>
      <w:hyperlink r:id="rId24">
        <w:r w:rsidDel="00000000" w:rsidR="00000000" w:rsidRPr="00000000">
          <w:rPr>
            <w:rFonts w:ascii="Arial" w:cs="Arial" w:eastAsia="Arial" w:hAnsi="Arial"/>
            <w:color w:val="0000ee"/>
            <w:sz w:val="20"/>
            <w:szCs w:val="20"/>
            <w:u w:val="single"/>
            <w:rtl w:val="0"/>
          </w:rPr>
          <w:t xml:space="preserve">https://www.thepromote.com/p/gary-doing-gary-things-ozk-s-newfound-caution</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Bank OZK Caps New Loans at $500M to Limit Construction Exposure - CRE Daily, accessed March 23, 2026, </w:t>
      </w:r>
      <w:hyperlink r:id="rId25">
        <w:r w:rsidDel="00000000" w:rsidR="00000000" w:rsidRPr="00000000">
          <w:rPr>
            <w:rFonts w:ascii="Arial" w:cs="Arial" w:eastAsia="Arial" w:hAnsi="Arial"/>
            <w:color w:val="0000ee"/>
            <w:sz w:val="20"/>
            <w:szCs w:val="20"/>
            <w:u w:val="single"/>
            <w:rtl w:val="0"/>
          </w:rPr>
          <w:t xml:space="preserve">https://www.credaily.com/newsletters/national/issue/bank-ozk-caps-new-loans-at-500m-to-limit-construction-exposure/</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rFonts w:ascii="Arial" w:cs="Arial" w:eastAsia="Arial" w:hAnsi="Arial"/>
          <w:sz w:val="20"/>
          <w:szCs w:val="20"/>
          <w:rtl w:val="0"/>
        </w:rPr>
        <w:t xml:space="preserve">Term Sheet: Blackstone's $1bn portfolio buy; RFR and Kushner's Brooklyn extension; Deutsche's Miami moves - PERE Credit, accessed March 23, 2026, </w:t>
      </w:r>
      <w:hyperlink r:id="rId26">
        <w:r w:rsidDel="00000000" w:rsidR="00000000" w:rsidRPr="00000000">
          <w:rPr>
            <w:rFonts w:ascii="Arial" w:cs="Arial" w:eastAsia="Arial" w:hAnsi="Arial"/>
            <w:color w:val="0000ee"/>
            <w:sz w:val="20"/>
            <w:szCs w:val="20"/>
            <w:u w:val="single"/>
            <w:rtl w:val="0"/>
          </w:rPr>
          <w:t xml:space="preserve">https://www.perecredit.com/term-sheet-blackstones-1bn-portfolio-buy-rfr-and-kushners-brooklyn-extension-deutsches-miami-moves/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nvestmentweek.co.uk/feature/4526255/blue-owl-liquidity-concerns-spark-questions-about-retail-investor-access-private-credit" TargetMode="External"/><Relationship Id="rId22" Type="http://schemas.openxmlformats.org/officeDocument/2006/relationships/hyperlink" Target="https://commercialobserver.com/2019/04/power-50-2019-most-important-figures-of-commercial-real-estate-finance/" TargetMode="External"/><Relationship Id="rId21" Type="http://schemas.openxmlformats.org/officeDocument/2006/relationships/hyperlink" Target="https://www.perecredit.com/blackstone-closes-515m-loan-for-kushners-jersey-city-mega-development/" TargetMode="External"/><Relationship Id="rId24" Type="http://schemas.openxmlformats.org/officeDocument/2006/relationships/hyperlink" Target="https://www.thepromote.com/p/gary-doing-gary-things-ozk-s-newfound-caution" TargetMode="External"/><Relationship Id="rId23" Type="http://schemas.openxmlformats.org/officeDocument/2006/relationships/hyperlink" Target="https://www.hedgeco.net/news/02/2026/ai-shock-hits-alts-blackstone-apollo-kkr-ares-and-blue-owl-defend-private-credi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nelfin.com/stocks/APO-apollo-global-management-vs-OZK-bank-ozk-compare" TargetMode="External"/><Relationship Id="rId26" Type="http://schemas.openxmlformats.org/officeDocument/2006/relationships/hyperlink" Target="https://www.perecredit.com/term-sheet-blackstones-1bn-portfolio-buy-rfr-and-kushners-brooklyn-extension-deutsches-miami-moves/" TargetMode="External"/><Relationship Id="rId25" Type="http://schemas.openxmlformats.org/officeDocument/2006/relationships/hyperlink" Target="https://www.credaily.com/newsletters/national/issue/bank-ozk-caps-new-loans-at-500m-to-limit-construction-exposur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fool.com/earnings/call-transcripts/2026/01/22/bank-ozk-ozk-q3-2025-earnings-call-transcript/" TargetMode="External"/><Relationship Id="rId8" Type="http://schemas.openxmlformats.org/officeDocument/2006/relationships/hyperlink" Target="https://www.trefis.com/data/companies/OZK" TargetMode="External"/><Relationship Id="rId11" Type="http://schemas.openxmlformats.org/officeDocument/2006/relationships/hyperlink" Target="https://www.sraconsults.com/3q25-bank-earnings-credit-risk-deep-dive-shifting-from-stability-to-specifics/" TargetMode="External"/><Relationship Id="rId10" Type="http://schemas.openxmlformats.org/officeDocument/2006/relationships/hyperlink" Target="https://fundfinanceassociation.com/events/past-events/02-02-26-global-symposium/" TargetMode="External"/><Relationship Id="rId13" Type="http://schemas.openxmlformats.org/officeDocument/2006/relationships/hyperlink" Target="https://www.perecredit.com/bridge-industrial-taps-bank-ozk-mesa-west-consortium-for-413m-construction-loan/" TargetMode="External"/><Relationship Id="rId12" Type="http://schemas.openxmlformats.org/officeDocument/2006/relationships/hyperlink" Target="https://traded.co/deals/california/office/loan/4204-4230-glencoe-avenue-2/" TargetMode="External"/><Relationship Id="rId15" Type="http://schemas.openxmlformats.org/officeDocument/2006/relationships/hyperlink" Target="https://www.perecredit.com/loans-in-focus-blue-owls-wynwood-stake-acores-dc-office-debt-affiniuss-murray-hill-move/" TargetMode="External"/><Relationship Id="rId14" Type="http://schemas.openxmlformats.org/officeDocument/2006/relationships/hyperlink" Target="https://www.decaco.com/news" TargetMode="External"/><Relationship Id="rId17" Type="http://schemas.openxmlformats.org/officeDocument/2006/relationships/hyperlink" Target="https://www.perecredit.com/bank-ozk-related-fund-380m-construction-loan-for-4bn-hines-backed-project/" TargetMode="External"/><Relationship Id="rId16" Type="http://schemas.openxmlformats.org/officeDocument/2006/relationships/hyperlink" Target="https://traded.co/deals/california/office/loan/3609-10th-avenue/" TargetMode="External"/><Relationship Id="rId19" Type="http://schemas.openxmlformats.org/officeDocument/2006/relationships/hyperlink" Target="https://contracts.justia.com/companies/archrock-inc-120/contract/1295846/" TargetMode="External"/><Relationship Id="rId18" Type="http://schemas.openxmlformats.org/officeDocument/2006/relationships/hyperlink" Target="https://www.sec.gov/Archives/edgar/data/1980088/000121390025088361/ea025751501ex10-1_mach.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