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sz w:val="16"/>
          <w:szCs w:val="16"/>
        </w:rPr>
      </w:pPr>
      <w:r w:rsidDel="00000000" w:rsidR="00000000" w:rsidRPr="00000000">
        <w:rPr>
          <w:rFonts w:ascii="Google Sans" w:cs="Google Sans" w:eastAsia="Google Sans" w:hAnsi="Google Sans"/>
          <w:color w:val="1f1f1f"/>
          <w:sz w:val="16"/>
          <w:szCs w:val="16"/>
          <w:rtl w:val="0"/>
        </w:rPr>
        <w:t xml:space="preserve">A Comprehensive Comparative Analysis of Commercial Real Estate Concentration and Credit Resilience in Regional Banking: Q4 2025 Financial Review</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sz w:val="16"/>
          <w:szCs w:val="16"/>
        </w:rPr>
      </w:pPr>
      <w:r w:rsidDel="00000000" w:rsidR="00000000" w:rsidRPr="00000000">
        <w:rPr>
          <w:rFonts w:ascii="Google Sans" w:cs="Google Sans" w:eastAsia="Google Sans" w:hAnsi="Google Sans"/>
          <w:color w:val="1f1f1f"/>
          <w:sz w:val="16"/>
          <w:szCs w:val="16"/>
          <w:rtl w:val="0"/>
        </w:rPr>
        <w:t xml:space="preserve">The regional banking sector at the conclusion of 2025 represents a laboratory of divergent risk management strategies, specifically regarding the exposure to Commercial Real Estate (CRE) and Construction &amp; Development (C&amp;D) lending. As the Federal Reserve maintained a restrictive but normalizing monetary policy through the latter half of the year, including two tactical 25-basis point rate reductions in late 2025, the structural integrity of bank balance sheets faced renewed scrutiny from institutional investors and regulatory bodies alike.</w:t>
      </w:r>
      <w:r w:rsidDel="00000000" w:rsidR="00000000" w:rsidRPr="00000000">
        <w:rPr>
          <w:rFonts w:ascii="Google Sans" w:cs="Google Sans" w:eastAsia="Google Sans" w:hAnsi="Google Sans"/>
          <w:color w:val="444746"/>
          <w:sz w:val="16"/>
          <w:szCs w:val="16"/>
          <w:vertAlign w:val="superscript"/>
          <w:rtl w:val="0"/>
        </w:rPr>
        <w:t xml:space="preserve">1</w:t>
      </w:r>
      <w:r w:rsidDel="00000000" w:rsidR="00000000" w:rsidRPr="00000000">
        <w:rPr>
          <w:rFonts w:ascii="Google Sans" w:cs="Google Sans" w:eastAsia="Google Sans" w:hAnsi="Google Sans"/>
          <w:color w:val="1f1f1f"/>
          <w:sz w:val="16"/>
          <w:szCs w:val="16"/>
          <w:rtl w:val="0"/>
        </w:rPr>
        <w:t xml:space="preserve"> This report provides an exhaustive technical and narrative evaluation of eight prominent regional institutions: Bank OZK (OZK), Western Alliance Bancorporation (WAL), Zions Bancorporation (ZION), Columbia Banking System (COLB), FNB Corporation (FNB), East West Bancorp (EWBC), Huntington Bancshares (HBAN), and Truist Financial Corporation (TFC).</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sz w:val="16"/>
          <w:szCs w:val="16"/>
        </w:rPr>
      </w:pPr>
      <w:r w:rsidDel="00000000" w:rsidR="00000000" w:rsidRPr="00000000">
        <w:rPr>
          <w:rFonts w:ascii="Google Sans" w:cs="Google Sans" w:eastAsia="Google Sans" w:hAnsi="Google Sans"/>
          <w:color w:val="1f1f1f"/>
          <w:sz w:val="16"/>
          <w:szCs w:val="16"/>
          <w:rtl w:val="0"/>
        </w:rPr>
        <w:t xml:space="preserve">The analysis focuses on the pivotal intersection of capital adequacy and credit quality, particularly how specialized lending models—most notably the one employed by Bank OZK—deviate from more diversified super-regional frameworks. By benchmarking these institutions against key metrics including the Total CRE to Risk-Based Capital ratio, Allowance for Credit Losses (ACL), and noncurrent loan performance, this report identifies the leaders and laggards in the current credit cycle and evaluates the idiosyncratic factors that define Bank OZK as the primary outlier in the national banking landscape.</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sz w:val="16"/>
          <w:szCs w:val="16"/>
        </w:rPr>
      </w:pPr>
      <w:r w:rsidDel="00000000" w:rsidR="00000000" w:rsidRPr="00000000">
        <w:rPr>
          <w:rFonts w:ascii="Google Sans" w:cs="Google Sans" w:eastAsia="Google Sans" w:hAnsi="Google Sans"/>
          <w:color w:val="1f1f1f"/>
          <w:sz w:val="16"/>
          <w:szCs w:val="16"/>
          <w:rtl w:val="0"/>
        </w:rPr>
        <w:t xml:space="preserve">Comparative Benchmarking and Institutional Ranking: Q4 2025 Data</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sz w:val="16"/>
          <w:szCs w:val="16"/>
        </w:rPr>
      </w:pPr>
      <w:r w:rsidDel="00000000" w:rsidR="00000000" w:rsidRPr="00000000">
        <w:rPr>
          <w:rFonts w:ascii="Google Sans" w:cs="Google Sans" w:eastAsia="Google Sans" w:hAnsi="Google Sans"/>
          <w:color w:val="1f1f1f"/>
          <w:sz w:val="16"/>
          <w:szCs w:val="16"/>
          <w:rtl w:val="0"/>
        </w:rPr>
        <w:t xml:space="preserve">The primary metric for evaluating systemic vulnerability within the regional banking cohort is the concentration of commercial real estate exposure relative to total risk-based capital. Regulatory guidelines traditionally suggest that institutions exceeding 300% in total CRE concentration or 100% in construction lending concentration merit enhanced supervisory oversight. In the current environment, these thresholds serve as a dividing line between specialized credit providers and diversified commercial lenders.</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sz w:val="16"/>
          <w:szCs w:val="16"/>
        </w:rPr>
      </w:pPr>
      <w:r w:rsidDel="00000000" w:rsidR="00000000" w:rsidRPr="00000000">
        <w:rPr>
          <w:rFonts w:ascii="Google Sans" w:cs="Google Sans" w:eastAsia="Google Sans" w:hAnsi="Google Sans"/>
          <w:color w:val="1f1f1f"/>
          <w:sz w:val="16"/>
          <w:szCs w:val="16"/>
          <w:rtl w:val="0"/>
        </w:rPr>
        <w:t xml:space="preserve">Table 1: Comparative CRE Concentration and Asset Quality Metrics (Q4 2025)</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sz w:val="16"/>
          <w:szCs w:val="16"/>
        </w:rPr>
      </w:pPr>
      <w:r w:rsidDel="00000000" w:rsidR="00000000" w:rsidRPr="00000000">
        <w:rPr>
          <w:rFonts w:ascii="Google Sans" w:cs="Google Sans" w:eastAsia="Google Sans" w:hAnsi="Google Sans"/>
          <w:color w:val="1f1f1f"/>
          <w:sz w:val="16"/>
          <w:szCs w:val="16"/>
          <w:rtl w:val="0"/>
        </w:rPr>
        <w:t xml:space="preserve">The following table presents a standardized comparison of the target institutions, ranked from highest to lowest by Total CRE concentration as a percentage of Total Risk-Based Capital.</w:t>
      </w:r>
    </w:p>
    <w:tbl>
      <w:tblPr>
        <w:tblStyle w:val="Table1"/>
        <w:tblW w:w="9360.000000000002"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337.1428571428573"/>
        <w:gridCol w:w="1337.1428571428573"/>
        <w:gridCol w:w="1337.1428571428573"/>
        <w:gridCol w:w="1337.1428571428573"/>
        <w:gridCol w:w="1337.1428571428573"/>
        <w:gridCol w:w="1337.1428571428573"/>
        <w:gridCol w:w="1337.1428571428573"/>
        <w:tblGridChange w:id="0">
          <w:tblGrid>
            <w:gridCol w:w="1337.1428571428573"/>
            <w:gridCol w:w="1337.1428571428573"/>
            <w:gridCol w:w="1337.1428571428573"/>
            <w:gridCol w:w="1337.1428571428573"/>
            <w:gridCol w:w="1337.1428571428573"/>
            <w:gridCol w:w="1337.1428571428573"/>
            <w:gridCol w:w="1337.1428571428573"/>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sz w:val="16"/>
                <w:szCs w:val="16"/>
              </w:rPr>
            </w:pPr>
            <w:r w:rsidDel="00000000" w:rsidR="00000000" w:rsidRPr="00000000">
              <w:rPr>
                <w:rFonts w:ascii="Google Sans" w:cs="Google Sans" w:eastAsia="Google Sans" w:hAnsi="Google Sans"/>
                <w:b w:val="1"/>
                <w:bCs w:val="1"/>
                <w:color w:val="1f1f1f"/>
                <w:sz w:val="16"/>
                <w:szCs w:val="16"/>
                <w:rtl w:val="0"/>
              </w:rPr>
              <w:t xml:space="preserve">Institution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sz w:val="16"/>
                <w:szCs w:val="16"/>
              </w:rPr>
            </w:pPr>
            <w:r w:rsidDel="00000000" w:rsidR="00000000" w:rsidRPr="00000000">
              <w:rPr>
                <w:rFonts w:ascii="Google Sans" w:cs="Google Sans" w:eastAsia="Google Sans" w:hAnsi="Google Sans"/>
                <w:b w:val="1"/>
                <w:bCs w:val="1"/>
                <w:color w:val="1f1f1f"/>
                <w:sz w:val="16"/>
                <w:szCs w:val="16"/>
                <w:rtl w:val="0"/>
              </w:rPr>
              <w:t xml:space="preserve">Total CRE / Total Risk-Based Capital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sz w:val="16"/>
                <w:szCs w:val="16"/>
              </w:rPr>
            </w:pPr>
            <w:r w:rsidDel="00000000" w:rsidR="00000000" w:rsidRPr="00000000">
              <w:rPr>
                <w:rFonts w:ascii="Google Sans" w:cs="Google Sans" w:eastAsia="Google Sans" w:hAnsi="Google Sans"/>
                <w:b w:val="1"/>
                <w:bCs w:val="1"/>
                <w:color w:val="1f1f1f"/>
                <w:sz w:val="16"/>
                <w:szCs w:val="16"/>
                <w:rtl w:val="0"/>
              </w:rPr>
              <w:t xml:space="preserve">C&amp;D / Total Risk-Based Capital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sz w:val="16"/>
                <w:szCs w:val="16"/>
              </w:rPr>
            </w:pPr>
            <w:r w:rsidDel="00000000" w:rsidR="00000000" w:rsidRPr="00000000">
              <w:rPr>
                <w:rFonts w:ascii="Google Sans" w:cs="Google Sans" w:eastAsia="Google Sans" w:hAnsi="Google Sans"/>
                <w:b w:val="1"/>
                <w:bCs w:val="1"/>
                <w:color w:val="1f1f1f"/>
                <w:sz w:val="16"/>
                <w:szCs w:val="16"/>
                <w:rtl w:val="0"/>
              </w:rPr>
              <w:t xml:space="preserve">ACL as % of Total Loans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sz w:val="16"/>
                <w:szCs w:val="16"/>
              </w:rPr>
            </w:pPr>
            <w:r w:rsidDel="00000000" w:rsidR="00000000" w:rsidRPr="00000000">
              <w:rPr>
                <w:rFonts w:ascii="Google Sans" w:cs="Google Sans" w:eastAsia="Google Sans" w:hAnsi="Google Sans"/>
                <w:b w:val="1"/>
                <w:bCs w:val="1"/>
                <w:color w:val="1f1f1f"/>
                <w:sz w:val="16"/>
                <w:szCs w:val="16"/>
                <w:rtl w:val="0"/>
              </w:rPr>
              <w:t xml:space="preserve">Annualized Net Charge-Off (NCO) Rate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sz w:val="16"/>
                <w:szCs w:val="16"/>
              </w:rPr>
            </w:pPr>
            <w:r w:rsidDel="00000000" w:rsidR="00000000" w:rsidRPr="00000000">
              <w:rPr>
                <w:rFonts w:ascii="Google Sans" w:cs="Google Sans" w:eastAsia="Google Sans" w:hAnsi="Google Sans"/>
                <w:b w:val="1"/>
                <w:bCs w:val="1"/>
                <w:color w:val="1f1f1f"/>
                <w:sz w:val="16"/>
                <w:szCs w:val="16"/>
                <w:rtl w:val="0"/>
              </w:rPr>
              <w:t xml:space="preserve">Noncurrent Loan Ratio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sz w:val="16"/>
                <w:szCs w:val="16"/>
              </w:rPr>
            </w:pPr>
            <w:r w:rsidDel="00000000" w:rsidR="00000000" w:rsidRPr="00000000">
              <w:rPr>
                <w:rFonts w:ascii="Google Sans" w:cs="Google Sans" w:eastAsia="Google Sans" w:hAnsi="Google Sans"/>
                <w:b w:val="1"/>
                <w:bCs w:val="1"/>
                <w:color w:val="1f1f1f"/>
                <w:sz w:val="16"/>
                <w:szCs w:val="16"/>
                <w:rtl w:val="0"/>
              </w:rPr>
              <w:t xml:space="preserve">ACL / Noncurrent Coverage Ratio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sz w:val="16"/>
                <w:szCs w:val="16"/>
              </w:rPr>
            </w:pPr>
            <w:r w:rsidDel="00000000" w:rsidR="00000000" w:rsidRPr="00000000">
              <w:rPr>
                <w:rFonts w:ascii="Google Sans" w:cs="Google Sans" w:eastAsia="Google Sans" w:hAnsi="Google Sans"/>
                <w:b w:val="1"/>
                <w:bCs w:val="1"/>
                <w:color w:val="1f1f1f"/>
                <w:sz w:val="16"/>
                <w:szCs w:val="16"/>
                <w:rtl w:val="0"/>
              </w:rPr>
              <w:t xml:space="preserve">Bank OZK (OZK)</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sz w:val="16"/>
                <w:szCs w:val="16"/>
              </w:rPr>
            </w:pPr>
            <w:r w:rsidDel="00000000" w:rsidR="00000000" w:rsidRPr="00000000">
              <w:rPr>
                <w:rFonts w:ascii="Google Sans" w:cs="Google Sans" w:eastAsia="Google Sans" w:hAnsi="Google Sans"/>
                <w:color w:val="1f1f1f"/>
                <w:sz w:val="16"/>
                <w:szCs w:val="16"/>
                <w:rtl w:val="0"/>
              </w:rPr>
              <w:t xml:space="preserve">486.2%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sz w:val="16"/>
                <w:szCs w:val="16"/>
              </w:rPr>
            </w:pPr>
            <w:r w:rsidDel="00000000" w:rsidR="00000000" w:rsidRPr="00000000">
              <w:rPr>
                <w:rFonts w:ascii="Google Sans" w:cs="Google Sans" w:eastAsia="Google Sans" w:hAnsi="Google Sans"/>
                <w:color w:val="1f1f1f"/>
                <w:sz w:val="16"/>
                <w:szCs w:val="16"/>
                <w:rtl w:val="0"/>
              </w:rPr>
              <w:t xml:space="preserve">314.5%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sz w:val="16"/>
                <w:szCs w:val="16"/>
              </w:rPr>
            </w:pPr>
            <w:r w:rsidDel="00000000" w:rsidR="00000000" w:rsidRPr="00000000">
              <w:rPr>
                <w:rFonts w:ascii="Google Sans" w:cs="Google Sans" w:eastAsia="Google Sans" w:hAnsi="Google Sans"/>
                <w:color w:val="1f1f1f"/>
                <w:sz w:val="16"/>
                <w:szCs w:val="16"/>
                <w:rtl w:val="0"/>
              </w:rPr>
              <w:t xml:space="preserve">1.48%</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sz w:val="16"/>
                <w:szCs w:val="16"/>
              </w:rPr>
            </w:pPr>
            <w:r w:rsidDel="00000000" w:rsidR="00000000" w:rsidRPr="00000000">
              <w:rPr>
                <w:rFonts w:ascii="Google Sans" w:cs="Google Sans" w:eastAsia="Google Sans" w:hAnsi="Google Sans"/>
                <w:color w:val="1f1f1f"/>
                <w:sz w:val="16"/>
                <w:szCs w:val="16"/>
                <w:rtl w:val="0"/>
              </w:rPr>
              <w:t xml:space="preserve">0.26%</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sz w:val="16"/>
                <w:szCs w:val="16"/>
              </w:rPr>
            </w:pPr>
            <w:r w:rsidDel="00000000" w:rsidR="00000000" w:rsidRPr="00000000">
              <w:rPr>
                <w:rFonts w:ascii="Google Sans" w:cs="Google Sans" w:eastAsia="Google Sans" w:hAnsi="Google Sans"/>
                <w:color w:val="1f1f1f"/>
                <w:sz w:val="16"/>
                <w:szCs w:val="16"/>
                <w:rtl w:val="0"/>
              </w:rPr>
              <w:t xml:space="preserve">0.38%</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sz w:val="16"/>
                <w:szCs w:val="16"/>
              </w:rPr>
            </w:pPr>
            <w:r w:rsidDel="00000000" w:rsidR="00000000" w:rsidRPr="00000000">
              <w:rPr>
                <w:rFonts w:ascii="Google Sans" w:cs="Google Sans" w:eastAsia="Google Sans" w:hAnsi="Google Sans"/>
                <w:color w:val="1f1f1f"/>
                <w:sz w:val="16"/>
                <w:szCs w:val="16"/>
                <w:rtl w:val="0"/>
              </w:rPr>
              <w:t xml:space="preserve">389.5%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sz w:val="16"/>
                <w:szCs w:val="16"/>
              </w:rPr>
            </w:pPr>
            <w:r w:rsidDel="00000000" w:rsidR="00000000" w:rsidRPr="00000000">
              <w:rPr>
                <w:rFonts w:ascii="Google Sans" w:cs="Google Sans" w:eastAsia="Google Sans" w:hAnsi="Google Sans"/>
                <w:b w:val="1"/>
                <w:bCs w:val="1"/>
                <w:color w:val="1f1f1f"/>
                <w:sz w:val="16"/>
                <w:szCs w:val="16"/>
                <w:rtl w:val="0"/>
              </w:rPr>
              <w:t xml:space="preserve">East West (EWBC)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sz w:val="16"/>
                <w:szCs w:val="16"/>
              </w:rPr>
            </w:pPr>
            <w:r w:rsidDel="00000000" w:rsidR="00000000" w:rsidRPr="00000000">
              <w:rPr>
                <w:rFonts w:ascii="Google Sans" w:cs="Google Sans" w:eastAsia="Google Sans" w:hAnsi="Google Sans"/>
                <w:color w:val="1f1f1f"/>
                <w:sz w:val="16"/>
                <w:szCs w:val="16"/>
                <w:rtl w:val="0"/>
              </w:rPr>
              <w:t xml:space="preserve">161.4%</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sz w:val="16"/>
                <w:szCs w:val="16"/>
              </w:rPr>
            </w:pPr>
            <w:r w:rsidDel="00000000" w:rsidR="00000000" w:rsidRPr="00000000">
              <w:rPr>
                <w:rFonts w:ascii="Google Sans" w:cs="Google Sans" w:eastAsia="Google Sans" w:hAnsi="Google Sans"/>
                <w:color w:val="1f1f1f"/>
                <w:sz w:val="16"/>
                <w:szCs w:val="16"/>
                <w:rtl w:val="0"/>
              </w:rPr>
              <w:t xml:space="preserve">6.1%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sz w:val="16"/>
                <w:szCs w:val="16"/>
              </w:rPr>
            </w:pPr>
            <w:r w:rsidDel="00000000" w:rsidR="00000000" w:rsidRPr="00000000">
              <w:rPr>
                <w:rFonts w:ascii="Google Sans" w:cs="Google Sans" w:eastAsia="Google Sans" w:hAnsi="Google Sans"/>
                <w:color w:val="1f1f1f"/>
                <w:sz w:val="16"/>
                <w:szCs w:val="16"/>
                <w:rtl w:val="0"/>
              </w:rPr>
              <w:t xml:space="preserve">1.42%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sz w:val="16"/>
                <w:szCs w:val="16"/>
              </w:rPr>
            </w:pPr>
            <w:r w:rsidDel="00000000" w:rsidR="00000000" w:rsidRPr="00000000">
              <w:rPr>
                <w:rFonts w:ascii="Google Sans" w:cs="Google Sans" w:eastAsia="Google Sans" w:hAnsi="Google Sans"/>
                <w:color w:val="1f1f1f"/>
                <w:sz w:val="16"/>
                <w:szCs w:val="16"/>
                <w:rtl w:val="0"/>
              </w:rPr>
              <w:t xml:space="preserve">0.11%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sz w:val="16"/>
                <w:szCs w:val="16"/>
              </w:rPr>
            </w:pPr>
            <w:r w:rsidDel="00000000" w:rsidR="00000000" w:rsidRPr="00000000">
              <w:rPr>
                <w:rFonts w:ascii="Google Sans" w:cs="Google Sans" w:eastAsia="Google Sans" w:hAnsi="Google Sans"/>
                <w:color w:val="1f1f1f"/>
                <w:sz w:val="16"/>
                <w:szCs w:val="16"/>
                <w:rtl w:val="0"/>
              </w:rPr>
              <w:t xml:space="preserve">0.26%</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sz w:val="16"/>
                <w:szCs w:val="16"/>
              </w:rPr>
            </w:pPr>
            <w:r w:rsidDel="00000000" w:rsidR="00000000" w:rsidRPr="00000000">
              <w:rPr>
                <w:rFonts w:ascii="Google Sans" w:cs="Google Sans" w:eastAsia="Google Sans" w:hAnsi="Google Sans"/>
                <w:color w:val="1f1f1f"/>
                <w:sz w:val="16"/>
                <w:szCs w:val="16"/>
                <w:rtl w:val="0"/>
              </w:rPr>
              <w:t xml:space="preserve">546.2%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sz w:val="16"/>
                <w:szCs w:val="16"/>
              </w:rPr>
            </w:pPr>
            <w:r w:rsidDel="00000000" w:rsidR="00000000" w:rsidRPr="00000000">
              <w:rPr>
                <w:rFonts w:ascii="Google Sans" w:cs="Google Sans" w:eastAsia="Google Sans" w:hAnsi="Google Sans"/>
                <w:b w:val="1"/>
                <w:bCs w:val="1"/>
                <w:color w:val="1f1f1f"/>
                <w:sz w:val="16"/>
                <w:szCs w:val="16"/>
                <w:rtl w:val="0"/>
              </w:rPr>
              <w:t xml:space="preserve">Western Alliance (WAL)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sz w:val="16"/>
                <w:szCs w:val="16"/>
              </w:rPr>
            </w:pPr>
            <w:r w:rsidDel="00000000" w:rsidR="00000000" w:rsidRPr="00000000">
              <w:rPr>
                <w:rFonts w:ascii="Google Sans" w:cs="Google Sans" w:eastAsia="Google Sans" w:hAnsi="Google Sans"/>
                <w:color w:val="1f1f1f"/>
                <w:sz w:val="16"/>
                <w:szCs w:val="16"/>
                <w:rtl w:val="0"/>
              </w:rPr>
              <w:t xml:space="preserve">158.7%</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sz w:val="16"/>
                <w:szCs w:val="16"/>
              </w:rPr>
            </w:pPr>
            <w:r w:rsidDel="00000000" w:rsidR="00000000" w:rsidRPr="00000000">
              <w:rPr>
                <w:rFonts w:ascii="Google Sans" w:cs="Google Sans" w:eastAsia="Google Sans" w:hAnsi="Google Sans"/>
                <w:color w:val="1f1f1f"/>
                <w:sz w:val="16"/>
                <w:szCs w:val="16"/>
                <w:rtl w:val="0"/>
              </w:rPr>
              <w:t xml:space="preserve">18.7%</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sz w:val="16"/>
                <w:szCs w:val="16"/>
              </w:rPr>
            </w:pPr>
            <w:r w:rsidDel="00000000" w:rsidR="00000000" w:rsidRPr="00000000">
              <w:rPr>
                <w:rFonts w:ascii="Google Sans" w:cs="Google Sans" w:eastAsia="Google Sans" w:hAnsi="Google Sans"/>
                <w:color w:val="1f1f1f"/>
                <w:sz w:val="16"/>
                <w:szCs w:val="16"/>
                <w:rtl w:val="0"/>
              </w:rPr>
              <w:t xml:space="preserve">0.87%</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sz w:val="16"/>
                <w:szCs w:val="16"/>
              </w:rPr>
            </w:pPr>
            <w:r w:rsidDel="00000000" w:rsidR="00000000" w:rsidRPr="00000000">
              <w:rPr>
                <w:rFonts w:ascii="Google Sans" w:cs="Google Sans" w:eastAsia="Google Sans" w:hAnsi="Google Sans"/>
                <w:color w:val="1f1f1f"/>
                <w:sz w:val="16"/>
                <w:szCs w:val="16"/>
                <w:rtl w:val="0"/>
              </w:rPr>
              <w:t xml:space="preserve">0.31%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sz w:val="16"/>
                <w:szCs w:val="16"/>
              </w:rPr>
            </w:pPr>
            <w:r w:rsidDel="00000000" w:rsidR="00000000" w:rsidRPr="00000000">
              <w:rPr>
                <w:rFonts w:ascii="Google Sans" w:cs="Google Sans" w:eastAsia="Google Sans" w:hAnsi="Google Sans"/>
                <w:color w:val="1f1f1f"/>
                <w:sz w:val="16"/>
                <w:szCs w:val="16"/>
                <w:rtl w:val="0"/>
              </w:rPr>
              <w:t xml:space="preserve">0.85%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sz w:val="16"/>
                <w:szCs w:val="16"/>
              </w:rPr>
            </w:pPr>
            <w:r w:rsidDel="00000000" w:rsidR="00000000" w:rsidRPr="00000000">
              <w:rPr>
                <w:rFonts w:ascii="Google Sans" w:cs="Google Sans" w:eastAsia="Google Sans" w:hAnsi="Google Sans"/>
                <w:color w:val="1f1f1f"/>
                <w:sz w:val="16"/>
                <w:szCs w:val="16"/>
                <w:rtl w:val="0"/>
              </w:rPr>
              <w:t xml:space="preserve">102.4%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sz w:val="16"/>
                <w:szCs w:val="16"/>
              </w:rPr>
            </w:pPr>
            <w:r w:rsidDel="00000000" w:rsidR="00000000" w:rsidRPr="00000000">
              <w:rPr>
                <w:rFonts w:ascii="Google Sans" w:cs="Google Sans" w:eastAsia="Google Sans" w:hAnsi="Google Sans"/>
                <w:b w:val="1"/>
                <w:bCs w:val="1"/>
                <w:color w:val="1f1f1f"/>
                <w:sz w:val="16"/>
                <w:szCs w:val="16"/>
                <w:rtl w:val="0"/>
              </w:rPr>
              <w:t xml:space="preserve">Columbia (COLB)</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sz w:val="16"/>
                <w:szCs w:val="16"/>
              </w:rPr>
            </w:pPr>
            <w:r w:rsidDel="00000000" w:rsidR="00000000" w:rsidRPr="00000000">
              <w:rPr>
                <w:rFonts w:ascii="Google Sans" w:cs="Google Sans" w:eastAsia="Google Sans" w:hAnsi="Google Sans"/>
                <w:color w:val="1f1f1f"/>
                <w:sz w:val="16"/>
                <w:szCs w:val="16"/>
                <w:rtl w:val="0"/>
              </w:rPr>
              <w:t xml:space="preserve">142.1%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sz w:val="16"/>
                <w:szCs w:val="16"/>
              </w:rPr>
            </w:pPr>
            <w:r w:rsidDel="00000000" w:rsidR="00000000" w:rsidRPr="00000000">
              <w:rPr>
                <w:rFonts w:ascii="Google Sans" w:cs="Google Sans" w:eastAsia="Google Sans" w:hAnsi="Google Sans"/>
                <w:color w:val="1f1f1f"/>
                <w:sz w:val="16"/>
                <w:szCs w:val="16"/>
                <w:rtl w:val="0"/>
              </w:rPr>
              <w:t xml:space="preserve">12.8%</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sz w:val="16"/>
                <w:szCs w:val="16"/>
              </w:rPr>
            </w:pPr>
            <w:r w:rsidDel="00000000" w:rsidR="00000000" w:rsidRPr="00000000">
              <w:rPr>
                <w:rFonts w:ascii="Google Sans" w:cs="Google Sans" w:eastAsia="Google Sans" w:hAnsi="Google Sans"/>
                <w:color w:val="1f1f1f"/>
                <w:sz w:val="16"/>
                <w:szCs w:val="16"/>
                <w:rtl w:val="0"/>
              </w:rPr>
              <w:t xml:space="preserve">1.02%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sz w:val="16"/>
                <w:szCs w:val="16"/>
              </w:rPr>
            </w:pPr>
            <w:r w:rsidDel="00000000" w:rsidR="00000000" w:rsidRPr="00000000">
              <w:rPr>
                <w:rFonts w:ascii="Google Sans" w:cs="Google Sans" w:eastAsia="Google Sans" w:hAnsi="Google Sans"/>
                <w:color w:val="1f1f1f"/>
                <w:sz w:val="16"/>
                <w:szCs w:val="16"/>
                <w:rtl w:val="0"/>
              </w:rPr>
              <w:t xml:space="preserve">0.25%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sz w:val="16"/>
                <w:szCs w:val="16"/>
              </w:rPr>
            </w:pPr>
            <w:r w:rsidDel="00000000" w:rsidR="00000000" w:rsidRPr="00000000">
              <w:rPr>
                <w:rFonts w:ascii="Google Sans" w:cs="Google Sans" w:eastAsia="Google Sans" w:hAnsi="Google Sans"/>
                <w:color w:val="1f1f1f"/>
                <w:sz w:val="16"/>
                <w:szCs w:val="16"/>
                <w:rtl w:val="0"/>
              </w:rPr>
              <w:t xml:space="preserve">0.30%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sz w:val="16"/>
                <w:szCs w:val="16"/>
              </w:rPr>
            </w:pPr>
            <w:r w:rsidDel="00000000" w:rsidR="00000000" w:rsidRPr="00000000">
              <w:rPr>
                <w:rFonts w:ascii="Google Sans" w:cs="Google Sans" w:eastAsia="Google Sans" w:hAnsi="Google Sans"/>
                <w:color w:val="1f1f1f"/>
                <w:sz w:val="16"/>
                <w:szCs w:val="16"/>
                <w:rtl w:val="0"/>
              </w:rPr>
              <w:t xml:space="preserve">340.0%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sz w:val="16"/>
                <w:szCs w:val="16"/>
              </w:rPr>
            </w:pPr>
            <w:r w:rsidDel="00000000" w:rsidR="00000000" w:rsidRPr="00000000">
              <w:rPr>
                <w:rFonts w:ascii="Google Sans" w:cs="Google Sans" w:eastAsia="Google Sans" w:hAnsi="Google Sans"/>
                <w:b w:val="1"/>
                <w:bCs w:val="1"/>
                <w:color w:val="1f1f1f"/>
                <w:sz w:val="16"/>
                <w:szCs w:val="16"/>
                <w:rtl w:val="0"/>
              </w:rPr>
              <w:t xml:space="preserve">FNB Corp (FNB)</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sz w:val="16"/>
                <w:szCs w:val="16"/>
              </w:rPr>
            </w:pPr>
            <w:r w:rsidDel="00000000" w:rsidR="00000000" w:rsidRPr="00000000">
              <w:rPr>
                <w:rFonts w:ascii="Google Sans" w:cs="Google Sans" w:eastAsia="Google Sans" w:hAnsi="Google Sans"/>
                <w:color w:val="1f1f1f"/>
                <w:sz w:val="16"/>
                <w:szCs w:val="16"/>
                <w:rtl w:val="0"/>
              </w:rPr>
              <w:t xml:space="preserve">138.5%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sz w:val="16"/>
                <w:szCs w:val="16"/>
              </w:rPr>
            </w:pPr>
            <w:r w:rsidDel="00000000" w:rsidR="00000000" w:rsidRPr="00000000">
              <w:rPr>
                <w:rFonts w:ascii="Google Sans" w:cs="Google Sans" w:eastAsia="Google Sans" w:hAnsi="Google Sans"/>
                <w:color w:val="1f1f1f"/>
                <w:sz w:val="16"/>
                <w:szCs w:val="16"/>
                <w:rtl w:val="0"/>
              </w:rPr>
              <w:t xml:space="preserve">22.1%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sz w:val="16"/>
                <w:szCs w:val="16"/>
              </w:rPr>
            </w:pPr>
            <w:r w:rsidDel="00000000" w:rsidR="00000000" w:rsidRPr="00000000">
              <w:rPr>
                <w:rFonts w:ascii="Google Sans" w:cs="Google Sans" w:eastAsia="Google Sans" w:hAnsi="Google Sans"/>
                <w:color w:val="1f1f1f"/>
                <w:sz w:val="16"/>
                <w:szCs w:val="16"/>
                <w:rtl w:val="0"/>
              </w:rPr>
              <w:t xml:space="preserve">1.25%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sz w:val="16"/>
                <w:szCs w:val="16"/>
              </w:rPr>
            </w:pPr>
            <w:r w:rsidDel="00000000" w:rsidR="00000000" w:rsidRPr="00000000">
              <w:rPr>
                <w:rFonts w:ascii="Google Sans" w:cs="Google Sans" w:eastAsia="Google Sans" w:hAnsi="Google Sans"/>
                <w:color w:val="1f1f1f"/>
                <w:sz w:val="16"/>
                <w:szCs w:val="16"/>
                <w:rtl w:val="0"/>
              </w:rPr>
              <w:t xml:space="preserve">0.19%</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sz w:val="16"/>
                <w:szCs w:val="16"/>
              </w:rPr>
            </w:pPr>
            <w:r w:rsidDel="00000000" w:rsidR="00000000" w:rsidRPr="00000000">
              <w:rPr>
                <w:rFonts w:ascii="Google Sans" w:cs="Google Sans" w:eastAsia="Google Sans" w:hAnsi="Google Sans"/>
                <w:color w:val="1f1f1f"/>
                <w:sz w:val="16"/>
                <w:szCs w:val="16"/>
                <w:rtl w:val="0"/>
              </w:rPr>
              <w:t xml:space="preserve">0.31%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sz w:val="16"/>
                <w:szCs w:val="16"/>
              </w:rPr>
            </w:pPr>
            <w:r w:rsidDel="00000000" w:rsidR="00000000" w:rsidRPr="00000000">
              <w:rPr>
                <w:rFonts w:ascii="Google Sans" w:cs="Google Sans" w:eastAsia="Google Sans" w:hAnsi="Google Sans"/>
                <w:color w:val="1f1f1f"/>
                <w:sz w:val="16"/>
                <w:szCs w:val="16"/>
                <w:rtl w:val="0"/>
              </w:rPr>
              <w:t xml:space="preserve">403.2%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sz w:val="16"/>
                <w:szCs w:val="16"/>
              </w:rPr>
            </w:pPr>
            <w:r w:rsidDel="00000000" w:rsidR="00000000" w:rsidRPr="00000000">
              <w:rPr>
                <w:rFonts w:ascii="Google Sans" w:cs="Google Sans" w:eastAsia="Google Sans" w:hAnsi="Google Sans"/>
                <w:b w:val="1"/>
                <w:bCs w:val="1"/>
                <w:color w:val="1f1f1f"/>
                <w:sz w:val="16"/>
                <w:szCs w:val="16"/>
                <w:rtl w:val="0"/>
              </w:rPr>
              <w:t xml:space="preserve">Zions (ZION)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sz w:val="16"/>
                <w:szCs w:val="16"/>
              </w:rPr>
            </w:pPr>
            <w:r w:rsidDel="00000000" w:rsidR="00000000" w:rsidRPr="00000000">
              <w:rPr>
                <w:rFonts w:ascii="Google Sans" w:cs="Google Sans" w:eastAsia="Google Sans" w:hAnsi="Google Sans"/>
                <w:color w:val="1f1f1f"/>
                <w:sz w:val="16"/>
                <w:szCs w:val="16"/>
                <w:rtl w:val="0"/>
              </w:rPr>
              <w:t xml:space="preserve">124.1%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sz w:val="16"/>
                <w:szCs w:val="16"/>
              </w:rPr>
            </w:pPr>
            <w:r w:rsidDel="00000000" w:rsidR="00000000" w:rsidRPr="00000000">
              <w:rPr>
                <w:rFonts w:ascii="Google Sans" w:cs="Google Sans" w:eastAsia="Google Sans" w:hAnsi="Google Sans"/>
                <w:color w:val="1f1f1f"/>
                <w:sz w:val="16"/>
                <w:szCs w:val="16"/>
                <w:rtl w:val="0"/>
              </w:rPr>
              <w:t xml:space="preserve">19.8%</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sz w:val="16"/>
                <w:szCs w:val="16"/>
              </w:rPr>
            </w:pPr>
            <w:r w:rsidDel="00000000" w:rsidR="00000000" w:rsidRPr="00000000">
              <w:rPr>
                <w:rFonts w:ascii="Google Sans" w:cs="Google Sans" w:eastAsia="Google Sans" w:hAnsi="Google Sans"/>
                <w:color w:val="1f1f1f"/>
                <w:sz w:val="16"/>
                <w:szCs w:val="16"/>
                <w:rtl w:val="0"/>
              </w:rPr>
              <w:t xml:space="preserve">1.35%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sz w:val="16"/>
                <w:szCs w:val="16"/>
              </w:rPr>
            </w:pPr>
            <w:r w:rsidDel="00000000" w:rsidR="00000000" w:rsidRPr="00000000">
              <w:rPr>
                <w:rFonts w:ascii="Google Sans" w:cs="Google Sans" w:eastAsia="Google Sans" w:hAnsi="Google Sans"/>
                <w:color w:val="1f1f1f"/>
                <w:sz w:val="16"/>
                <w:szCs w:val="16"/>
                <w:rtl w:val="0"/>
              </w:rPr>
              <w:t xml:space="preserve">0.05%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sz w:val="16"/>
                <w:szCs w:val="16"/>
              </w:rPr>
            </w:pPr>
            <w:r w:rsidDel="00000000" w:rsidR="00000000" w:rsidRPr="00000000">
              <w:rPr>
                <w:rFonts w:ascii="Google Sans" w:cs="Google Sans" w:eastAsia="Google Sans" w:hAnsi="Google Sans"/>
                <w:color w:val="1f1f1f"/>
                <w:sz w:val="16"/>
                <w:szCs w:val="16"/>
                <w:rtl w:val="0"/>
              </w:rPr>
              <w:t xml:space="preserve">0.52%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sz w:val="16"/>
                <w:szCs w:val="16"/>
              </w:rPr>
            </w:pPr>
            <w:r w:rsidDel="00000000" w:rsidR="00000000" w:rsidRPr="00000000">
              <w:rPr>
                <w:rFonts w:ascii="Google Sans" w:cs="Google Sans" w:eastAsia="Google Sans" w:hAnsi="Google Sans"/>
                <w:color w:val="1f1f1f"/>
                <w:sz w:val="16"/>
                <w:szCs w:val="16"/>
                <w:rtl w:val="0"/>
              </w:rPr>
              <w:t xml:space="preserve">259.6%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sz w:val="16"/>
                <w:szCs w:val="16"/>
              </w:rPr>
            </w:pPr>
            <w:r w:rsidDel="00000000" w:rsidR="00000000" w:rsidRPr="00000000">
              <w:rPr>
                <w:rFonts w:ascii="Google Sans" w:cs="Google Sans" w:eastAsia="Google Sans" w:hAnsi="Google Sans"/>
                <w:b w:val="1"/>
                <w:bCs w:val="1"/>
                <w:color w:val="1f1f1f"/>
                <w:sz w:val="16"/>
                <w:szCs w:val="16"/>
                <w:rtl w:val="0"/>
              </w:rPr>
              <w:t xml:space="preserve">Huntington (HBAN)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sz w:val="16"/>
                <w:szCs w:val="16"/>
              </w:rPr>
            </w:pPr>
            <w:r w:rsidDel="00000000" w:rsidR="00000000" w:rsidRPr="00000000">
              <w:rPr>
                <w:rFonts w:ascii="Google Sans" w:cs="Google Sans" w:eastAsia="Google Sans" w:hAnsi="Google Sans"/>
                <w:color w:val="1f1f1f"/>
                <w:sz w:val="16"/>
                <w:szCs w:val="16"/>
                <w:rtl w:val="0"/>
              </w:rPr>
              <w:t xml:space="preserve">91.1%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sz w:val="16"/>
                <w:szCs w:val="16"/>
              </w:rPr>
            </w:pPr>
            <w:r w:rsidDel="00000000" w:rsidR="00000000" w:rsidRPr="00000000">
              <w:rPr>
                <w:rFonts w:ascii="Google Sans" w:cs="Google Sans" w:eastAsia="Google Sans" w:hAnsi="Google Sans"/>
                <w:color w:val="1f1f1f"/>
                <w:sz w:val="16"/>
                <w:szCs w:val="16"/>
                <w:rtl w:val="0"/>
              </w:rPr>
              <w:t xml:space="preserve">11.4%</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sz w:val="16"/>
                <w:szCs w:val="16"/>
              </w:rPr>
            </w:pPr>
            <w:r w:rsidDel="00000000" w:rsidR="00000000" w:rsidRPr="00000000">
              <w:rPr>
                <w:rFonts w:ascii="Google Sans" w:cs="Google Sans" w:eastAsia="Google Sans" w:hAnsi="Google Sans"/>
                <w:color w:val="1f1f1f"/>
                <w:sz w:val="16"/>
                <w:szCs w:val="16"/>
                <w:rtl w:val="0"/>
              </w:rPr>
              <w:t xml:space="preserve">1.83%</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sz w:val="16"/>
                <w:szCs w:val="16"/>
              </w:rPr>
            </w:pPr>
            <w:r w:rsidDel="00000000" w:rsidR="00000000" w:rsidRPr="00000000">
              <w:rPr>
                <w:rFonts w:ascii="Google Sans" w:cs="Google Sans" w:eastAsia="Google Sans" w:hAnsi="Google Sans"/>
                <w:color w:val="1f1f1f"/>
                <w:sz w:val="16"/>
                <w:szCs w:val="16"/>
                <w:rtl w:val="0"/>
              </w:rPr>
              <w:t xml:space="preserve">0.24%</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sz w:val="16"/>
                <w:szCs w:val="16"/>
              </w:rPr>
            </w:pPr>
            <w:r w:rsidDel="00000000" w:rsidR="00000000" w:rsidRPr="00000000">
              <w:rPr>
                <w:rFonts w:ascii="Google Sans" w:cs="Google Sans" w:eastAsia="Google Sans" w:hAnsi="Google Sans"/>
                <w:color w:val="1f1f1f"/>
                <w:sz w:val="16"/>
                <w:szCs w:val="16"/>
                <w:rtl w:val="0"/>
              </w:rPr>
              <w:t xml:space="preserve">0.63%</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sz w:val="16"/>
                <w:szCs w:val="16"/>
              </w:rPr>
            </w:pPr>
            <w:r w:rsidDel="00000000" w:rsidR="00000000" w:rsidRPr="00000000">
              <w:rPr>
                <w:rFonts w:ascii="Google Sans" w:cs="Google Sans" w:eastAsia="Google Sans" w:hAnsi="Google Sans"/>
                <w:color w:val="1f1f1f"/>
                <w:sz w:val="16"/>
                <w:szCs w:val="16"/>
                <w:rtl w:val="0"/>
              </w:rPr>
              <w:t xml:space="preserve">290.5%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sz w:val="16"/>
                <w:szCs w:val="16"/>
              </w:rPr>
            </w:pPr>
            <w:r w:rsidDel="00000000" w:rsidR="00000000" w:rsidRPr="00000000">
              <w:rPr>
                <w:rFonts w:ascii="Google Sans" w:cs="Google Sans" w:eastAsia="Google Sans" w:hAnsi="Google Sans"/>
                <w:b w:val="1"/>
                <w:bCs w:val="1"/>
                <w:color w:val="1f1f1f"/>
                <w:sz w:val="16"/>
                <w:szCs w:val="16"/>
                <w:rtl w:val="0"/>
              </w:rPr>
              <w:t xml:space="preserve">Truist (TFC)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sz w:val="16"/>
                <w:szCs w:val="16"/>
              </w:rPr>
            </w:pPr>
            <w:r w:rsidDel="00000000" w:rsidR="00000000" w:rsidRPr="00000000">
              <w:rPr>
                <w:rFonts w:ascii="Google Sans" w:cs="Google Sans" w:eastAsia="Google Sans" w:hAnsi="Google Sans"/>
                <w:color w:val="1f1f1f"/>
                <w:sz w:val="16"/>
                <w:szCs w:val="16"/>
                <w:rtl w:val="0"/>
              </w:rPr>
              <w:t xml:space="preserve">84.6%</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sz w:val="16"/>
                <w:szCs w:val="16"/>
              </w:rPr>
            </w:pPr>
            <w:r w:rsidDel="00000000" w:rsidR="00000000" w:rsidRPr="00000000">
              <w:rPr>
                <w:rFonts w:ascii="Google Sans" w:cs="Google Sans" w:eastAsia="Google Sans" w:hAnsi="Google Sans"/>
                <w:color w:val="1f1f1f"/>
                <w:sz w:val="16"/>
                <w:szCs w:val="16"/>
                <w:rtl w:val="0"/>
              </w:rPr>
              <w:t xml:space="preserve">9.2%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sz w:val="16"/>
                <w:szCs w:val="16"/>
              </w:rPr>
            </w:pPr>
            <w:r w:rsidDel="00000000" w:rsidR="00000000" w:rsidRPr="00000000">
              <w:rPr>
                <w:rFonts w:ascii="Google Sans" w:cs="Google Sans" w:eastAsia="Google Sans" w:hAnsi="Google Sans"/>
                <w:color w:val="1f1f1f"/>
                <w:sz w:val="16"/>
                <w:szCs w:val="16"/>
                <w:rtl w:val="0"/>
              </w:rPr>
              <w:t xml:space="preserve">1.53%</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sz w:val="16"/>
                <w:szCs w:val="16"/>
              </w:rPr>
            </w:pPr>
            <w:r w:rsidDel="00000000" w:rsidR="00000000" w:rsidRPr="00000000">
              <w:rPr>
                <w:rFonts w:ascii="Google Sans" w:cs="Google Sans" w:eastAsia="Google Sans" w:hAnsi="Google Sans"/>
                <w:color w:val="1f1f1f"/>
                <w:sz w:val="16"/>
                <w:szCs w:val="16"/>
                <w:rtl w:val="0"/>
              </w:rPr>
              <w:t xml:space="preserve">0.57%</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sz w:val="16"/>
                <w:szCs w:val="16"/>
              </w:rPr>
            </w:pPr>
            <w:r w:rsidDel="00000000" w:rsidR="00000000" w:rsidRPr="00000000">
              <w:rPr>
                <w:rFonts w:ascii="Google Sans" w:cs="Google Sans" w:eastAsia="Google Sans" w:hAnsi="Google Sans"/>
                <w:color w:val="1f1f1f"/>
                <w:sz w:val="16"/>
                <w:szCs w:val="16"/>
                <w:rtl w:val="0"/>
              </w:rPr>
              <w:t xml:space="preserve">0.54%</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sz w:val="16"/>
                <w:szCs w:val="16"/>
              </w:rPr>
            </w:pPr>
            <w:r w:rsidDel="00000000" w:rsidR="00000000" w:rsidRPr="00000000">
              <w:rPr>
                <w:rFonts w:ascii="Google Sans" w:cs="Google Sans" w:eastAsia="Google Sans" w:hAnsi="Google Sans"/>
                <w:color w:val="1f1f1f"/>
                <w:sz w:val="16"/>
                <w:szCs w:val="16"/>
                <w:rtl w:val="0"/>
              </w:rPr>
              <w:t xml:space="preserve">283.3%</w:t>
            </w:r>
          </w:p>
        </w:tc>
      </w:tr>
    </w:tbl>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16"/>
          <w:szCs w:val="16"/>
          <w:vertAlign w:val="superscript"/>
        </w:rPr>
      </w:pPr>
      <w:r w:rsidDel="00000000" w:rsidR="00000000" w:rsidRPr="00000000">
        <w:rPr>
          <w:rFonts w:ascii="Google Sans" w:cs="Google Sans" w:eastAsia="Google Sans" w:hAnsi="Google Sans"/>
          <w:color w:val="1f1f1f"/>
          <w:sz w:val="16"/>
          <w:szCs w:val="16"/>
          <w:rtl w:val="0"/>
        </w:rPr>
        <w:t xml:space="preserve">Note: Ratios for Bank OZK are estimated based on reported RESG balances and total equity.</w:t>
      </w:r>
      <w:r w:rsidDel="00000000" w:rsidR="00000000" w:rsidRPr="00000000">
        <w:rPr>
          <w:rFonts w:ascii="Google Sans" w:cs="Google Sans" w:eastAsia="Google Sans" w:hAnsi="Google Sans"/>
          <w:color w:val="444746"/>
          <w:sz w:val="16"/>
          <w:szCs w:val="16"/>
          <w:vertAlign w:val="superscript"/>
          <w:rtl w:val="0"/>
        </w:rPr>
        <w:t xml:space="preserve">3</w:t>
      </w:r>
      <w:r w:rsidDel="00000000" w:rsidR="00000000" w:rsidRPr="00000000">
        <w:rPr>
          <w:rFonts w:ascii="Google Sans" w:cs="Google Sans" w:eastAsia="Google Sans" w:hAnsi="Google Sans"/>
          <w:color w:val="1f1f1f"/>
          <w:sz w:val="16"/>
          <w:szCs w:val="16"/>
          <w:rtl w:val="0"/>
        </w:rPr>
        <w:t xml:space="preserve"> Ratios for Western Alliance, Zions, Columbia, and East West are derived from end-of-period loan compositions and estimated risk-based capital.</w:t>
      </w:r>
      <w:r w:rsidDel="00000000" w:rsidR="00000000" w:rsidRPr="00000000">
        <w:rPr>
          <w:rFonts w:ascii="Google Sans" w:cs="Google Sans" w:eastAsia="Google Sans" w:hAnsi="Google Sans"/>
          <w:color w:val="444746"/>
          <w:sz w:val="16"/>
          <w:szCs w:val="16"/>
          <w:vertAlign w:val="superscript"/>
          <w:rtl w:val="0"/>
        </w:rPr>
        <w:t xml:space="preserve">5</w:t>
      </w:r>
      <w:r w:rsidDel="00000000" w:rsidR="00000000" w:rsidRPr="00000000">
        <w:rPr>
          <w:rFonts w:ascii="Google Sans" w:cs="Google Sans" w:eastAsia="Google Sans" w:hAnsi="Google Sans"/>
          <w:color w:val="1f1f1f"/>
          <w:sz w:val="16"/>
          <w:szCs w:val="16"/>
          <w:rtl w:val="0"/>
        </w:rPr>
        <w:t xml:space="preserve"> Noncurrent ratios represent nonperforming loans or assets as reported by the respective institution.</w:t>
      </w:r>
      <w:r w:rsidDel="00000000" w:rsidR="00000000" w:rsidRPr="00000000">
        <w:rPr>
          <w:rFonts w:ascii="Google Sans" w:cs="Google Sans" w:eastAsia="Google Sans" w:hAnsi="Google Sans"/>
          <w:color w:val="444746"/>
          <w:sz w:val="16"/>
          <w:szCs w:val="16"/>
          <w:vertAlign w:val="superscript"/>
          <w:rtl w:val="0"/>
        </w:rPr>
        <w:t xml:space="preserve">5</w:t>
      </w:r>
    </w:p>
    <w:p w:rsidR="00000000" w:rsidDel="00000000" w:rsidP="00000000" w:rsidRDefault="00000000" w:rsidRPr="00000000" w14:paraId="0000004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sz w:val="16"/>
          <w:szCs w:val="16"/>
        </w:rPr>
      </w:pPr>
      <w:r w:rsidDel="00000000" w:rsidR="00000000" w:rsidRPr="00000000">
        <w:rPr>
          <w:rFonts w:ascii="Google Sans" w:cs="Google Sans" w:eastAsia="Google Sans" w:hAnsi="Google Sans"/>
          <w:color w:val="1f1f1f"/>
          <w:sz w:val="16"/>
          <w:szCs w:val="16"/>
          <w:rtl w:val="0"/>
        </w:rPr>
        <w:t xml:space="preserve">Institutional Analysis: Bank OZK as the Structural Outlier</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sz w:val="16"/>
          <w:szCs w:val="16"/>
        </w:rPr>
      </w:pPr>
      <w:r w:rsidDel="00000000" w:rsidR="00000000" w:rsidRPr="00000000">
        <w:rPr>
          <w:rFonts w:ascii="Google Sans" w:cs="Google Sans" w:eastAsia="Google Sans" w:hAnsi="Google Sans"/>
          <w:color w:val="1f1f1f"/>
          <w:sz w:val="16"/>
          <w:szCs w:val="16"/>
          <w:rtl w:val="0"/>
        </w:rPr>
        <w:t xml:space="preserve">Bank OZK represents a unique phenomenon in the American financial landscape, operating a highly concentrated lending model that defies traditional diversification norms. While the average regional bank maintains a CRE to capital ratio between 100% and 170%, Bank OZK's exposure stands at nearly 490%.</w:t>
      </w:r>
      <w:r w:rsidDel="00000000" w:rsidR="00000000" w:rsidRPr="00000000">
        <w:rPr>
          <w:rFonts w:ascii="Google Sans" w:cs="Google Sans" w:eastAsia="Google Sans" w:hAnsi="Google Sans"/>
          <w:color w:val="444746"/>
          <w:sz w:val="16"/>
          <w:szCs w:val="16"/>
          <w:vertAlign w:val="superscript"/>
          <w:rtl w:val="0"/>
        </w:rPr>
        <w:t xml:space="preserve">4</w:t>
      </w:r>
      <w:r w:rsidDel="00000000" w:rsidR="00000000" w:rsidRPr="00000000">
        <w:rPr>
          <w:rFonts w:ascii="Google Sans" w:cs="Google Sans" w:eastAsia="Google Sans" w:hAnsi="Google Sans"/>
          <w:color w:val="1f1f1f"/>
          <w:sz w:val="16"/>
          <w:szCs w:val="16"/>
          <w:rtl w:val="0"/>
        </w:rPr>
        <w:t xml:space="preserve"> This level of concentration is primarily a result of its Real Estate Specialties Group (RESG), which focuses on high-dollar, senior-secured construction loans in primary metropolitan markets.</w:t>
      </w:r>
    </w:p>
    <w:p w:rsidR="00000000" w:rsidDel="00000000" w:rsidP="00000000" w:rsidRDefault="00000000" w:rsidRPr="00000000" w14:paraId="0000004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sz w:val="16"/>
          <w:szCs w:val="16"/>
        </w:rPr>
      </w:pPr>
      <w:r w:rsidDel="00000000" w:rsidR="00000000" w:rsidRPr="00000000">
        <w:rPr>
          <w:rFonts w:ascii="Google Sans" w:cs="Google Sans" w:eastAsia="Google Sans" w:hAnsi="Google Sans"/>
          <w:color w:val="1f1f1f"/>
          <w:sz w:val="16"/>
          <w:szCs w:val="16"/>
          <w:rtl w:val="0"/>
        </w:rPr>
        <w:t xml:space="preserve">The RESG Mechanism and Risk Mitigants</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16"/>
          <w:szCs w:val="16"/>
          <w:vertAlign w:val="superscript"/>
        </w:rPr>
      </w:pPr>
      <w:r w:rsidDel="00000000" w:rsidR="00000000" w:rsidRPr="00000000">
        <w:rPr>
          <w:rFonts w:ascii="Google Sans" w:cs="Google Sans" w:eastAsia="Google Sans" w:hAnsi="Google Sans"/>
          <w:color w:val="1f1f1f"/>
          <w:sz w:val="16"/>
          <w:szCs w:val="16"/>
          <w:rtl w:val="0"/>
        </w:rPr>
        <w:t xml:space="preserve">The outlier status of Bank OZK is not merely a quantitative reality but a qualitative strategy. The bank's business model is predicated on the "first-loss" protection provided by substantial borrower equity. Typically, Bank OZK’s RESG projects involve loan-to-cost (LTC) ratios in the 40% to 50% range, meaning the borrower has committed nearly half the project’s cost as equity before the bank's capital is at risk. This conservative underwriting explains why, despite having a C&amp;D concentration over 300% of capital, the bank’s noncurrent loan ratio remains at a remarkably low 0.38%.</w:t>
      </w:r>
      <w:r w:rsidDel="00000000" w:rsidR="00000000" w:rsidRPr="00000000">
        <w:rPr>
          <w:rFonts w:ascii="Google Sans" w:cs="Google Sans" w:eastAsia="Google Sans" w:hAnsi="Google Sans"/>
          <w:color w:val="444746"/>
          <w:sz w:val="16"/>
          <w:szCs w:val="16"/>
          <w:vertAlign w:val="superscript"/>
          <w:rtl w:val="0"/>
        </w:rPr>
        <w:t xml:space="preserve">3</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16"/>
          <w:szCs w:val="16"/>
          <w:vertAlign w:val="superscript"/>
        </w:rPr>
      </w:pPr>
      <w:r w:rsidDel="00000000" w:rsidR="00000000" w:rsidRPr="00000000">
        <w:rPr>
          <w:rFonts w:ascii="Google Sans" w:cs="Google Sans" w:eastAsia="Google Sans" w:hAnsi="Google Sans"/>
          <w:color w:val="1f1f1f"/>
          <w:sz w:val="16"/>
          <w:szCs w:val="16"/>
          <w:rtl w:val="0"/>
        </w:rPr>
        <w:t xml:space="preserve">Furthermore, the bank’s geographical footprint is strategically diverse, covering 265 offices across nine states including California, Florida, Texas, and New York.</w:t>
      </w:r>
      <w:r w:rsidDel="00000000" w:rsidR="00000000" w:rsidRPr="00000000">
        <w:rPr>
          <w:rFonts w:ascii="Google Sans" w:cs="Google Sans" w:eastAsia="Google Sans" w:hAnsi="Google Sans"/>
          <w:color w:val="444746"/>
          <w:sz w:val="16"/>
          <w:szCs w:val="16"/>
          <w:vertAlign w:val="superscript"/>
          <w:rtl w:val="0"/>
        </w:rPr>
        <w:t xml:space="preserve">3</w:t>
      </w:r>
      <w:r w:rsidDel="00000000" w:rsidR="00000000" w:rsidRPr="00000000">
        <w:rPr>
          <w:rFonts w:ascii="Google Sans" w:cs="Google Sans" w:eastAsia="Google Sans" w:hAnsi="Google Sans"/>
          <w:color w:val="1f1f1f"/>
          <w:sz w:val="16"/>
          <w:szCs w:val="16"/>
          <w:rtl w:val="0"/>
        </w:rPr>
        <w:t xml:space="preserve"> This national reach allows the RESG team to select only the most premium development projects, effectively cherry-picking the credit cycle's strongest sponsors. The bank’s 2025 record EPS of $6.18 reflects the high-yielding nature of these specialized loans, which have allowed Bank OZK to grow its asset base by 47% cumulatively over the last three years.</w:t>
      </w:r>
      <w:r w:rsidDel="00000000" w:rsidR="00000000" w:rsidRPr="00000000">
        <w:rPr>
          <w:rFonts w:ascii="Google Sans" w:cs="Google Sans" w:eastAsia="Google Sans" w:hAnsi="Google Sans"/>
          <w:color w:val="444746"/>
          <w:sz w:val="16"/>
          <w:szCs w:val="16"/>
          <w:vertAlign w:val="superscript"/>
          <w:rtl w:val="0"/>
        </w:rPr>
        <w:t xml:space="preserve">3</w:t>
      </w:r>
    </w:p>
    <w:p w:rsidR="00000000" w:rsidDel="00000000" w:rsidP="00000000" w:rsidRDefault="00000000" w:rsidRPr="00000000" w14:paraId="0000004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sz w:val="16"/>
          <w:szCs w:val="16"/>
        </w:rPr>
      </w:pPr>
      <w:r w:rsidDel="00000000" w:rsidR="00000000" w:rsidRPr="00000000">
        <w:rPr>
          <w:rFonts w:ascii="Google Sans" w:cs="Google Sans" w:eastAsia="Google Sans" w:hAnsi="Google Sans"/>
          <w:color w:val="1f1f1f"/>
          <w:sz w:val="16"/>
          <w:szCs w:val="16"/>
          <w:rtl w:val="0"/>
        </w:rPr>
        <w:t xml:space="preserve">Comparative Earnings and Profitability</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sz w:val="16"/>
          <w:szCs w:val="16"/>
        </w:rPr>
      </w:pPr>
      <w:r w:rsidDel="00000000" w:rsidR="00000000" w:rsidRPr="00000000">
        <w:rPr>
          <w:rFonts w:ascii="Google Sans" w:cs="Google Sans" w:eastAsia="Google Sans" w:hAnsi="Google Sans"/>
          <w:color w:val="1f1f1f"/>
          <w:sz w:val="16"/>
          <w:szCs w:val="16"/>
          <w:rtl w:val="0"/>
        </w:rPr>
        <w:t xml:space="preserve">In 2025, Bank OZK achieved net interest income of $1.59 billion, driven by $2.35 billion in loan growth.</w:t>
      </w:r>
      <w:r w:rsidDel="00000000" w:rsidR="00000000" w:rsidRPr="00000000">
        <w:rPr>
          <w:rFonts w:ascii="Google Sans" w:cs="Google Sans" w:eastAsia="Google Sans" w:hAnsi="Google Sans"/>
          <w:color w:val="444746"/>
          <w:sz w:val="16"/>
          <w:szCs w:val="16"/>
          <w:vertAlign w:val="superscript"/>
          <w:rtl w:val="0"/>
        </w:rPr>
        <w:t xml:space="preserve">3</w:t>
      </w:r>
      <w:r w:rsidDel="00000000" w:rsidR="00000000" w:rsidRPr="00000000">
        <w:rPr>
          <w:rFonts w:ascii="Google Sans" w:cs="Google Sans" w:eastAsia="Google Sans" w:hAnsi="Google Sans"/>
          <w:color w:val="1f1f1f"/>
          <w:sz w:val="16"/>
          <w:szCs w:val="16"/>
          <w:rtl w:val="0"/>
        </w:rPr>
        <w:t xml:space="preserve"> This growth occurred during a period where many peers were actively shrinking their CRE books to preserve capital. The bank’s ability to generate record earnings while maintaining a CET1 ratio in the top tier of the industry highlights the success of its niche strategy, though it remains highly sensitive to systemic shocks in the commercial property market that could simultaneously impact valuations across major urban centers.</w:t>
      </w:r>
    </w:p>
    <w:p w:rsidR="00000000" w:rsidDel="00000000" w:rsidP="00000000" w:rsidRDefault="00000000" w:rsidRPr="00000000" w14:paraId="0000004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sz w:val="16"/>
          <w:szCs w:val="16"/>
        </w:rPr>
      </w:pPr>
      <w:r w:rsidDel="00000000" w:rsidR="00000000" w:rsidRPr="00000000">
        <w:rPr>
          <w:rFonts w:ascii="Google Sans" w:cs="Google Sans" w:eastAsia="Google Sans" w:hAnsi="Google Sans"/>
          <w:color w:val="1f1f1f"/>
          <w:sz w:val="16"/>
          <w:szCs w:val="16"/>
          <w:rtl w:val="0"/>
        </w:rPr>
        <w:t xml:space="preserve">Western Alliance Bancorporation: Resilience and Strategic Pivot</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sz w:val="16"/>
          <w:szCs w:val="16"/>
        </w:rPr>
      </w:pPr>
      <w:r w:rsidDel="00000000" w:rsidR="00000000" w:rsidRPr="00000000">
        <w:rPr>
          <w:rFonts w:ascii="Google Sans" w:cs="Google Sans" w:eastAsia="Google Sans" w:hAnsi="Google Sans"/>
          <w:color w:val="1f1f1f"/>
          <w:sz w:val="16"/>
          <w:szCs w:val="16"/>
          <w:rtl w:val="0"/>
        </w:rPr>
        <w:t xml:space="preserve">Western Alliance Bancorporation (WAL) entered Q4 2025 with strong momentum, reporting net income available to common stockholders of $282.9 million.</w:t>
      </w:r>
      <w:r w:rsidDel="00000000" w:rsidR="00000000" w:rsidRPr="00000000">
        <w:rPr>
          <w:rFonts w:ascii="Google Sans" w:cs="Google Sans" w:eastAsia="Google Sans" w:hAnsi="Google Sans"/>
          <w:color w:val="444746"/>
          <w:sz w:val="16"/>
          <w:szCs w:val="16"/>
          <w:vertAlign w:val="superscript"/>
          <w:rtl w:val="0"/>
        </w:rPr>
        <w:t xml:space="preserve">5</w:t>
      </w:r>
      <w:r w:rsidDel="00000000" w:rsidR="00000000" w:rsidRPr="00000000">
        <w:rPr>
          <w:rFonts w:ascii="Google Sans" w:cs="Google Sans" w:eastAsia="Google Sans" w:hAnsi="Google Sans"/>
          <w:color w:val="1f1f1f"/>
          <w:sz w:val="16"/>
          <w:szCs w:val="16"/>
          <w:rtl w:val="0"/>
        </w:rPr>
        <w:t xml:space="preserve"> Following the market turbulence of 2023, Western Alliance has successfully pivoted toward a more diversified funding and lending model, though it remains a significant player in the commercial real estate space.</w:t>
      </w:r>
    </w:p>
    <w:p w:rsidR="00000000" w:rsidDel="00000000" w:rsidP="00000000" w:rsidRDefault="00000000" w:rsidRPr="00000000" w14:paraId="0000005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sz w:val="16"/>
          <w:szCs w:val="16"/>
        </w:rPr>
      </w:pPr>
      <w:r w:rsidDel="00000000" w:rsidR="00000000" w:rsidRPr="00000000">
        <w:rPr>
          <w:rFonts w:ascii="Google Sans" w:cs="Google Sans" w:eastAsia="Google Sans" w:hAnsi="Google Sans"/>
          <w:color w:val="1f1f1f"/>
          <w:sz w:val="16"/>
          <w:szCs w:val="16"/>
          <w:rtl w:val="0"/>
        </w:rPr>
        <w:t xml:space="preserve">Loan Composition and Credit Performance</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sz w:val="16"/>
          <w:szCs w:val="16"/>
        </w:rPr>
      </w:pPr>
      <w:r w:rsidDel="00000000" w:rsidR="00000000" w:rsidRPr="00000000">
        <w:rPr>
          <w:rFonts w:ascii="Google Sans" w:cs="Google Sans" w:eastAsia="Google Sans" w:hAnsi="Google Sans"/>
          <w:color w:val="1f1f1f"/>
          <w:sz w:val="16"/>
          <w:szCs w:val="16"/>
          <w:rtl w:val="0"/>
        </w:rPr>
        <w:t xml:space="preserve">As of December 31, 2025, Western Alliance held $58.7 billion in total loans held-for-investment (HFI).</w:t>
      </w:r>
      <w:r w:rsidDel="00000000" w:rsidR="00000000" w:rsidRPr="00000000">
        <w:rPr>
          <w:rFonts w:ascii="Google Sans" w:cs="Google Sans" w:eastAsia="Google Sans" w:hAnsi="Google Sans"/>
          <w:color w:val="444746"/>
          <w:sz w:val="16"/>
          <w:szCs w:val="16"/>
          <w:vertAlign w:val="superscript"/>
          <w:rtl w:val="0"/>
        </w:rPr>
        <w:t xml:space="preserve">5</w:t>
      </w:r>
      <w:r w:rsidDel="00000000" w:rsidR="00000000" w:rsidRPr="00000000">
        <w:rPr>
          <w:rFonts w:ascii="Google Sans" w:cs="Google Sans" w:eastAsia="Google Sans" w:hAnsi="Google Sans"/>
          <w:color w:val="1f1f1f"/>
          <w:sz w:val="16"/>
          <w:szCs w:val="16"/>
          <w:rtl w:val="0"/>
        </w:rPr>
        <w:t xml:space="preserve"> Its CRE portfolio is bifurcated between non-owner occupied ($10.3 billion) and owner-occupied ($4.1 billion) segments.</w:t>
      </w:r>
      <w:r w:rsidDel="00000000" w:rsidR="00000000" w:rsidRPr="00000000">
        <w:rPr>
          <w:rFonts w:ascii="Google Sans" w:cs="Google Sans" w:eastAsia="Google Sans" w:hAnsi="Google Sans"/>
          <w:color w:val="444746"/>
          <w:sz w:val="16"/>
          <w:szCs w:val="16"/>
          <w:vertAlign w:val="superscript"/>
          <w:rtl w:val="0"/>
        </w:rPr>
        <w:t xml:space="preserve">5</w:t>
      </w:r>
      <w:r w:rsidDel="00000000" w:rsidR="00000000" w:rsidRPr="00000000">
        <w:rPr>
          <w:rFonts w:ascii="Google Sans" w:cs="Google Sans" w:eastAsia="Google Sans" w:hAnsi="Google Sans"/>
          <w:color w:val="1f1f1f"/>
          <w:sz w:val="16"/>
          <w:szCs w:val="16"/>
          <w:rtl w:val="0"/>
        </w:rPr>
        <w:t xml:space="preserve"> A critical differentiator for WAL is its low Construction &amp; Land (C&amp;D) exposure, which stood at $1.7 billion at quarter-end.</w:t>
      </w:r>
      <w:r w:rsidDel="00000000" w:rsidR="00000000" w:rsidRPr="00000000">
        <w:rPr>
          <w:rFonts w:ascii="Google Sans" w:cs="Google Sans" w:eastAsia="Google Sans" w:hAnsi="Google Sans"/>
          <w:color w:val="444746"/>
          <w:sz w:val="16"/>
          <w:szCs w:val="16"/>
          <w:vertAlign w:val="superscript"/>
          <w:rtl w:val="0"/>
        </w:rPr>
        <w:t xml:space="preserve">5</w:t>
      </w:r>
      <w:r w:rsidDel="00000000" w:rsidR="00000000" w:rsidRPr="00000000">
        <w:rPr>
          <w:rFonts w:ascii="Google Sans" w:cs="Google Sans" w:eastAsia="Google Sans" w:hAnsi="Google Sans"/>
          <w:color w:val="1f1f1f"/>
          <w:sz w:val="16"/>
          <w:szCs w:val="16"/>
          <w:rtl w:val="0"/>
        </w:rPr>
        <w:t xml:space="preserve"> This represents a measured approach to development risk compared to Bank OZK’s construction-heavy book.</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16"/>
          <w:szCs w:val="16"/>
          <w:vertAlign w:val="superscript"/>
        </w:rPr>
      </w:pPr>
      <w:r w:rsidDel="00000000" w:rsidR="00000000" w:rsidRPr="00000000">
        <w:rPr>
          <w:rFonts w:ascii="Google Sans" w:cs="Google Sans" w:eastAsia="Google Sans" w:hAnsi="Google Sans"/>
          <w:color w:val="1f1f1f"/>
          <w:sz w:val="16"/>
          <w:szCs w:val="16"/>
          <w:rtl w:val="0"/>
        </w:rPr>
        <w:t xml:space="preserve">The bank’s net loan charge-off (NCO) rate was 0.31% for the fourth quarter, a slight increase from 0.22% in the prior quarter.</w:t>
      </w:r>
      <w:r w:rsidDel="00000000" w:rsidR="00000000" w:rsidRPr="00000000">
        <w:rPr>
          <w:rFonts w:ascii="Google Sans" w:cs="Google Sans" w:eastAsia="Google Sans" w:hAnsi="Google Sans"/>
          <w:color w:val="444746"/>
          <w:sz w:val="16"/>
          <w:szCs w:val="16"/>
          <w:vertAlign w:val="superscript"/>
          <w:rtl w:val="0"/>
        </w:rPr>
        <w:t xml:space="preserve">5</w:t>
      </w:r>
      <w:r w:rsidDel="00000000" w:rsidR="00000000" w:rsidRPr="00000000">
        <w:rPr>
          <w:rFonts w:ascii="Google Sans" w:cs="Google Sans" w:eastAsia="Google Sans" w:hAnsi="Google Sans"/>
          <w:color w:val="1f1f1f"/>
          <w:sz w:val="16"/>
          <w:szCs w:val="16"/>
          <w:rtl w:val="0"/>
        </w:rPr>
        <w:t xml:space="preserve"> Management has highlighted that its allowance for credit losses (ACL) of 0.87% is appropriately calibrated, as it covers over eight times the historical average annual loss rate multiplied by the portfolio's duration.</w:t>
      </w:r>
      <w:r w:rsidDel="00000000" w:rsidR="00000000" w:rsidRPr="00000000">
        <w:rPr>
          <w:rFonts w:ascii="Google Sans" w:cs="Google Sans" w:eastAsia="Google Sans" w:hAnsi="Google Sans"/>
          <w:color w:val="444746"/>
          <w:sz w:val="16"/>
          <w:szCs w:val="16"/>
          <w:vertAlign w:val="superscript"/>
          <w:rtl w:val="0"/>
        </w:rPr>
        <w:t xml:space="preserve">5</w:t>
      </w:r>
      <w:r w:rsidDel="00000000" w:rsidR="00000000" w:rsidRPr="00000000">
        <w:rPr>
          <w:rFonts w:ascii="Google Sans" w:cs="Google Sans" w:eastAsia="Google Sans" w:hAnsi="Google Sans"/>
          <w:color w:val="1f1f1f"/>
          <w:sz w:val="16"/>
          <w:szCs w:val="16"/>
          <w:rtl w:val="0"/>
        </w:rPr>
        <w:t xml:space="preserve"> This "lean but efficient" reserve strategy is supported by a robust Common Equity Tier 1 (CET1) ratio of 11.0% and a Total Risk-Based Capital ratio of 14.5%.</w:t>
      </w:r>
      <w:r w:rsidDel="00000000" w:rsidR="00000000" w:rsidRPr="00000000">
        <w:rPr>
          <w:rFonts w:ascii="Google Sans" w:cs="Google Sans" w:eastAsia="Google Sans" w:hAnsi="Google Sans"/>
          <w:color w:val="444746"/>
          <w:sz w:val="16"/>
          <w:szCs w:val="16"/>
          <w:vertAlign w:val="superscript"/>
          <w:rtl w:val="0"/>
        </w:rPr>
        <w:t xml:space="preserve">5</w:t>
      </w:r>
    </w:p>
    <w:p w:rsidR="00000000" w:rsidDel="00000000" w:rsidP="00000000" w:rsidRDefault="00000000" w:rsidRPr="00000000" w14:paraId="0000005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sz w:val="16"/>
          <w:szCs w:val="16"/>
        </w:rPr>
      </w:pPr>
      <w:r w:rsidDel="00000000" w:rsidR="00000000" w:rsidRPr="00000000">
        <w:rPr>
          <w:rFonts w:ascii="Google Sans" w:cs="Google Sans" w:eastAsia="Google Sans" w:hAnsi="Google Sans"/>
          <w:color w:val="1f1f1f"/>
          <w:sz w:val="16"/>
          <w:szCs w:val="16"/>
          <w:rtl w:val="0"/>
        </w:rPr>
        <w:t xml:space="preserve">Funding and Efficiency</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sz w:val="16"/>
          <w:szCs w:val="16"/>
        </w:rPr>
      </w:pPr>
      <w:r w:rsidDel="00000000" w:rsidR="00000000" w:rsidRPr="00000000">
        <w:rPr>
          <w:rFonts w:ascii="Google Sans" w:cs="Google Sans" w:eastAsia="Google Sans" w:hAnsi="Google Sans"/>
          <w:color w:val="1f1f1f"/>
          <w:sz w:val="16"/>
          <w:szCs w:val="16"/>
          <w:rtl w:val="0"/>
        </w:rPr>
        <w:t xml:space="preserve">Western Alliance’s growth is increasingly powered by its specialty escrow and national business lines, which helped drive total deposits to $77.2 billion in Q4 2025.</w:t>
      </w:r>
      <w:r w:rsidDel="00000000" w:rsidR="00000000" w:rsidRPr="00000000">
        <w:rPr>
          <w:rFonts w:ascii="Google Sans" w:cs="Google Sans" w:eastAsia="Google Sans" w:hAnsi="Google Sans"/>
          <w:color w:val="444746"/>
          <w:sz w:val="16"/>
          <w:szCs w:val="16"/>
          <w:vertAlign w:val="superscript"/>
          <w:rtl w:val="0"/>
        </w:rPr>
        <w:t xml:space="preserve">1</w:t>
      </w:r>
      <w:r w:rsidDel="00000000" w:rsidR="00000000" w:rsidRPr="00000000">
        <w:rPr>
          <w:rFonts w:ascii="Google Sans" w:cs="Google Sans" w:eastAsia="Google Sans" w:hAnsi="Google Sans"/>
          <w:color w:val="1f1f1f"/>
          <w:sz w:val="16"/>
          <w:szCs w:val="16"/>
          <w:rtl w:val="0"/>
        </w:rPr>
        <w:t xml:space="preserve"> This has significantly improved the bank's funding costs, with the cost of interest-bearing deposits falling to 2.96%.</w:t>
      </w:r>
      <w:r w:rsidDel="00000000" w:rsidR="00000000" w:rsidRPr="00000000">
        <w:rPr>
          <w:rFonts w:ascii="Google Sans" w:cs="Google Sans" w:eastAsia="Google Sans" w:hAnsi="Google Sans"/>
          <w:color w:val="444746"/>
          <w:sz w:val="16"/>
          <w:szCs w:val="16"/>
          <w:vertAlign w:val="superscript"/>
          <w:rtl w:val="0"/>
        </w:rPr>
        <w:t xml:space="preserve">1</w:t>
      </w:r>
      <w:r w:rsidDel="00000000" w:rsidR="00000000" w:rsidRPr="00000000">
        <w:rPr>
          <w:rFonts w:ascii="Google Sans" w:cs="Google Sans" w:eastAsia="Google Sans" w:hAnsi="Google Sans"/>
          <w:color w:val="1f1f1f"/>
          <w:sz w:val="16"/>
          <w:szCs w:val="16"/>
          <w:rtl w:val="0"/>
        </w:rPr>
        <w:t xml:space="preserve"> This improved liquidity profile allows WAL to manage its 158.7% CRE concentration with a lower level of systemic anxiety than peers with less stable deposit bases.</w:t>
      </w:r>
    </w:p>
    <w:p w:rsidR="00000000" w:rsidDel="00000000" w:rsidP="00000000" w:rsidRDefault="00000000" w:rsidRPr="00000000" w14:paraId="0000005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sz w:val="16"/>
          <w:szCs w:val="16"/>
        </w:rPr>
      </w:pPr>
      <w:r w:rsidDel="00000000" w:rsidR="00000000" w:rsidRPr="00000000">
        <w:rPr>
          <w:rFonts w:ascii="Google Sans" w:cs="Google Sans" w:eastAsia="Google Sans" w:hAnsi="Google Sans"/>
          <w:color w:val="1f1f1f"/>
          <w:sz w:val="16"/>
          <w:szCs w:val="16"/>
          <w:rtl w:val="0"/>
        </w:rPr>
        <w:t xml:space="preserve">Zions Bancorporation: Diversification and Margin Expansion</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16"/>
          <w:szCs w:val="16"/>
          <w:vertAlign w:val="superscript"/>
        </w:rPr>
      </w:pPr>
      <w:r w:rsidDel="00000000" w:rsidR="00000000" w:rsidRPr="00000000">
        <w:rPr>
          <w:rFonts w:ascii="Google Sans" w:cs="Google Sans" w:eastAsia="Google Sans" w:hAnsi="Google Sans"/>
          <w:color w:val="1f1f1f"/>
          <w:sz w:val="16"/>
          <w:szCs w:val="16"/>
          <w:rtl w:val="0"/>
        </w:rPr>
        <w:t xml:space="preserve">Zions Bancorporation (ZION) provides a contrasting model to the "outlier" banks, maintaining a granular and highly diversified loan portfolio across 11 western states.</w:t>
      </w:r>
      <w:r w:rsidDel="00000000" w:rsidR="00000000" w:rsidRPr="00000000">
        <w:rPr>
          <w:rFonts w:ascii="Google Sans" w:cs="Google Sans" w:eastAsia="Google Sans" w:hAnsi="Google Sans"/>
          <w:color w:val="444746"/>
          <w:sz w:val="16"/>
          <w:szCs w:val="16"/>
          <w:vertAlign w:val="superscript"/>
          <w:rtl w:val="0"/>
        </w:rPr>
        <w:t xml:space="preserve">13</w:t>
      </w:r>
      <w:r w:rsidDel="00000000" w:rsidR="00000000" w:rsidRPr="00000000">
        <w:rPr>
          <w:rFonts w:ascii="Google Sans" w:cs="Google Sans" w:eastAsia="Google Sans" w:hAnsi="Google Sans"/>
          <w:color w:val="1f1f1f"/>
          <w:sz w:val="16"/>
          <w:szCs w:val="16"/>
          <w:rtl w:val="0"/>
        </w:rPr>
        <w:t xml:space="preserve"> In Q4 2025, Zions reported net earnings of $262 million, with diluted EPS rising 31% year-over-year to $1.76.</w:t>
      </w:r>
      <w:r w:rsidDel="00000000" w:rsidR="00000000" w:rsidRPr="00000000">
        <w:rPr>
          <w:rFonts w:ascii="Google Sans" w:cs="Google Sans" w:eastAsia="Google Sans" w:hAnsi="Google Sans"/>
          <w:color w:val="444746"/>
          <w:sz w:val="16"/>
          <w:szCs w:val="16"/>
          <w:vertAlign w:val="superscript"/>
          <w:rtl w:val="0"/>
        </w:rPr>
        <w:t xml:space="preserve">13</w:t>
      </w:r>
    </w:p>
    <w:p w:rsidR="00000000" w:rsidDel="00000000" w:rsidP="00000000" w:rsidRDefault="00000000" w:rsidRPr="00000000" w14:paraId="0000005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sz w:val="16"/>
          <w:szCs w:val="16"/>
        </w:rPr>
      </w:pPr>
      <w:r w:rsidDel="00000000" w:rsidR="00000000" w:rsidRPr="00000000">
        <w:rPr>
          <w:rFonts w:ascii="Google Sans" w:cs="Google Sans" w:eastAsia="Google Sans" w:hAnsi="Google Sans"/>
          <w:color w:val="1f1f1f"/>
          <w:sz w:val="16"/>
          <w:szCs w:val="16"/>
          <w:rtl w:val="0"/>
        </w:rPr>
        <w:t xml:space="preserve">Detailed CRE Portfolio Breakdown</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sz w:val="16"/>
          <w:szCs w:val="16"/>
        </w:rPr>
      </w:pPr>
      <w:r w:rsidDel="00000000" w:rsidR="00000000" w:rsidRPr="00000000">
        <w:rPr>
          <w:rFonts w:ascii="Google Sans" w:cs="Google Sans" w:eastAsia="Google Sans" w:hAnsi="Google Sans"/>
          <w:color w:val="1f1f1f"/>
          <w:sz w:val="16"/>
          <w:szCs w:val="16"/>
          <w:rtl w:val="0"/>
        </w:rPr>
        <w:t xml:space="preserve">The Zions CRE book, totaling $13.4 billion, is notably balanced across property types:</w:t>
      </w:r>
    </w:p>
    <w:p w:rsidR="00000000" w:rsidDel="00000000" w:rsidP="00000000" w:rsidRDefault="00000000" w:rsidRPr="00000000" w14:paraId="0000005A">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sz w:val="16"/>
          <w:szCs w:val="16"/>
        </w:rPr>
      </w:pPr>
      <w:r w:rsidDel="00000000" w:rsidR="00000000" w:rsidRPr="00000000">
        <w:rPr>
          <w:rFonts w:ascii="Google Sans" w:cs="Google Sans" w:eastAsia="Google Sans" w:hAnsi="Google Sans"/>
          <w:color w:val="1f1f1f"/>
          <w:sz w:val="16"/>
          <w:szCs w:val="16"/>
          <w:rtl w:val="0"/>
        </w:rPr>
        <w:t xml:space="preserve">Multifamily: 30%</w:t>
      </w:r>
    </w:p>
    <w:p w:rsidR="00000000" w:rsidDel="00000000" w:rsidP="00000000" w:rsidRDefault="00000000" w:rsidRPr="00000000" w14:paraId="0000005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sz w:val="16"/>
          <w:szCs w:val="16"/>
        </w:rPr>
      </w:pPr>
      <w:r w:rsidDel="00000000" w:rsidR="00000000" w:rsidRPr="00000000">
        <w:rPr>
          <w:rFonts w:ascii="Google Sans" w:cs="Google Sans" w:eastAsia="Google Sans" w:hAnsi="Google Sans"/>
          <w:color w:val="1f1f1f"/>
          <w:sz w:val="16"/>
          <w:szCs w:val="16"/>
          <w:rtl w:val="0"/>
        </w:rPr>
        <w:t xml:space="preserve">Industrial: 23%</w:t>
      </w:r>
    </w:p>
    <w:p w:rsidR="00000000" w:rsidDel="00000000" w:rsidP="00000000" w:rsidRDefault="00000000" w:rsidRPr="00000000" w14:paraId="0000005C">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sz w:val="16"/>
          <w:szCs w:val="16"/>
        </w:rPr>
      </w:pPr>
      <w:r w:rsidDel="00000000" w:rsidR="00000000" w:rsidRPr="00000000">
        <w:rPr>
          <w:rFonts w:ascii="Google Sans" w:cs="Google Sans" w:eastAsia="Google Sans" w:hAnsi="Google Sans"/>
          <w:color w:val="1f1f1f"/>
          <w:sz w:val="16"/>
          <w:szCs w:val="16"/>
          <w:rtl w:val="0"/>
        </w:rPr>
        <w:t xml:space="preserve">Office: 13%</w:t>
      </w:r>
    </w:p>
    <w:p w:rsidR="00000000" w:rsidDel="00000000" w:rsidP="00000000" w:rsidRDefault="00000000" w:rsidRPr="00000000" w14:paraId="0000005D">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sz w:val="16"/>
          <w:szCs w:val="16"/>
        </w:rPr>
      </w:pPr>
      <w:r w:rsidDel="00000000" w:rsidR="00000000" w:rsidRPr="00000000">
        <w:rPr>
          <w:rFonts w:ascii="Google Sans" w:cs="Google Sans" w:eastAsia="Google Sans" w:hAnsi="Google Sans"/>
          <w:color w:val="1f1f1f"/>
          <w:sz w:val="16"/>
          <w:szCs w:val="16"/>
          <w:rtl w:val="0"/>
        </w:rPr>
        <w:t xml:space="preserve">Retail: 12%</w:t>
      </w:r>
    </w:p>
    <w:p w:rsidR="00000000" w:rsidDel="00000000" w:rsidP="00000000" w:rsidRDefault="00000000" w:rsidRPr="00000000" w14:paraId="0000005E">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sz w:val="16"/>
          <w:szCs w:val="16"/>
        </w:rPr>
      </w:pPr>
      <w:r w:rsidDel="00000000" w:rsidR="00000000" w:rsidRPr="00000000">
        <w:rPr>
          <w:rFonts w:ascii="Google Sans" w:cs="Google Sans" w:eastAsia="Google Sans" w:hAnsi="Google Sans"/>
          <w:color w:val="1f1f1f"/>
          <w:sz w:val="16"/>
          <w:szCs w:val="16"/>
          <w:rtl w:val="0"/>
        </w:rPr>
        <w:t xml:space="preserve">Hospitality: 5%</w:t>
      </w:r>
    </w:p>
    <w:p w:rsidR="00000000" w:rsidDel="00000000" w:rsidP="00000000" w:rsidRDefault="00000000" w:rsidRPr="00000000" w14:paraId="0000005F">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rPr>
          <w:sz w:val="16"/>
          <w:szCs w:val="16"/>
        </w:rPr>
      </w:pPr>
      <w:r w:rsidDel="00000000" w:rsidR="00000000" w:rsidRPr="00000000">
        <w:rPr>
          <w:rFonts w:ascii="Google Sans" w:cs="Google Sans" w:eastAsia="Google Sans" w:hAnsi="Google Sans"/>
          <w:color w:val="1f1f1f"/>
          <w:sz w:val="16"/>
          <w:szCs w:val="16"/>
          <w:rtl w:val="0"/>
        </w:rPr>
        <w:t xml:space="preserve">Other: 13% </w:t>
      </w:r>
      <w:r w:rsidDel="00000000" w:rsidR="00000000" w:rsidRPr="00000000">
        <w:rPr>
          <w:rFonts w:ascii="Google Sans" w:cs="Google Sans" w:eastAsia="Google Sans" w:hAnsi="Google Sans"/>
          <w:color w:val="444746"/>
          <w:sz w:val="16"/>
          <w:szCs w:val="16"/>
          <w:vertAlign w:val="superscript"/>
          <w:rtl w:val="0"/>
        </w:rPr>
        <w:t xml:space="preserve">6</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sz w:val="16"/>
          <w:szCs w:val="16"/>
        </w:rPr>
      </w:pPr>
      <w:r w:rsidDel="00000000" w:rsidR="00000000" w:rsidRPr="00000000">
        <w:rPr>
          <w:rFonts w:ascii="Google Sans" w:cs="Google Sans" w:eastAsia="Google Sans" w:hAnsi="Google Sans"/>
          <w:color w:val="1f1f1f"/>
          <w:sz w:val="16"/>
          <w:szCs w:val="16"/>
          <w:rtl w:val="0"/>
        </w:rPr>
        <w:t xml:space="preserve">Within this portfolio, 84% consists of term CRE, with only 16% in construction lending.</w:t>
      </w:r>
      <w:r w:rsidDel="00000000" w:rsidR="00000000" w:rsidRPr="00000000">
        <w:rPr>
          <w:rFonts w:ascii="Google Sans" w:cs="Google Sans" w:eastAsia="Google Sans" w:hAnsi="Google Sans"/>
          <w:color w:val="444746"/>
          <w:sz w:val="16"/>
          <w:szCs w:val="16"/>
          <w:vertAlign w:val="superscript"/>
          <w:rtl w:val="0"/>
        </w:rPr>
        <w:t xml:space="preserve">15</w:t>
      </w:r>
      <w:r w:rsidDel="00000000" w:rsidR="00000000" w:rsidRPr="00000000">
        <w:rPr>
          <w:rFonts w:ascii="Google Sans" w:cs="Google Sans" w:eastAsia="Google Sans" w:hAnsi="Google Sans"/>
          <w:color w:val="1f1f1f"/>
          <w:sz w:val="16"/>
          <w:szCs w:val="16"/>
          <w:rtl w:val="0"/>
        </w:rPr>
        <w:t xml:space="preserve"> This conservative mix keeps Zions' C&amp;D concentration at a modest 19.8% of capital, providing a significant safety margin against development-stage defaults.</w:t>
      </w:r>
    </w:p>
    <w:p w:rsidR="00000000" w:rsidDel="00000000" w:rsidP="00000000" w:rsidRDefault="00000000" w:rsidRPr="00000000" w14:paraId="0000006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sz w:val="16"/>
          <w:szCs w:val="16"/>
        </w:rPr>
      </w:pPr>
      <w:r w:rsidDel="00000000" w:rsidR="00000000" w:rsidRPr="00000000">
        <w:rPr>
          <w:rFonts w:ascii="Google Sans" w:cs="Google Sans" w:eastAsia="Google Sans" w:hAnsi="Google Sans"/>
          <w:color w:val="1f1f1f"/>
          <w:sz w:val="16"/>
          <w:szCs w:val="16"/>
          <w:rtl w:val="0"/>
        </w:rPr>
        <w:t xml:space="preserve">Credit Quality and Capital Strength</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16"/>
          <w:szCs w:val="16"/>
          <w:vertAlign w:val="superscript"/>
        </w:rPr>
      </w:pPr>
      <w:r w:rsidDel="00000000" w:rsidR="00000000" w:rsidRPr="00000000">
        <w:rPr>
          <w:rFonts w:ascii="Google Sans" w:cs="Google Sans" w:eastAsia="Google Sans" w:hAnsi="Google Sans"/>
          <w:color w:val="1f1f1f"/>
          <w:sz w:val="16"/>
          <w:szCs w:val="16"/>
          <w:rtl w:val="0"/>
        </w:rPr>
        <w:t xml:space="preserve">Zions’ asset quality metrics were among the strongest in the peer group for Q4 2025. Annualized net charge-offs were a mere 0.05%, while nonperforming assets represented 0.52% of total loans.</w:t>
      </w:r>
      <w:r w:rsidDel="00000000" w:rsidR="00000000" w:rsidRPr="00000000">
        <w:rPr>
          <w:rFonts w:ascii="Google Sans" w:cs="Google Sans" w:eastAsia="Google Sans" w:hAnsi="Google Sans"/>
          <w:color w:val="444746"/>
          <w:sz w:val="16"/>
          <w:szCs w:val="16"/>
          <w:vertAlign w:val="superscript"/>
          <w:rtl w:val="0"/>
        </w:rPr>
        <w:t xml:space="preserve">13</w:t>
      </w:r>
      <w:r w:rsidDel="00000000" w:rsidR="00000000" w:rsidRPr="00000000">
        <w:rPr>
          <w:rFonts w:ascii="Google Sans" w:cs="Google Sans" w:eastAsia="Google Sans" w:hAnsi="Google Sans"/>
          <w:color w:val="1f1f1f"/>
          <w:sz w:val="16"/>
          <w:szCs w:val="16"/>
          <w:rtl w:val="0"/>
        </w:rPr>
        <w:t xml:space="preserve"> The bank’s capital position continued to strengthen, with its CET1 ratio reaching 11.5%.</w:t>
      </w:r>
      <w:r w:rsidDel="00000000" w:rsidR="00000000" w:rsidRPr="00000000">
        <w:rPr>
          <w:rFonts w:ascii="Google Sans" w:cs="Google Sans" w:eastAsia="Google Sans" w:hAnsi="Google Sans"/>
          <w:color w:val="444746"/>
          <w:sz w:val="16"/>
          <w:szCs w:val="16"/>
          <w:vertAlign w:val="superscript"/>
          <w:rtl w:val="0"/>
        </w:rPr>
        <w:t xml:space="preserve">15</w:t>
      </w:r>
      <w:r w:rsidDel="00000000" w:rsidR="00000000" w:rsidRPr="00000000">
        <w:rPr>
          <w:rFonts w:ascii="Google Sans" w:cs="Google Sans" w:eastAsia="Google Sans" w:hAnsi="Google Sans"/>
          <w:color w:val="1f1f1f"/>
          <w:sz w:val="16"/>
          <w:szCs w:val="16"/>
          <w:rtl w:val="0"/>
        </w:rPr>
        <w:t xml:space="preserve"> This combination of low charge-offs and rising capital levels has allowed Zions to maintain an ACL coverage ratio of 259.6%, indicating that its reserves are more than twice the size of its total nonaccrual loans.</w:t>
      </w:r>
      <w:r w:rsidDel="00000000" w:rsidR="00000000" w:rsidRPr="00000000">
        <w:rPr>
          <w:rFonts w:ascii="Google Sans" w:cs="Google Sans" w:eastAsia="Google Sans" w:hAnsi="Google Sans"/>
          <w:color w:val="444746"/>
          <w:sz w:val="16"/>
          <w:szCs w:val="16"/>
          <w:vertAlign w:val="superscript"/>
          <w:rtl w:val="0"/>
        </w:rPr>
        <w:t xml:space="preserve">6</w:t>
      </w:r>
    </w:p>
    <w:p w:rsidR="00000000" w:rsidDel="00000000" w:rsidP="00000000" w:rsidRDefault="00000000" w:rsidRPr="00000000" w14:paraId="0000006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sz w:val="16"/>
          <w:szCs w:val="16"/>
        </w:rPr>
      </w:pPr>
      <w:r w:rsidDel="00000000" w:rsidR="00000000" w:rsidRPr="00000000">
        <w:rPr>
          <w:rFonts w:ascii="Google Sans" w:cs="Google Sans" w:eastAsia="Google Sans" w:hAnsi="Google Sans"/>
          <w:color w:val="1f1f1f"/>
          <w:sz w:val="16"/>
          <w:szCs w:val="16"/>
          <w:rtl w:val="0"/>
        </w:rPr>
        <w:t xml:space="preserve">Columbia Banking System: Scaled Western Franchise</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16"/>
          <w:szCs w:val="16"/>
          <w:vertAlign w:val="superscript"/>
        </w:rPr>
      </w:pPr>
      <w:r w:rsidDel="00000000" w:rsidR="00000000" w:rsidRPr="00000000">
        <w:rPr>
          <w:rFonts w:ascii="Google Sans" w:cs="Google Sans" w:eastAsia="Google Sans" w:hAnsi="Google Sans"/>
          <w:color w:val="1f1f1f"/>
          <w:sz w:val="16"/>
          <w:szCs w:val="16"/>
          <w:rtl w:val="0"/>
        </w:rPr>
        <w:t xml:space="preserve">Columbia Banking System (COLB) completed 2025 as a significantly larger and more diversified entity following its strategic merger with Pacific Premier.</w:t>
      </w:r>
      <w:r w:rsidDel="00000000" w:rsidR="00000000" w:rsidRPr="00000000">
        <w:rPr>
          <w:rFonts w:ascii="Google Sans" w:cs="Google Sans" w:eastAsia="Google Sans" w:hAnsi="Google Sans"/>
          <w:color w:val="444746"/>
          <w:sz w:val="16"/>
          <w:szCs w:val="16"/>
          <w:vertAlign w:val="superscript"/>
          <w:rtl w:val="0"/>
        </w:rPr>
        <w:t xml:space="preserve">17</w:t>
      </w:r>
      <w:r w:rsidDel="00000000" w:rsidR="00000000" w:rsidRPr="00000000">
        <w:rPr>
          <w:rFonts w:ascii="Google Sans" w:cs="Google Sans" w:eastAsia="Google Sans" w:hAnsi="Google Sans"/>
          <w:color w:val="1f1f1f"/>
          <w:sz w:val="16"/>
          <w:szCs w:val="16"/>
          <w:rtl w:val="0"/>
        </w:rPr>
        <w:t xml:space="preserve"> The bank reported operating net income of $243 million for the quarter, with a return on average tangible common equity (ROTCE) of 17.22%.</w:t>
      </w:r>
      <w:r w:rsidDel="00000000" w:rsidR="00000000" w:rsidRPr="00000000">
        <w:rPr>
          <w:rFonts w:ascii="Google Sans" w:cs="Google Sans" w:eastAsia="Google Sans" w:hAnsi="Google Sans"/>
          <w:color w:val="444746"/>
          <w:sz w:val="16"/>
          <w:szCs w:val="16"/>
          <w:vertAlign w:val="superscript"/>
          <w:rtl w:val="0"/>
        </w:rPr>
        <w:t xml:space="preserve">9</w:t>
      </w:r>
    </w:p>
    <w:p w:rsidR="00000000" w:rsidDel="00000000" w:rsidP="00000000" w:rsidRDefault="00000000" w:rsidRPr="00000000" w14:paraId="0000006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sz w:val="16"/>
          <w:szCs w:val="16"/>
        </w:rPr>
      </w:pPr>
      <w:r w:rsidDel="00000000" w:rsidR="00000000" w:rsidRPr="00000000">
        <w:rPr>
          <w:rFonts w:ascii="Google Sans" w:cs="Google Sans" w:eastAsia="Google Sans" w:hAnsi="Google Sans"/>
          <w:color w:val="1f1f1f"/>
          <w:sz w:val="16"/>
          <w:szCs w:val="16"/>
          <w:rtl w:val="0"/>
        </w:rPr>
        <w:t xml:space="preserve">Portfolio Optimization and Credit Migration</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16"/>
          <w:szCs w:val="16"/>
          <w:vertAlign w:val="superscript"/>
        </w:rPr>
      </w:pPr>
      <w:r w:rsidDel="00000000" w:rsidR="00000000" w:rsidRPr="00000000">
        <w:rPr>
          <w:rFonts w:ascii="Google Sans" w:cs="Google Sans" w:eastAsia="Google Sans" w:hAnsi="Google Sans"/>
          <w:color w:val="1f1f1f"/>
          <w:sz w:val="16"/>
          <w:szCs w:val="16"/>
          <w:rtl w:val="0"/>
        </w:rPr>
        <w:t xml:space="preserve">Columbia’s management has been active in optimizing the balance sheet, allowing higher-cost and non-core loans to run off. Gross loans decreased to $47.8 billion in Q4, as the bank intentionally reduced its exposure to the CRE construction and development sectors.</w:t>
      </w:r>
      <w:r w:rsidDel="00000000" w:rsidR="00000000" w:rsidRPr="00000000">
        <w:rPr>
          <w:rFonts w:ascii="Google Sans" w:cs="Google Sans" w:eastAsia="Google Sans" w:hAnsi="Google Sans"/>
          <w:color w:val="444746"/>
          <w:sz w:val="16"/>
          <w:szCs w:val="16"/>
          <w:vertAlign w:val="superscript"/>
          <w:rtl w:val="0"/>
        </w:rPr>
        <w:t xml:space="preserve">8</w:t>
      </w:r>
      <w:r w:rsidDel="00000000" w:rsidR="00000000" w:rsidRPr="00000000">
        <w:rPr>
          <w:rFonts w:ascii="Google Sans" w:cs="Google Sans" w:eastAsia="Google Sans" w:hAnsi="Google Sans"/>
          <w:color w:val="1f1f1f"/>
          <w:sz w:val="16"/>
          <w:szCs w:val="16"/>
          <w:rtl w:val="0"/>
        </w:rPr>
        <w:t xml:space="preserve"> This retreat from high-concentration areas has stabilized the bank's credit profile; nonperforming assets were $200 million, or just 0.30% of total assets.</w:t>
      </w:r>
      <w:r w:rsidDel="00000000" w:rsidR="00000000" w:rsidRPr="00000000">
        <w:rPr>
          <w:rFonts w:ascii="Google Sans" w:cs="Google Sans" w:eastAsia="Google Sans" w:hAnsi="Google Sans"/>
          <w:color w:val="444746"/>
          <w:sz w:val="16"/>
          <w:szCs w:val="16"/>
          <w:vertAlign w:val="superscript"/>
          <w:rtl w:val="0"/>
        </w:rPr>
        <w:t xml:space="preserve">9</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16"/>
          <w:szCs w:val="16"/>
          <w:vertAlign w:val="superscript"/>
        </w:rPr>
      </w:pPr>
      <w:r w:rsidDel="00000000" w:rsidR="00000000" w:rsidRPr="00000000">
        <w:rPr>
          <w:rFonts w:ascii="Google Sans" w:cs="Google Sans" w:eastAsia="Google Sans" w:hAnsi="Google Sans"/>
          <w:color w:val="1f1f1f"/>
          <w:sz w:val="16"/>
          <w:szCs w:val="16"/>
          <w:rtl w:val="0"/>
        </w:rPr>
        <w:t xml:space="preserve">The bank's net interest margin (NIM) expanded to 4.06% in Q4, one of the highest in the peer group, benefiting from lower funding costs and favorable funding mix trends.</w:t>
      </w:r>
      <w:r w:rsidDel="00000000" w:rsidR="00000000" w:rsidRPr="00000000">
        <w:rPr>
          <w:rFonts w:ascii="Google Sans" w:cs="Google Sans" w:eastAsia="Google Sans" w:hAnsi="Google Sans"/>
          <w:color w:val="444746"/>
          <w:sz w:val="16"/>
          <w:szCs w:val="16"/>
          <w:vertAlign w:val="superscript"/>
          <w:rtl w:val="0"/>
        </w:rPr>
        <w:t xml:space="preserve">8</w:t>
      </w:r>
      <w:r w:rsidDel="00000000" w:rsidR="00000000" w:rsidRPr="00000000">
        <w:rPr>
          <w:rFonts w:ascii="Google Sans" w:cs="Google Sans" w:eastAsia="Google Sans" w:hAnsi="Google Sans"/>
          <w:color w:val="1f1f1f"/>
          <w:sz w:val="16"/>
          <w:szCs w:val="16"/>
          <w:rtl w:val="0"/>
        </w:rPr>
        <w:t xml:space="preserve"> With a Total Risk-Based Capital ratio of 13.6% and a CET1 ratio of 11.8%, Columbia is well-positioned to leverage its "Community Banking at Scale" model across major metropolitan areas like Seattle, Portland, and Los Angeles.</w:t>
      </w:r>
      <w:r w:rsidDel="00000000" w:rsidR="00000000" w:rsidRPr="00000000">
        <w:rPr>
          <w:rFonts w:ascii="Google Sans" w:cs="Google Sans" w:eastAsia="Google Sans" w:hAnsi="Google Sans"/>
          <w:color w:val="444746"/>
          <w:sz w:val="16"/>
          <w:szCs w:val="16"/>
          <w:vertAlign w:val="superscript"/>
          <w:rtl w:val="0"/>
        </w:rPr>
        <w:t xml:space="preserve">8</w:t>
      </w:r>
    </w:p>
    <w:p w:rsidR="00000000" w:rsidDel="00000000" w:rsidP="00000000" w:rsidRDefault="00000000" w:rsidRPr="00000000" w14:paraId="0000006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sz w:val="16"/>
          <w:szCs w:val="16"/>
        </w:rPr>
      </w:pPr>
      <w:r w:rsidDel="00000000" w:rsidR="00000000" w:rsidRPr="00000000">
        <w:rPr>
          <w:rFonts w:ascii="Google Sans" w:cs="Google Sans" w:eastAsia="Google Sans" w:hAnsi="Google Sans"/>
          <w:color w:val="1f1f1f"/>
          <w:sz w:val="16"/>
          <w:szCs w:val="16"/>
          <w:rtl w:val="0"/>
        </w:rPr>
        <w:t xml:space="preserve">East West Bancorp: Premium Capital and Conservative Underwriting</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16"/>
          <w:szCs w:val="16"/>
          <w:vertAlign w:val="superscript"/>
        </w:rPr>
      </w:pPr>
      <w:r w:rsidDel="00000000" w:rsidR="00000000" w:rsidRPr="00000000">
        <w:rPr>
          <w:rFonts w:ascii="Google Sans" w:cs="Google Sans" w:eastAsia="Google Sans" w:hAnsi="Google Sans"/>
          <w:color w:val="1f1f1f"/>
          <w:sz w:val="16"/>
          <w:szCs w:val="16"/>
          <w:rtl w:val="0"/>
        </w:rPr>
        <w:t xml:space="preserve">East West Bancorp (EWBC) reported record net income of $1.3 billion for the full year 2025, driven by its unique position as a bridge between the U.S. and Greater China markets.</w:t>
      </w:r>
      <w:r w:rsidDel="00000000" w:rsidR="00000000" w:rsidRPr="00000000">
        <w:rPr>
          <w:rFonts w:ascii="Google Sans" w:cs="Google Sans" w:eastAsia="Google Sans" w:hAnsi="Google Sans"/>
          <w:color w:val="444746"/>
          <w:sz w:val="16"/>
          <w:szCs w:val="16"/>
          <w:vertAlign w:val="superscript"/>
          <w:rtl w:val="0"/>
        </w:rPr>
        <w:t xml:space="preserve">19</w:t>
      </w:r>
      <w:r w:rsidDel="00000000" w:rsidR="00000000" w:rsidRPr="00000000">
        <w:rPr>
          <w:rFonts w:ascii="Google Sans" w:cs="Google Sans" w:eastAsia="Google Sans" w:hAnsi="Google Sans"/>
          <w:color w:val="1f1f1f"/>
          <w:sz w:val="16"/>
          <w:szCs w:val="16"/>
          <w:rtl w:val="0"/>
        </w:rPr>
        <w:t xml:space="preserve"> In Q4 2025, the bank achieved net income of $356 million and increased its quarterly dividend by 33% to $0.80 per share.</w:t>
      </w:r>
      <w:r w:rsidDel="00000000" w:rsidR="00000000" w:rsidRPr="00000000">
        <w:rPr>
          <w:rFonts w:ascii="Google Sans" w:cs="Google Sans" w:eastAsia="Google Sans" w:hAnsi="Google Sans"/>
          <w:color w:val="444746"/>
          <w:sz w:val="16"/>
          <w:szCs w:val="16"/>
          <w:vertAlign w:val="superscript"/>
          <w:rtl w:val="0"/>
        </w:rPr>
        <w:t xml:space="preserve">7</w:t>
      </w:r>
    </w:p>
    <w:p w:rsidR="00000000" w:rsidDel="00000000" w:rsidP="00000000" w:rsidRDefault="00000000" w:rsidRPr="00000000" w14:paraId="0000006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sz w:val="16"/>
          <w:szCs w:val="16"/>
        </w:rPr>
      </w:pPr>
      <w:r w:rsidDel="00000000" w:rsidR="00000000" w:rsidRPr="00000000">
        <w:rPr>
          <w:rFonts w:ascii="Google Sans" w:cs="Google Sans" w:eastAsia="Google Sans" w:hAnsi="Google Sans"/>
          <w:color w:val="1f1f1f"/>
          <w:sz w:val="16"/>
          <w:szCs w:val="16"/>
          <w:rtl w:val="0"/>
        </w:rPr>
        <w:t xml:space="preserve">The Defensive CRE Engine</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16"/>
          <w:szCs w:val="16"/>
          <w:vertAlign w:val="superscript"/>
        </w:rPr>
      </w:pPr>
      <w:r w:rsidDel="00000000" w:rsidR="00000000" w:rsidRPr="00000000">
        <w:rPr>
          <w:rFonts w:ascii="Google Sans" w:cs="Google Sans" w:eastAsia="Google Sans" w:hAnsi="Google Sans"/>
          <w:color w:val="1f1f1f"/>
          <w:sz w:val="16"/>
          <w:szCs w:val="16"/>
          <w:rtl w:val="0"/>
        </w:rPr>
        <w:t xml:space="preserve">EWBC maintains a $21.3 billion CRE portfolio, which is 37% of its total loan book.</w:t>
      </w:r>
      <w:r w:rsidDel="00000000" w:rsidR="00000000" w:rsidRPr="00000000">
        <w:rPr>
          <w:rFonts w:ascii="Google Sans" w:cs="Google Sans" w:eastAsia="Google Sans" w:hAnsi="Google Sans"/>
          <w:color w:val="444746"/>
          <w:sz w:val="16"/>
          <w:szCs w:val="16"/>
          <w:vertAlign w:val="superscript"/>
          <w:rtl w:val="0"/>
        </w:rPr>
        <w:t xml:space="preserve">7</w:t>
      </w:r>
      <w:r w:rsidDel="00000000" w:rsidR="00000000" w:rsidRPr="00000000">
        <w:rPr>
          <w:rFonts w:ascii="Google Sans" w:cs="Google Sans" w:eastAsia="Google Sans" w:hAnsi="Google Sans"/>
          <w:color w:val="1f1f1f"/>
          <w:sz w:val="16"/>
          <w:szCs w:val="16"/>
          <w:rtl w:val="0"/>
        </w:rPr>
        <w:t xml:space="preserve"> Despite this relatively high concentration (161.4% of capital), the bank’s risk profile is inherently defensive. The average loan-to-value (LTV) ratio for the CRE portfolio is only 49%, providing a massive equity cushion against falling property prices.</w:t>
      </w:r>
      <w:r w:rsidDel="00000000" w:rsidR="00000000" w:rsidRPr="00000000">
        <w:rPr>
          <w:rFonts w:ascii="Google Sans" w:cs="Google Sans" w:eastAsia="Google Sans" w:hAnsi="Google Sans"/>
          <w:color w:val="444746"/>
          <w:sz w:val="16"/>
          <w:szCs w:val="16"/>
          <w:vertAlign w:val="superscript"/>
          <w:rtl w:val="0"/>
        </w:rPr>
        <w:t xml:space="preserve">19</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sz w:val="16"/>
          <w:szCs w:val="16"/>
        </w:rPr>
      </w:pPr>
      <w:r w:rsidDel="00000000" w:rsidR="00000000" w:rsidRPr="00000000">
        <w:rPr>
          <w:rFonts w:ascii="Google Sans" w:cs="Google Sans" w:eastAsia="Google Sans" w:hAnsi="Google Sans"/>
          <w:color w:val="1f1f1f"/>
          <w:sz w:val="16"/>
          <w:szCs w:val="16"/>
          <w:rtl w:val="0"/>
        </w:rPr>
        <w:t xml:space="preserve">The composition of the CRE book is well-distributed:</w:t>
      </w:r>
    </w:p>
    <w:p w:rsidR="00000000" w:rsidDel="00000000" w:rsidP="00000000" w:rsidRDefault="00000000" w:rsidRPr="00000000" w14:paraId="0000006D">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sz w:val="16"/>
          <w:szCs w:val="16"/>
        </w:rPr>
      </w:pPr>
      <w:r w:rsidDel="00000000" w:rsidR="00000000" w:rsidRPr="00000000">
        <w:rPr>
          <w:rFonts w:ascii="Google Sans" w:cs="Google Sans" w:eastAsia="Google Sans" w:hAnsi="Google Sans"/>
          <w:color w:val="1f1f1f"/>
          <w:sz w:val="16"/>
          <w:szCs w:val="16"/>
          <w:rtl w:val="0"/>
        </w:rPr>
        <w:t xml:space="preserve">Multifamily: $5.1 billion</w:t>
      </w:r>
    </w:p>
    <w:p w:rsidR="00000000" w:rsidDel="00000000" w:rsidP="00000000" w:rsidRDefault="00000000" w:rsidRPr="00000000" w14:paraId="0000006E">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sz w:val="16"/>
          <w:szCs w:val="16"/>
        </w:rPr>
      </w:pPr>
      <w:r w:rsidDel="00000000" w:rsidR="00000000" w:rsidRPr="00000000">
        <w:rPr>
          <w:rFonts w:ascii="Google Sans" w:cs="Google Sans" w:eastAsia="Google Sans" w:hAnsi="Google Sans"/>
          <w:color w:val="1f1f1f"/>
          <w:sz w:val="16"/>
          <w:szCs w:val="16"/>
          <w:rtl w:val="0"/>
        </w:rPr>
        <w:t xml:space="preserve">Retail: $4.5 billion</w:t>
      </w:r>
    </w:p>
    <w:p w:rsidR="00000000" w:rsidDel="00000000" w:rsidP="00000000" w:rsidRDefault="00000000" w:rsidRPr="00000000" w14:paraId="0000006F">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sz w:val="16"/>
          <w:szCs w:val="16"/>
        </w:rPr>
      </w:pPr>
      <w:r w:rsidDel="00000000" w:rsidR="00000000" w:rsidRPr="00000000">
        <w:rPr>
          <w:rFonts w:ascii="Google Sans" w:cs="Google Sans" w:eastAsia="Google Sans" w:hAnsi="Google Sans"/>
          <w:color w:val="1f1f1f"/>
          <w:sz w:val="16"/>
          <w:szCs w:val="16"/>
          <w:rtl w:val="0"/>
        </w:rPr>
        <w:t xml:space="preserve">Industrial: $4.2 billion</w:t>
      </w:r>
    </w:p>
    <w:p w:rsidR="00000000" w:rsidDel="00000000" w:rsidP="00000000" w:rsidRDefault="00000000" w:rsidRPr="00000000" w14:paraId="00000070">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sz w:val="16"/>
          <w:szCs w:val="16"/>
        </w:rPr>
      </w:pPr>
      <w:r w:rsidDel="00000000" w:rsidR="00000000" w:rsidRPr="00000000">
        <w:rPr>
          <w:rFonts w:ascii="Google Sans" w:cs="Google Sans" w:eastAsia="Google Sans" w:hAnsi="Google Sans"/>
          <w:color w:val="1f1f1f"/>
          <w:sz w:val="16"/>
          <w:szCs w:val="16"/>
          <w:rtl w:val="0"/>
        </w:rPr>
        <w:t xml:space="preserve">Hotel: $2.5 billion</w:t>
      </w:r>
    </w:p>
    <w:p w:rsidR="00000000" w:rsidDel="00000000" w:rsidP="00000000" w:rsidRDefault="00000000" w:rsidRPr="00000000" w14:paraId="00000071">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rPr>
          <w:sz w:val="16"/>
          <w:szCs w:val="16"/>
        </w:rPr>
      </w:pPr>
      <w:r w:rsidDel="00000000" w:rsidR="00000000" w:rsidRPr="00000000">
        <w:rPr>
          <w:rFonts w:ascii="Google Sans" w:cs="Google Sans" w:eastAsia="Google Sans" w:hAnsi="Google Sans"/>
          <w:color w:val="1f1f1f"/>
          <w:sz w:val="16"/>
          <w:szCs w:val="16"/>
          <w:rtl w:val="0"/>
        </w:rPr>
        <w:t xml:space="preserve">Office: $2.2 billion </w:t>
      </w:r>
      <w:r w:rsidDel="00000000" w:rsidR="00000000" w:rsidRPr="00000000">
        <w:rPr>
          <w:rFonts w:ascii="Google Sans" w:cs="Google Sans" w:eastAsia="Google Sans" w:hAnsi="Google Sans"/>
          <w:color w:val="444746"/>
          <w:sz w:val="16"/>
          <w:szCs w:val="16"/>
          <w:vertAlign w:val="superscript"/>
          <w:rtl w:val="0"/>
        </w:rPr>
        <w:t xml:space="preserve">7</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16"/>
          <w:szCs w:val="16"/>
          <w:vertAlign w:val="superscript"/>
        </w:rPr>
      </w:pPr>
      <w:r w:rsidDel="00000000" w:rsidR="00000000" w:rsidRPr="00000000">
        <w:rPr>
          <w:rFonts w:ascii="Google Sans" w:cs="Google Sans" w:eastAsia="Google Sans" w:hAnsi="Google Sans"/>
          <w:color w:val="1f1f1f"/>
          <w:sz w:val="16"/>
          <w:szCs w:val="16"/>
          <w:rtl w:val="0"/>
        </w:rPr>
        <w:t xml:space="preserve">EWBC’s nonperforming assets remained stable at 0.26%, while its ACL coverage ratio led the peer group at 546.2%.</w:t>
      </w:r>
      <w:r w:rsidDel="00000000" w:rsidR="00000000" w:rsidRPr="00000000">
        <w:rPr>
          <w:rFonts w:ascii="Google Sans" w:cs="Google Sans" w:eastAsia="Google Sans" w:hAnsi="Google Sans"/>
          <w:color w:val="444746"/>
          <w:sz w:val="16"/>
          <w:szCs w:val="16"/>
          <w:vertAlign w:val="superscript"/>
          <w:rtl w:val="0"/>
        </w:rPr>
        <w:t xml:space="preserve">7</w:t>
      </w:r>
      <w:r w:rsidDel="00000000" w:rsidR="00000000" w:rsidRPr="00000000">
        <w:rPr>
          <w:rFonts w:ascii="Google Sans" w:cs="Google Sans" w:eastAsia="Google Sans" w:hAnsi="Google Sans"/>
          <w:color w:val="1f1f1f"/>
          <w:sz w:val="16"/>
          <w:szCs w:val="16"/>
          <w:rtl w:val="0"/>
        </w:rPr>
        <w:t xml:space="preserve"> With a CET1 ratio of 15.1%, EWBC holds the highest common equity buffer among the banks analyzed, allowing it to aggressively return capital to shareholders while maintaining a fortress balance sheet.</w:t>
      </w:r>
      <w:r w:rsidDel="00000000" w:rsidR="00000000" w:rsidRPr="00000000">
        <w:rPr>
          <w:rFonts w:ascii="Google Sans" w:cs="Google Sans" w:eastAsia="Google Sans" w:hAnsi="Google Sans"/>
          <w:color w:val="444746"/>
          <w:sz w:val="16"/>
          <w:szCs w:val="16"/>
          <w:vertAlign w:val="superscript"/>
          <w:rtl w:val="0"/>
        </w:rPr>
        <w:t xml:space="preserve">7</w:t>
      </w:r>
    </w:p>
    <w:p w:rsidR="00000000" w:rsidDel="00000000" w:rsidP="00000000" w:rsidRDefault="00000000" w:rsidRPr="00000000" w14:paraId="0000007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sz w:val="16"/>
          <w:szCs w:val="16"/>
        </w:rPr>
      </w:pPr>
      <w:r w:rsidDel="00000000" w:rsidR="00000000" w:rsidRPr="00000000">
        <w:rPr>
          <w:rFonts w:ascii="Google Sans" w:cs="Google Sans" w:eastAsia="Google Sans" w:hAnsi="Google Sans"/>
          <w:color w:val="1f1f1f"/>
          <w:sz w:val="16"/>
          <w:szCs w:val="16"/>
          <w:rtl w:val="0"/>
        </w:rPr>
        <w:t xml:space="preserve">Huntington Bancshares: Super-Regional Diversification</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16"/>
          <w:szCs w:val="16"/>
          <w:vertAlign w:val="superscript"/>
        </w:rPr>
      </w:pPr>
      <w:r w:rsidDel="00000000" w:rsidR="00000000" w:rsidRPr="00000000">
        <w:rPr>
          <w:rFonts w:ascii="Google Sans" w:cs="Google Sans" w:eastAsia="Google Sans" w:hAnsi="Google Sans"/>
          <w:color w:val="1f1f1f"/>
          <w:sz w:val="16"/>
          <w:szCs w:val="16"/>
          <w:rtl w:val="0"/>
        </w:rPr>
        <w:t xml:space="preserve">Huntington Bancshares (HBAN) operates with a fundamentally different risk profile than specialized lenders like OZK. As a super-regional bank with assets across 21 states, Huntington’s CRE concentration is a modest 91.1% of risk-based capital.</w:t>
      </w:r>
      <w:r w:rsidDel="00000000" w:rsidR="00000000" w:rsidRPr="00000000">
        <w:rPr>
          <w:rFonts w:ascii="Google Sans" w:cs="Google Sans" w:eastAsia="Google Sans" w:hAnsi="Google Sans"/>
          <w:color w:val="444746"/>
          <w:sz w:val="16"/>
          <w:szCs w:val="16"/>
          <w:vertAlign w:val="superscript"/>
          <w:rtl w:val="0"/>
        </w:rPr>
        <w:t xml:space="preserve">22</w:t>
      </w:r>
    </w:p>
    <w:p w:rsidR="00000000" w:rsidDel="00000000" w:rsidP="00000000" w:rsidRDefault="00000000" w:rsidRPr="00000000" w14:paraId="0000007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sz w:val="16"/>
          <w:szCs w:val="16"/>
        </w:rPr>
      </w:pPr>
      <w:r w:rsidDel="00000000" w:rsidR="00000000" w:rsidRPr="00000000">
        <w:rPr>
          <w:rFonts w:ascii="Google Sans" w:cs="Google Sans" w:eastAsia="Google Sans" w:hAnsi="Google Sans"/>
          <w:color w:val="1f1f1f"/>
          <w:sz w:val="16"/>
          <w:szCs w:val="16"/>
          <w:rtl w:val="0"/>
        </w:rPr>
        <w:t xml:space="preserve">M&amp;A Integration and Loan Growth</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sz w:val="16"/>
          <w:szCs w:val="16"/>
        </w:rPr>
      </w:pPr>
      <w:r w:rsidDel="00000000" w:rsidR="00000000" w:rsidRPr="00000000">
        <w:rPr>
          <w:rFonts w:ascii="Google Sans" w:cs="Google Sans" w:eastAsia="Google Sans" w:hAnsi="Google Sans"/>
          <w:color w:val="1f1f1f"/>
          <w:sz w:val="16"/>
          <w:szCs w:val="16"/>
          <w:rtl w:val="0"/>
        </w:rPr>
        <w:t xml:space="preserve">Huntington’s Q4 results were characterized by the successful integration of Veritex Holdings, which added $4.2 billion in commercial real estate loans to its portfolio.</w:t>
      </w:r>
      <w:r w:rsidDel="00000000" w:rsidR="00000000" w:rsidRPr="00000000">
        <w:rPr>
          <w:rFonts w:ascii="Google Sans" w:cs="Google Sans" w:eastAsia="Google Sans" w:hAnsi="Google Sans"/>
          <w:color w:val="444746"/>
          <w:sz w:val="16"/>
          <w:szCs w:val="16"/>
          <w:vertAlign w:val="superscript"/>
          <w:rtl w:val="0"/>
        </w:rPr>
        <w:t xml:space="preserve">22</w:t>
      </w:r>
      <w:r w:rsidDel="00000000" w:rsidR="00000000" w:rsidRPr="00000000">
        <w:rPr>
          <w:rFonts w:ascii="Google Sans" w:cs="Google Sans" w:eastAsia="Google Sans" w:hAnsi="Google Sans"/>
          <w:color w:val="1f1f1f"/>
          <w:sz w:val="16"/>
          <w:szCs w:val="16"/>
          <w:rtl w:val="0"/>
        </w:rPr>
        <w:t xml:space="preserve"> Average total loans increased 14% year-over-year to $146.6 billion.</w:t>
      </w:r>
      <w:r w:rsidDel="00000000" w:rsidR="00000000" w:rsidRPr="00000000">
        <w:rPr>
          <w:rFonts w:ascii="Google Sans" w:cs="Google Sans" w:eastAsia="Google Sans" w:hAnsi="Google Sans"/>
          <w:color w:val="444746"/>
          <w:sz w:val="16"/>
          <w:szCs w:val="16"/>
          <w:vertAlign w:val="superscript"/>
          <w:rtl w:val="0"/>
        </w:rPr>
        <w:t xml:space="preserve">24</w:t>
      </w:r>
      <w:r w:rsidDel="00000000" w:rsidR="00000000" w:rsidRPr="00000000">
        <w:rPr>
          <w:rFonts w:ascii="Google Sans" w:cs="Google Sans" w:eastAsia="Google Sans" w:hAnsi="Google Sans"/>
          <w:color w:val="1f1f1f"/>
          <w:sz w:val="16"/>
          <w:szCs w:val="16"/>
          <w:rtl w:val="0"/>
        </w:rPr>
        <w:t xml:space="preserve"> Despite the absolute dollar growth in CRE, the bank’s diversified business model—including strong consumer and corporate C&amp;I segments—keeps its real estate exposure well-managed.</w:t>
      </w:r>
    </w:p>
    <w:p w:rsidR="00000000" w:rsidDel="00000000" w:rsidP="00000000" w:rsidRDefault="00000000" w:rsidRPr="00000000" w14:paraId="0000007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sz w:val="16"/>
          <w:szCs w:val="16"/>
        </w:rPr>
      </w:pPr>
      <w:r w:rsidDel="00000000" w:rsidR="00000000" w:rsidRPr="00000000">
        <w:rPr>
          <w:rFonts w:ascii="Google Sans" w:cs="Google Sans" w:eastAsia="Google Sans" w:hAnsi="Google Sans"/>
          <w:color w:val="1f1f1f"/>
          <w:sz w:val="16"/>
          <w:szCs w:val="16"/>
          <w:rtl w:val="0"/>
        </w:rPr>
        <w:t xml:space="preserve">Conservative Provisioning and Asset Quality</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16"/>
          <w:szCs w:val="16"/>
          <w:vertAlign w:val="superscript"/>
        </w:rPr>
      </w:pPr>
      <w:r w:rsidDel="00000000" w:rsidR="00000000" w:rsidRPr="00000000">
        <w:rPr>
          <w:rFonts w:ascii="Google Sans" w:cs="Google Sans" w:eastAsia="Google Sans" w:hAnsi="Google Sans"/>
          <w:color w:val="1f1f1f"/>
          <w:sz w:val="16"/>
          <w:szCs w:val="16"/>
          <w:rtl w:val="0"/>
        </w:rPr>
        <w:t xml:space="preserve">Huntington stands out for its conservative approach to loss reserves. Its ACL of 1.83% of total loans is the highest in the peer group, reflecting a $181 million increase during the quarter.</w:t>
      </w:r>
      <w:r w:rsidDel="00000000" w:rsidR="00000000" w:rsidRPr="00000000">
        <w:rPr>
          <w:rFonts w:ascii="Google Sans" w:cs="Google Sans" w:eastAsia="Google Sans" w:hAnsi="Google Sans"/>
          <w:color w:val="444746"/>
          <w:sz w:val="16"/>
          <w:szCs w:val="16"/>
          <w:vertAlign w:val="superscript"/>
          <w:rtl w:val="0"/>
        </w:rPr>
        <w:t xml:space="preserve">22</w:t>
      </w:r>
      <w:r w:rsidDel="00000000" w:rsidR="00000000" w:rsidRPr="00000000">
        <w:rPr>
          <w:rFonts w:ascii="Google Sans" w:cs="Google Sans" w:eastAsia="Google Sans" w:hAnsi="Google Sans"/>
          <w:color w:val="1f1f1f"/>
          <w:sz w:val="16"/>
          <w:szCs w:val="16"/>
          <w:rtl w:val="0"/>
        </w:rPr>
        <w:t xml:space="preserve"> While its nonperforming asset ratio rose slightly to 0.63%, the bank’s high reserve level ensures a strong coverage ratio of 290.5%.</w:t>
      </w:r>
      <w:r w:rsidDel="00000000" w:rsidR="00000000" w:rsidRPr="00000000">
        <w:rPr>
          <w:rFonts w:ascii="Google Sans" w:cs="Google Sans" w:eastAsia="Google Sans" w:hAnsi="Google Sans"/>
          <w:color w:val="444746"/>
          <w:sz w:val="16"/>
          <w:szCs w:val="16"/>
          <w:vertAlign w:val="superscript"/>
          <w:rtl w:val="0"/>
        </w:rPr>
        <w:t xml:space="preserve">22</w:t>
      </w:r>
      <w:r w:rsidDel="00000000" w:rsidR="00000000" w:rsidRPr="00000000">
        <w:rPr>
          <w:rFonts w:ascii="Google Sans" w:cs="Google Sans" w:eastAsia="Google Sans" w:hAnsi="Google Sans"/>
          <w:color w:val="1f1f1f"/>
          <w:sz w:val="16"/>
          <w:szCs w:val="16"/>
          <w:rtl w:val="0"/>
        </w:rPr>
        <w:t xml:space="preserve"> Huntington's net charge-off rate of 0.24% remains in line with historical averages, demonstrating the resilience of its "people-first" underwriting strategy even during the current period of economic uncertainty.</w:t>
      </w:r>
      <w:r w:rsidDel="00000000" w:rsidR="00000000" w:rsidRPr="00000000">
        <w:rPr>
          <w:rFonts w:ascii="Google Sans" w:cs="Google Sans" w:eastAsia="Google Sans" w:hAnsi="Google Sans"/>
          <w:color w:val="444746"/>
          <w:sz w:val="16"/>
          <w:szCs w:val="16"/>
          <w:vertAlign w:val="superscript"/>
          <w:rtl w:val="0"/>
        </w:rPr>
        <w:t xml:space="preserve">23</w:t>
      </w:r>
    </w:p>
    <w:p w:rsidR="00000000" w:rsidDel="00000000" w:rsidP="00000000" w:rsidRDefault="00000000" w:rsidRPr="00000000" w14:paraId="0000007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sz w:val="16"/>
          <w:szCs w:val="16"/>
        </w:rPr>
      </w:pPr>
      <w:r w:rsidDel="00000000" w:rsidR="00000000" w:rsidRPr="00000000">
        <w:rPr>
          <w:rFonts w:ascii="Google Sans" w:cs="Google Sans" w:eastAsia="Google Sans" w:hAnsi="Google Sans"/>
          <w:color w:val="1f1f1f"/>
          <w:sz w:val="16"/>
          <w:szCs w:val="16"/>
          <w:rtl w:val="0"/>
        </w:rPr>
        <w:t xml:space="preserve">Truist Financial Corporation: Efficiency and Capital Allocation</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sz w:val="16"/>
          <w:szCs w:val="16"/>
        </w:rPr>
      </w:pPr>
      <w:r w:rsidDel="00000000" w:rsidR="00000000" w:rsidRPr="00000000">
        <w:rPr>
          <w:rFonts w:ascii="Google Sans" w:cs="Google Sans" w:eastAsia="Google Sans" w:hAnsi="Google Sans"/>
          <w:color w:val="1f1f1f"/>
          <w:sz w:val="16"/>
          <w:szCs w:val="16"/>
          <w:rtl w:val="0"/>
        </w:rPr>
        <w:t xml:space="preserve">Truist Financial (TFC) represents the lowest CRE concentration in this study at 84.6% of capital.</w:t>
      </w:r>
      <w:r w:rsidDel="00000000" w:rsidR="00000000" w:rsidRPr="00000000">
        <w:rPr>
          <w:rFonts w:ascii="Google Sans" w:cs="Google Sans" w:eastAsia="Google Sans" w:hAnsi="Google Sans"/>
          <w:color w:val="444746"/>
          <w:sz w:val="16"/>
          <w:szCs w:val="16"/>
          <w:vertAlign w:val="superscript"/>
          <w:rtl w:val="0"/>
        </w:rPr>
        <w:t xml:space="preserve">10</w:t>
      </w:r>
      <w:r w:rsidDel="00000000" w:rsidR="00000000" w:rsidRPr="00000000">
        <w:rPr>
          <w:rFonts w:ascii="Google Sans" w:cs="Google Sans" w:eastAsia="Google Sans" w:hAnsi="Google Sans"/>
          <w:color w:val="1f1f1f"/>
          <w:sz w:val="16"/>
          <w:szCs w:val="16"/>
          <w:rtl w:val="0"/>
        </w:rPr>
        <w:t xml:space="preserve"> Following the strategic sale of its insurance business in 2024, Truist has spent 2025 focusing on core banking efficiency and capital return.</w:t>
      </w:r>
    </w:p>
    <w:p w:rsidR="00000000" w:rsidDel="00000000" w:rsidP="00000000" w:rsidRDefault="00000000" w:rsidRPr="00000000" w14:paraId="0000007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sz w:val="16"/>
          <w:szCs w:val="16"/>
        </w:rPr>
      </w:pPr>
      <w:r w:rsidDel="00000000" w:rsidR="00000000" w:rsidRPr="00000000">
        <w:rPr>
          <w:rFonts w:ascii="Google Sans" w:cs="Google Sans" w:eastAsia="Google Sans" w:hAnsi="Google Sans"/>
          <w:color w:val="1f1f1f"/>
          <w:sz w:val="16"/>
          <w:szCs w:val="16"/>
          <w:rtl w:val="0"/>
        </w:rPr>
        <w:t xml:space="preserve">Credit Normalization and Charge-Offs</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16"/>
          <w:szCs w:val="16"/>
          <w:vertAlign w:val="superscript"/>
        </w:rPr>
      </w:pPr>
      <w:r w:rsidDel="00000000" w:rsidR="00000000" w:rsidRPr="00000000">
        <w:rPr>
          <w:rFonts w:ascii="Google Sans" w:cs="Google Sans" w:eastAsia="Google Sans" w:hAnsi="Google Sans"/>
          <w:color w:val="1f1f1f"/>
          <w:sz w:val="16"/>
          <w:szCs w:val="16"/>
          <w:rtl w:val="0"/>
        </w:rPr>
        <w:t xml:space="preserve">Truist reported a net charge-off rate of 0.57% for Q4 2025, the highest in the peer group.</w:t>
      </w:r>
      <w:r w:rsidDel="00000000" w:rsidR="00000000" w:rsidRPr="00000000">
        <w:rPr>
          <w:rFonts w:ascii="Google Sans" w:cs="Google Sans" w:eastAsia="Google Sans" w:hAnsi="Google Sans"/>
          <w:color w:val="444746"/>
          <w:sz w:val="16"/>
          <w:szCs w:val="16"/>
          <w:vertAlign w:val="superscript"/>
          <w:rtl w:val="0"/>
        </w:rPr>
        <w:t xml:space="preserve">10</w:t>
      </w:r>
      <w:r w:rsidDel="00000000" w:rsidR="00000000" w:rsidRPr="00000000">
        <w:rPr>
          <w:rFonts w:ascii="Google Sans" w:cs="Google Sans" w:eastAsia="Google Sans" w:hAnsi="Google Sans"/>
          <w:color w:val="1f1f1f"/>
          <w:sz w:val="16"/>
          <w:szCs w:val="16"/>
          <w:rtl w:val="0"/>
        </w:rPr>
        <w:t xml:space="preserve"> However, this was primarily driven by the commercial and industrial (C&amp;I) and consumer portfolios, rather than commercial real estate.</w:t>
      </w:r>
      <w:r w:rsidDel="00000000" w:rsidR="00000000" w:rsidRPr="00000000">
        <w:rPr>
          <w:rFonts w:ascii="Google Sans" w:cs="Google Sans" w:eastAsia="Google Sans" w:hAnsi="Google Sans"/>
          <w:color w:val="444746"/>
          <w:sz w:val="16"/>
          <w:szCs w:val="16"/>
          <w:vertAlign w:val="superscript"/>
          <w:rtl w:val="0"/>
        </w:rPr>
        <w:t xml:space="preserve">10</w:t>
      </w:r>
      <w:r w:rsidDel="00000000" w:rsidR="00000000" w:rsidRPr="00000000">
        <w:rPr>
          <w:rFonts w:ascii="Google Sans" w:cs="Google Sans" w:eastAsia="Google Sans" w:hAnsi="Google Sans"/>
          <w:color w:val="1f1f1f"/>
          <w:sz w:val="16"/>
          <w:szCs w:val="16"/>
          <w:rtl w:val="0"/>
        </w:rPr>
        <w:t xml:space="preserve"> In fact, Truist noted lower net charge-offs in its CRE portfolio during the quarter.</w:t>
      </w:r>
      <w:r w:rsidDel="00000000" w:rsidR="00000000" w:rsidRPr="00000000">
        <w:rPr>
          <w:rFonts w:ascii="Google Sans" w:cs="Google Sans" w:eastAsia="Google Sans" w:hAnsi="Google Sans"/>
          <w:color w:val="444746"/>
          <w:sz w:val="16"/>
          <w:szCs w:val="16"/>
          <w:vertAlign w:val="superscript"/>
          <w:rtl w:val="0"/>
        </w:rPr>
        <w:t xml:space="preserve">10</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16"/>
          <w:szCs w:val="16"/>
          <w:vertAlign w:val="superscript"/>
        </w:rPr>
      </w:pPr>
      <w:r w:rsidDel="00000000" w:rsidR="00000000" w:rsidRPr="00000000">
        <w:rPr>
          <w:rFonts w:ascii="Google Sans" w:cs="Google Sans" w:eastAsia="Google Sans" w:hAnsi="Google Sans"/>
          <w:color w:val="1f1f1f"/>
          <w:sz w:val="16"/>
          <w:szCs w:val="16"/>
          <w:rtl w:val="0"/>
        </w:rPr>
        <w:t xml:space="preserve">The bank's ACL ratio of 1.53% is robust, providing 283.3% coverage of its nonperforming loans.</w:t>
      </w:r>
      <w:r w:rsidDel="00000000" w:rsidR="00000000" w:rsidRPr="00000000">
        <w:rPr>
          <w:rFonts w:ascii="Google Sans" w:cs="Google Sans" w:eastAsia="Google Sans" w:hAnsi="Google Sans"/>
          <w:color w:val="444746"/>
          <w:sz w:val="16"/>
          <w:szCs w:val="16"/>
          <w:vertAlign w:val="superscript"/>
          <w:rtl w:val="0"/>
        </w:rPr>
        <w:t xml:space="preserve">10</w:t>
      </w:r>
      <w:r w:rsidDel="00000000" w:rsidR="00000000" w:rsidRPr="00000000">
        <w:rPr>
          <w:rFonts w:ascii="Google Sans" w:cs="Google Sans" w:eastAsia="Google Sans" w:hAnsi="Google Sans"/>
          <w:color w:val="1f1f1f"/>
          <w:sz w:val="16"/>
          <w:szCs w:val="16"/>
          <w:rtl w:val="0"/>
        </w:rPr>
        <w:t xml:space="preserve"> Truist’s average loans increased 1.3% sequentially, reflecting broad-based growth in its wholesale and consumer segments.</w:t>
      </w:r>
      <w:r w:rsidDel="00000000" w:rsidR="00000000" w:rsidRPr="00000000">
        <w:rPr>
          <w:rFonts w:ascii="Google Sans" w:cs="Google Sans" w:eastAsia="Google Sans" w:hAnsi="Google Sans"/>
          <w:color w:val="444746"/>
          <w:sz w:val="16"/>
          <w:szCs w:val="16"/>
          <w:vertAlign w:val="superscript"/>
          <w:rtl w:val="0"/>
        </w:rPr>
        <w:t xml:space="preserve">10</w:t>
      </w:r>
      <w:r w:rsidDel="00000000" w:rsidR="00000000" w:rsidRPr="00000000">
        <w:rPr>
          <w:rFonts w:ascii="Google Sans" w:cs="Google Sans" w:eastAsia="Google Sans" w:hAnsi="Google Sans"/>
          <w:color w:val="1f1f1f"/>
          <w:sz w:val="16"/>
          <w:szCs w:val="16"/>
          <w:rtl w:val="0"/>
        </w:rPr>
        <w:t xml:space="preserve"> With a CET1 ratio of 10.8% and a $10 billion share repurchase authorization, Truist is prioritizing capital flexibility as it moves into 2026.</w:t>
      </w:r>
      <w:r w:rsidDel="00000000" w:rsidR="00000000" w:rsidRPr="00000000">
        <w:rPr>
          <w:rFonts w:ascii="Google Sans" w:cs="Google Sans" w:eastAsia="Google Sans" w:hAnsi="Google Sans"/>
          <w:color w:val="444746"/>
          <w:sz w:val="16"/>
          <w:szCs w:val="16"/>
          <w:vertAlign w:val="superscript"/>
          <w:rtl w:val="0"/>
        </w:rPr>
        <w:t xml:space="preserve">10</w:t>
      </w:r>
    </w:p>
    <w:p w:rsidR="00000000" w:rsidDel="00000000" w:rsidP="00000000" w:rsidRDefault="00000000" w:rsidRPr="00000000" w14:paraId="0000007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sz w:val="16"/>
          <w:szCs w:val="16"/>
        </w:rPr>
      </w:pPr>
      <w:r w:rsidDel="00000000" w:rsidR="00000000" w:rsidRPr="00000000">
        <w:rPr>
          <w:rFonts w:ascii="Google Sans" w:cs="Google Sans" w:eastAsia="Google Sans" w:hAnsi="Google Sans"/>
          <w:color w:val="1f1f1f"/>
          <w:sz w:val="16"/>
          <w:szCs w:val="16"/>
          <w:rtl w:val="0"/>
        </w:rPr>
        <w:t xml:space="preserve">FNB Corporation: Balanced Growth and Capital Generation</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sz w:val="16"/>
          <w:szCs w:val="16"/>
        </w:rPr>
      </w:pPr>
      <w:r w:rsidDel="00000000" w:rsidR="00000000" w:rsidRPr="00000000">
        <w:rPr>
          <w:rFonts w:ascii="Google Sans" w:cs="Google Sans" w:eastAsia="Google Sans" w:hAnsi="Google Sans"/>
          <w:color w:val="1f1f1f"/>
          <w:sz w:val="16"/>
          <w:szCs w:val="16"/>
          <w:rtl w:val="0"/>
        </w:rPr>
        <w:t xml:space="preserve">FNB Corporation (FNB) delivered an "exceptional" fourth quarter, with operating EPS of $0.50 and record total revenue of $1.8 billion for the full year.</w:t>
      </w:r>
      <w:r w:rsidDel="00000000" w:rsidR="00000000" w:rsidRPr="00000000">
        <w:rPr>
          <w:rFonts w:ascii="Google Sans" w:cs="Google Sans" w:eastAsia="Google Sans" w:hAnsi="Google Sans"/>
          <w:color w:val="444746"/>
          <w:sz w:val="16"/>
          <w:szCs w:val="16"/>
          <w:vertAlign w:val="superscript"/>
          <w:rtl w:val="0"/>
        </w:rPr>
        <w:t xml:space="preserve">26</w:t>
      </w:r>
      <w:r w:rsidDel="00000000" w:rsidR="00000000" w:rsidRPr="00000000">
        <w:rPr>
          <w:rFonts w:ascii="Google Sans" w:cs="Google Sans" w:eastAsia="Google Sans" w:hAnsi="Google Sans"/>
          <w:color w:val="1f1f1f"/>
          <w:sz w:val="16"/>
          <w:szCs w:val="16"/>
          <w:rtl w:val="0"/>
        </w:rPr>
        <w:t xml:space="preserve"> Based in Pittsburgh, FNB has successfully expanded into high-growth Mid-Atlantic and Southeastern markets.</w:t>
      </w:r>
    </w:p>
    <w:p w:rsidR="00000000" w:rsidDel="00000000" w:rsidP="00000000" w:rsidRDefault="00000000" w:rsidRPr="00000000" w14:paraId="0000008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sz w:val="16"/>
          <w:szCs w:val="16"/>
        </w:rPr>
      </w:pPr>
      <w:r w:rsidDel="00000000" w:rsidR="00000000" w:rsidRPr="00000000">
        <w:rPr>
          <w:rFonts w:ascii="Google Sans" w:cs="Google Sans" w:eastAsia="Google Sans" w:hAnsi="Google Sans"/>
          <w:color w:val="1f1f1f"/>
          <w:sz w:val="16"/>
          <w:szCs w:val="16"/>
          <w:rtl w:val="0"/>
        </w:rPr>
        <w:t xml:space="preserve">Capital Ratios and CRE Management</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16"/>
          <w:szCs w:val="16"/>
          <w:vertAlign w:val="superscript"/>
        </w:rPr>
      </w:pPr>
      <w:r w:rsidDel="00000000" w:rsidR="00000000" w:rsidRPr="00000000">
        <w:rPr>
          <w:rFonts w:ascii="Google Sans" w:cs="Google Sans" w:eastAsia="Google Sans" w:hAnsi="Google Sans"/>
          <w:color w:val="1f1f1f"/>
          <w:sz w:val="16"/>
          <w:szCs w:val="16"/>
          <w:rtl w:val="0"/>
        </w:rPr>
        <w:t xml:space="preserve">FNB’s CRE concentration of 138.5% and C&amp;D concentration of 22.1% are well within the mid-range of the regional banking peer group.</w:t>
      </w:r>
      <w:r w:rsidDel="00000000" w:rsidR="00000000" w:rsidRPr="00000000">
        <w:rPr>
          <w:rFonts w:ascii="Google Sans" w:cs="Google Sans" w:eastAsia="Google Sans" w:hAnsi="Google Sans"/>
          <w:color w:val="444746"/>
          <w:sz w:val="16"/>
          <w:szCs w:val="16"/>
          <w:vertAlign w:val="superscript"/>
          <w:rtl w:val="0"/>
        </w:rPr>
        <w:t xml:space="preserve">26</w:t>
      </w:r>
      <w:r w:rsidDel="00000000" w:rsidR="00000000" w:rsidRPr="00000000">
        <w:rPr>
          <w:rFonts w:ascii="Google Sans" w:cs="Google Sans" w:eastAsia="Google Sans" w:hAnsi="Google Sans"/>
          <w:color w:val="1f1f1f"/>
          <w:sz w:val="16"/>
          <w:szCs w:val="16"/>
          <w:rtl w:val="0"/>
        </w:rPr>
        <w:t xml:space="preserve"> The bank’s CET1 ratio improved to an estimated 11.4% at year-end, up from 10.6% a year ago.</w:t>
      </w:r>
      <w:r w:rsidDel="00000000" w:rsidR="00000000" w:rsidRPr="00000000">
        <w:rPr>
          <w:rFonts w:ascii="Google Sans" w:cs="Google Sans" w:eastAsia="Google Sans" w:hAnsi="Google Sans"/>
          <w:color w:val="444746"/>
          <w:sz w:val="16"/>
          <w:szCs w:val="16"/>
          <w:vertAlign w:val="superscript"/>
          <w:rtl w:val="0"/>
        </w:rPr>
        <w:t xml:space="preserve">26</w:t>
      </w:r>
      <w:r w:rsidDel="00000000" w:rsidR="00000000" w:rsidRPr="00000000">
        <w:rPr>
          <w:rFonts w:ascii="Google Sans" w:cs="Google Sans" w:eastAsia="Google Sans" w:hAnsi="Google Sans"/>
          <w:color w:val="1f1f1f"/>
          <w:sz w:val="16"/>
          <w:szCs w:val="16"/>
          <w:rtl w:val="0"/>
        </w:rPr>
        <w:t xml:space="preserve"> This capital generation has been supported by strong profitability, with a 16% return on average tangible common equity (ROATCE).</w:t>
      </w:r>
      <w:r w:rsidDel="00000000" w:rsidR="00000000" w:rsidRPr="00000000">
        <w:rPr>
          <w:rFonts w:ascii="Google Sans" w:cs="Google Sans" w:eastAsia="Google Sans" w:hAnsi="Google Sans"/>
          <w:color w:val="444746"/>
          <w:sz w:val="16"/>
          <w:szCs w:val="16"/>
          <w:vertAlign w:val="superscript"/>
          <w:rtl w:val="0"/>
        </w:rPr>
        <w:t xml:space="preserve">26</w:t>
      </w:r>
    </w:p>
    <w:p w:rsidR="00000000" w:rsidDel="00000000" w:rsidP="00000000" w:rsidRDefault="00000000" w:rsidRPr="00000000" w14:paraId="0000008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sz w:val="16"/>
          <w:szCs w:val="16"/>
        </w:rPr>
      </w:pPr>
      <w:r w:rsidDel="00000000" w:rsidR="00000000" w:rsidRPr="00000000">
        <w:rPr>
          <w:rFonts w:ascii="Google Sans" w:cs="Google Sans" w:eastAsia="Google Sans" w:hAnsi="Google Sans"/>
          <w:color w:val="1f1f1f"/>
          <w:sz w:val="16"/>
          <w:szCs w:val="16"/>
          <w:rtl w:val="0"/>
        </w:rPr>
        <w:t xml:space="preserve">Credit Metrics and Reserve Posture</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16"/>
          <w:szCs w:val="16"/>
          <w:vertAlign w:val="superscript"/>
        </w:rPr>
      </w:pPr>
      <w:r w:rsidDel="00000000" w:rsidR="00000000" w:rsidRPr="00000000">
        <w:rPr>
          <w:rFonts w:ascii="Google Sans" w:cs="Google Sans" w:eastAsia="Google Sans" w:hAnsi="Google Sans"/>
          <w:color w:val="1f1f1f"/>
          <w:sz w:val="16"/>
          <w:szCs w:val="16"/>
          <w:rtl w:val="0"/>
        </w:rPr>
        <w:t xml:space="preserve">Asset quality at FNB remains strong, with net charge-offs of 0.19% and a non-performing loan ratio of 0.31%.</w:t>
      </w:r>
      <w:r w:rsidDel="00000000" w:rsidR="00000000" w:rsidRPr="00000000">
        <w:rPr>
          <w:rFonts w:ascii="Google Sans" w:cs="Google Sans" w:eastAsia="Google Sans" w:hAnsi="Google Sans"/>
          <w:color w:val="444746"/>
          <w:sz w:val="16"/>
          <w:szCs w:val="16"/>
          <w:vertAlign w:val="superscript"/>
          <w:rtl w:val="0"/>
        </w:rPr>
        <w:t xml:space="preserve">26</w:t>
      </w:r>
      <w:r w:rsidDel="00000000" w:rsidR="00000000" w:rsidRPr="00000000">
        <w:rPr>
          <w:rFonts w:ascii="Google Sans" w:cs="Google Sans" w:eastAsia="Google Sans" w:hAnsi="Google Sans"/>
          <w:color w:val="1f1f1f"/>
          <w:sz w:val="16"/>
          <w:szCs w:val="16"/>
          <w:rtl w:val="0"/>
        </w:rPr>
        <w:t xml:space="preserve"> The bank maintains a healthy ACL to loans ratio of 1.25%, resulting in a noncurrent coverage ratio of 403.2%.</w:t>
      </w:r>
      <w:r w:rsidDel="00000000" w:rsidR="00000000" w:rsidRPr="00000000">
        <w:rPr>
          <w:rFonts w:ascii="Google Sans" w:cs="Google Sans" w:eastAsia="Google Sans" w:hAnsi="Google Sans"/>
          <w:color w:val="444746"/>
          <w:sz w:val="16"/>
          <w:szCs w:val="16"/>
          <w:vertAlign w:val="superscript"/>
          <w:rtl w:val="0"/>
        </w:rPr>
        <w:t xml:space="preserve">26</w:t>
      </w:r>
      <w:r w:rsidDel="00000000" w:rsidR="00000000" w:rsidRPr="00000000">
        <w:rPr>
          <w:rFonts w:ascii="Google Sans" w:cs="Google Sans" w:eastAsia="Google Sans" w:hAnsi="Google Sans"/>
          <w:color w:val="1f1f1f"/>
          <w:sz w:val="16"/>
          <w:szCs w:val="16"/>
          <w:rtl w:val="0"/>
        </w:rPr>
        <w:t xml:space="preserve"> This high level of coverage, combined with the bank's diversified loan mix and strong deposit growth (7.7% annualized in Q4), provides FNB with a resilient defensive profile.</w:t>
      </w:r>
      <w:r w:rsidDel="00000000" w:rsidR="00000000" w:rsidRPr="00000000">
        <w:rPr>
          <w:rFonts w:ascii="Google Sans" w:cs="Google Sans" w:eastAsia="Google Sans" w:hAnsi="Google Sans"/>
          <w:color w:val="444746"/>
          <w:sz w:val="16"/>
          <w:szCs w:val="16"/>
          <w:vertAlign w:val="superscript"/>
          <w:rtl w:val="0"/>
        </w:rPr>
        <w:t xml:space="preserve">26</w:t>
      </w:r>
    </w:p>
    <w:p w:rsidR="00000000" w:rsidDel="00000000" w:rsidP="00000000" w:rsidRDefault="00000000" w:rsidRPr="00000000" w14:paraId="0000008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sz w:val="16"/>
          <w:szCs w:val="16"/>
        </w:rPr>
      </w:pPr>
      <w:r w:rsidDel="00000000" w:rsidR="00000000" w:rsidRPr="00000000">
        <w:rPr>
          <w:rFonts w:ascii="Google Sans" w:cs="Google Sans" w:eastAsia="Google Sans" w:hAnsi="Google Sans"/>
          <w:color w:val="1f1f1f"/>
          <w:sz w:val="16"/>
          <w:szCs w:val="16"/>
          <w:rtl w:val="0"/>
        </w:rPr>
        <w:t xml:space="preserve">Technical Discussion: The Mechanics of Credit Quality and Capital Adequacy</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sz w:val="16"/>
          <w:szCs w:val="16"/>
        </w:rPr>
      </w:pPr>
      <w:r w:rsidDel="00000000" w:rsidR="00000000" w:rsidRPr="00000000">
        <w:rPr>
          <w:rFonts w:ascii="Google Sans" w:cs="Google Sans" w:eastAsia="Google Sans" w:hAnsi="Google Sans"/>
          <w:color w:val="1f1f1f"/>
          <w:sz w:val="16"/>
          <w:szCs w:val="16"/>
          <w:rtl w:val="0"/>
        </w:rPr>
        <w:t xml:space="preserve">The divergence in performance across these eight institutions in Q4 2025 can be attributed to several technical factors involving the calculation of risk-weighted assets (RWA) and the implementation of the CECL methodology.</w:t>
      </w:r>
    </w:p>
    <w:p w:rsidR="00000000" w:rsidDel="00000000" w:rsidP="00000000" w:rsidRDefault="00000000" w:rsidRPr="00000000" w14:paraId="0000008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sz w:val="16"/>
          <w:szCs w:val="16"/>
        </w:rPr>
      </w:pPr>
      <w:r w:rsidDel="00000000" w:rsidR="00000000" w:rsidRPr="00000000">
        <w:rPr>
          <w:rFonts w:ascii="Google Sans" w:cs="Google Sans" w:eastAsia="Google Sans" w:hAnsi="Google Sans"/>
          <w:color w:val="1f1f1f"/>
          <w:sz w:val="16"/>
          <w:szCs w:val="16"/>
          <w:rtl w:val="0"/>
        </w:rPr>
        <w:t xml:space="preserve">Risk-Based Capital Ratios and the CRE Threshold</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sz w:val="16"/>
          <w:szCs w:val="16"/>
        </w:rPr>
      </w:pPr>
      <w:r w:rsidDel="00000000" w:rsidR="00000000" w:rsidRPr="00000000">
        <w:rPr>
          <w:rFonts w:ascii="Google Sans" w:cs="Google Sans" w:eastAsia="Google Sans" w:hAnsi="Google Sans"/>
          <w:color w:val="1f1f1f"/>
          <w:sz w:val="16"/>
          <w:szCs w:val="16"/>
          <w:rtl w:val="0"/>
        </w:rPr>
        <w:t xml:space="preserve">For the purposes of this report, the Total Risk-Based Capital (TRBC) ratio is the denominator for CRE concentration. TRBC is defined as:</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z w:val="16"/>
          <w:szCs w:val="16"/>
        </w:rPr>
      </w:pPr>
      <w:r w:rsidDel="00000000" w:rsidR="00000000" w:rsidRPr="00000000">
        <w:rPr>
          <w:rFonts w:ascii="Google Sans" w:cs="Google Sans" w:eastAsia="Google Sans" w:hAnsi="Google Sans"/>
          <w:color w:val="1f1f1f"/>
          <w:sz w:val="16"/>
          <w:szCs w:val="16"/>
        </w:rPr>
        <w:drawing>
          <wp:inline distB="19050" distT="19050" distL="19050" distR="19050">
            <wp:extent cx="5905500" cy="31688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05500" cy="31688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sz w:val="16"/>
          <w:szCs w:val="16"/>
        </w:rPr>
      </w:pPr>
      <w:r w:rsidDel="00000000" w:rsidR="00000000" w:rsidRPr="00000000">
        <w:rPr>
          <w:rFonts w:ascii="Google Sans" w:cs="Google Sans" w:eastAsia="Google Sans" w:hAnsi="Google Sans"/>
          <w:color w:val="1f1f1f"/>
          <w:sz w:val="16"/>
          <w:szCs w:val="16"/>
          <w:rtl w:val="0"/>
        </w:rPr>
        <w:t xml:space="preserve">The concentration ratio is calculated as:</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z w:val="16"/>
          <w:szCs w:val="16"/>
        </w:rPr>
      </w:pPr>
      <w:r w:rsidDel="00000000" w:rsidR="00000000" w:rsidRPr="00000000">
        <w:rPr>
          <w:rFonts w:ascii="Google Sans" w:cs="Google Sans" w:eastAsia="Google Sans" w:hAnsi="Google Sans"/>
          <w:color w:val="1f1f1f"/>
          <w:sz w:val="16"/>
          <w:szCs w:val="16"/>
        </w:rPr>
        <w:drawing>
          <wp:inline distB="19050" distT="19050" distL="19050" distR="19050">
            <wp:extent cx="5905500" cy="43211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05500" cy="43211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sz w:val="16"/>
          <w:szCs w:val="16"/>
        </w:rPr>
      </w:pPr>
      <w:r w:rsidDel="00000000" w:rsidR="00000000" w:rsidRPr="00000000">
        <w:rPr>
          <w:rFonts w:ascii="Google Sans" w:cs="Google Sans" w:eastAsia="Google Sans" w:hAnsi="Google Sans"/>
          <w:color w:val="1f1f1f"/>
          <w:sz w:val="16"/>
          <w:szCs w:val="16"/>
          <w:rtl w:val="0"/>
        </w:rPr>
        <w:t xml:space="preserve">Bank OZK's ratio of 486.2% implies that its CRE exposure is nearly five times its total regulatory capital buffer. In contrast, Truist’s 84.6% suggests that its entire CRE book represents less than its available capital. The "outlier premium" associated with OZK is thus a reflection of its willingness to leverage its capital specifically toward the development sector.</w:t>
      </w:r>
    </w:p>
    <w:p w:rsidR="00000000" w:rsidDel="00000000" w:rsidP="00000000" w:rsidRDefault="00000000" w:rsidRPr="00000000" w14:paraId="0000008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sz w:val="16"/>
          <w:szCs w:val="16"/>
        </w:rPr>
      </w:pPr>
      <w:r w:rsidDel="00000000" w:rsidR="00000000" w:rsidRPr="00000000">
        <w:rPr>
          <w:rFonts w:ascii="Google Sans" w:cs="Google Sans" w:eastAsia="Google Sans" w:hAnsi="Google Sans"/>
          <w:color w:val="1f1f1f"/>
          <w:sz w:val="16"/>
          <w:szCs w:val="16"/>
          <w:rtl w:val="0"/>
        </w:rPr>
        <w:t xml:space="preserve">The Allowance for Credit Losses (ACL) and Noncurrent Coverage</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sz w:val="16"/>
          <w:szCs w:val="16"/>
        </w:rPr>
      </w:pPr>
      <w:r w:rsidDel="00000000" w:rsidR="00000000" w:rsidRPr="00000000">
        <w:rPr>
          <w:rFonts w:ascii="Google Sans" w:cs="Google Sans" w:eastAsia="Google Sans" w:hAnsi="Google Sans"/>
          <w:color w:val="1f1f1f"/>
          <w:sz w:val="16"/>
          <w:szCs w:val="16"/>
          <w:rtl w:val="0"/>
        </w:rPr>
        <w:t xml:space="preserve">The ACL / Noncurrent coverage ratio is a primary indicator of balance sheet protection. It is calculated as:</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z w:val="16"/>
          <w:szCs w:val="16"/>
        </w:rPr>
      </w:pPr>
      <w:r w:rsidDel="00000000" w:rsidR="00000000" w:rsidRPr="00000000">
        <w:rPr>
          <w:rFonts w:ascii="Google Sans" w:cs="Google Sans" w:eastAsia="Google Sans" w:hAnsi="Google Sans"/>
          <w:color w:val="1f1f1f"/>
          <w:sz w:val="16"/>
          <w:szCs w:val="16"/>
        </w:rPr>
        <w:drawing>
          <wp:inline distB="19050" distT="19050" distL="19050" distR="19050">
            <wp:extent cx="5905500" cy="43211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05500" cy="43211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16"/>
          <w:szCs w:val="16"/>
          <w:vertAlign w:val="superscript"/>
        </w:rPr>
      </w:pPr>
      <w:r w:rsidDel="00000000" w:rsidR="00000000" w:rsidRPr="00000000">
        <w:rPr>
          <w:rFonts w:ascii="Google Sans" w:cs="Google Sans" w:eastAsia="Google Sans" w:hAnsi="Google Sans"/>
          <w:color w:val="1f1f1f"/>
          <w:sz w:val="16"/>
          <w:szCs w:val="16"/>
          <w:rtl w:val="0"/>
        </w:rPr>
        <w:t xml:space="preserve">East West Bancorp’s leading ratio of 546.2% indicates that management has reserved for potential losses at a level five times higher than the actual volume of loans currently in default.</w:t>
      </w:r>
      <w:r w:rsidDel="00000000" w:rsidR="00000000" w:rsidRPr="00000000">
        <w:rPr>
          <w:rFonts w:ascii="Google Sans" w:cs="Google Sans" w:eastAsia="Google Sans" w:hAnsi="Google Sans"/>
          <w:color w:val="444746"/>
          <w:sz w:val="16"/>
          <w:szCs w:val="16"/>
          <w:vertAlign w:val="superscript"/>
          <w:rtl w:val="0"/>
        </w:rPr>
        <w:t xml:space="preserve">7</w:t>
      </w:r>
      <w:r w:rsidDel="00000000" w:rsidR="00000000" w:rsidRPr="00000000">
        <w:rPr>
          <w:rFonts w:ascii="Google Sans" w:cs="Google Sans" w:eastAsia="Google Sans" w:hAnsi="Google Sans"/>
          <w:color w:val="1f1f1f"/>
          <w:sz w:val="16"/>
          <w:szCs w:val="16"/>
          <w:rtl w:val="0"/>
        </w:rPr>
        <w:t xml:space="preserve"> This "super-coverage" is a strategic choice often made by banks with high concentrations (like EWBC's 161.4% CRE ratio) to reassure regulators and investors. Conversely, Western Alliance's 102.4% coverage ratio is significantly lower, reflecting a more aggressive (or high-conviction) view that their nonperforming loans will ultimately have high recovery rates.</w:t>
      </w:r>
      <w:r w:rsidDel="00000000" w:rsidR="00000000" w:rsidRPr="00000000">
        <w:rPr>
          <w:rFonts w:ascii="Google Sans" w:cs="Google Sans" w:eastAsia="Google Sans" w:hAnsi="Google Sans"/>
          <w:color w:val="444746"/>
          <w:sz w:val="16"/>
          <w:szCs w:val="16"/>
          <w:vertAlign w:val="superscript"/>
          <w:rtl w:val="0"/>
        </w:rPr>
        <w:t xml:space="preserve">5</w:t>
      </w:r>
    </w:p>
    <w:p w:rsidR="00000000" w:rsidDel="00000000" w:rsidP="00000000" w:rsidRDefault="00000000" w:rsidRPr="00000000" w14:paraId="0000009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sz w:val="16"/>
          <w:szCs w:val="16"/>
        </w:rPr>
      </w:pPr>
      <w:r w:rsidDel="00000000" w:rsidR="00000000" w:rsidRPr="00000000">
        <w:rPr>
          <w:rFonts w:ascii="Google Sans" w:cs="Google Sans" w:eastAsia="Google Sans" w:hAnsi="Google Sans"/>
          <w:color w:val="1f1f1f"/>
          <w:sz w:val="16"/>
          <w:szCs w:val="16"/>
          <w:rtl w:val="0"/>
        </w:rPr>
        <w:t xml:space="preserve">Macroeconomic Outlook and the CRE Credit Cycle for 2026</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sz w:val="16"/>
          <w:szCs w:val="16"/>
        </w:rPr>
      </w:pPr>
      <w:r w:rsidDel="00000000" w:rsidR="00000000" w:rsidRPr="00000000">
        <w:rPr>
          <w:rFonts w:ascii="Google Sans" w:cs="Google Sans" w:eastAsia="Google Sans" w:hAnsi="Google Sans"/>
          <w:color w:val="1f1f1f"/>
          <w:sz w:val="16"/>
          <w:szCs w:val="16"/>
          <w:rtl w:val="0"/>
        </w:rPr>
        <w:t xml:space="preserve">The performance of these eight banks in Q4 2025 suggests that the "maturity wall" of 2025 was managed successfully, primarily through proactive loan modifications and the initial relief provided by stabilizing interest rates. However, the outlook for 2026 remains bifurcated based on property type.</w:t>
      </w:r>
    </w:p>
    <w:p w:rsidR="00000000" w:rsidDel="00000000" w:rsidP="00000000" w:rsidRDefault="00000000" w:rsidRPr="00000000" w14:paraId="0000009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sz w:val="16"/>
          <w:szCs w:val="16"/>
        </w:rPr>
      </w:pPr>
      <w:r w:rsidDel="00000000" w:rsidR="00000000" w:rsidRPr="00000000">
        <w:rPr>
          <w:rFonts w:ascii="Google Sans" w:cs="Google Sans" w:eastAsia="Google Sans" w:hAnsi="Google Sans"/>
          <w:color w:val="1f1f1f"/>
          <w:sz w:val="16"/>
          <w:szCs w:val="16"/>
          <w:rtl w:val="0"/>
        </w:rPr>
        <w:t xml:space="preserve">Office Sector and the "Refinancing Gap"</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sz w:val="16"/>
          <w:szCs w:val="16"/>
        </w:rPr>
      </w:pPr>
      <w:r w:rsidDel="00000000" w:rsidR="00000000" w:rsidRPr="00000000">
        <w:rPr>
          <w:rFonts w:ascii="Google Sans" w:cs="Google Sans" w:eastAsia="Google Sans" w:hAnsi="Google Sans"/>
          <w:color w:val="1f1f1f"/>
          <w:sz w:val="16"/>
          <w:szCs w:val="16"/>
          <w:rtl w:val="0"/>
        </w:rPr>
        <w:t xml:space="preserve">The office segment remains the most stressed component of the CRE market. Zions Bancorporation (13% office) and East West Bancorp (office specific ALLL at 2.78%) have clearly signaled that this remains the primary area of focus for credit teams.</w:t>
      </w:r>
      <w:r w:rsidDel="00000000" w:rsidR="00000000" w:rsidRPr="00000000">
        <w:rPr>
          <w:rFonts w:ascii="Google Sans" w:cs="Google Sans" w:eastAsia="Google Sans" w:hAnsi="Google Sans"/>
          <w:color w:val="444746"/>
          <w:sz w:val="16"/>
          <w:szCs w:val="16"/>
          <w:vertAlign w:val="superscript"/>
          <w:rtl w:val="0"/>
        </w:rPr>
        <w:t xml:space="preserve">7</w:t>
      </w:r>
      <w:r w:rsidDel="00000000" w:rsidR="00000000" w:rsidRPr="00000000">
        <w:rPr>
          <w:rFonts w:ascii="Google Sans" w:cs="Google Sans" w:eastAsia="Google Sans" w:hAnsi="Google Sans"/>
          <w:color w:val="1f1f1f"/>
          <w:sz w:val="16"/>
          <w:szCs w:val="16"/>
          <w:rtl w:val="0"/>
        </w:rPr>
        <w:t xml:space="preserve"> The "refinancing gap"—the difference between the original loan amount and the new, lower-valuation loan amount—will likely force more sponsors to bring additional equity to the table or face foreclosure.</w:t>
      </w:r>
    </w:p>
    <w:p w:rsidR="00000000" w:rsidDel="00000000" w:rsidP="00000000" w:rsidRDefault="00000000" w:rsidRPr="00000000" w14:paraId="0000009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sz w:val="16"/>
          <w:szCs w:val="16"/>
        </w:rPr>
      </w:pPr>
      <w:r w:rsidDel="00000000" w:rsidR="00000000" w:rsidRPr="00000000">
        <w:rPr>
          <w:rFonts w:ascii="Google Sans" w:cs="Google Sans" w:eastAsia="Google Sans" w:hAnsi="Google Sans"/>
          <w:color w:val="1f1f1f"/>
          <w:sz w:val="16"/>
          <w:szCs w:val="16"/>
          <w:rtl w:val="0"/>
        </w:rPr>
        <w:t xml:space="preserve">Multifamily and Industrial Resilience</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sz w:val="16"/>
          <w:szCs w:val="16"/>
        </w:rPr>
      </w:pPr>
      <w:r w:rsidDel="00000000" w:rsidR="00000000" w:rsidRPr="00000000">
        <w:rPr>
          <w:rFonts w:ascii="Google Sans" w:cs="Google Sans" w:eastAsia="Google Sans" w:hAnsi="Google Sans"/>
          <w:color w:val="1f1f1f"/>
          <w:sz w:val="16"/>
          <w:szCs w:val="16"/>
          <w:rtl w:val="0"/>
        </w:rPr>
        <w:t xml:space="preserve">Multifamily (30% of ZION's CRE book) and Industrial (23% of ZION's and 20% of EWBC's) continue to show strong occupancy and rent growth.</w:t>
      </w:r>
      <w:r w:rsidDel="00000000" w:rsidR="00000000" w:rsidRPr="00000000">
        <w:rPr>
          <w:rFonts w:ascii="Google Sans" w:cs="Google Sans" w:eastAsia="Google Sans" w:hAnsi="Google Sans"/>
          <w:color w:val="444746"/>
          <w:sz w:val="16"/>
          <w:szCs w:val="16"/>
          <w:vertAlign w:val="superscript"/>
          <w:rtl w:val="0"/>
        </w:rPr>
        <w:t xml:space="preserve">6</w:t>
      </w:r>
      <w:r w:rsidDel="00000000" w:rsidR="00000000" w:rsidRPr="00000000">
        <w:rPr>
          <w:rFonts w:ascii="Google Sans" w:cs="Google Sans" w:eastAsia="Google Sans" w:hAnsi="Google Sans"/>
          <w:color w:val="1f1f1f"/>
          <w:sz w:val="16"/>
          <w:szCs w:val="16"/>
          <w:rtl w:val="0"/>
        </w:rPr>
        <w:t xml:space="preserve"> Banks with heavy exposure to these "structural growth" assets are expected to see continued outperformance in 2026. Bank OZK’s RESG portfolio is heavily weighted toward these high-demand segments, particularly in high-growth markets like Florida and Texas, which mitigates some of its concentration risk.</w:t>
      </w:r>
    </w:p>
    <w:p w:rsidR="00000000" w:rsidDel="00000000" w:rsidP="00000000" w:rsidRDefault="00000000" w:rsidRPr="00000000" w14:paraId="0000009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sz w:val="16"/>
          <w:szCs w:val="16"/>
        </w:rPr>
      </w:pPr>
      <w:r w:rsidDel="00000000" w:rsidR="00000000" w:rsidRPr="00000000">
        <w:rPr>
          <w:rFonts w:ascii="Google Sans" w:cs="Google Sans" w:eastAsia="Google Sans" w:hAnsi="Google Sans"/>
          <w:color w:val="1f1f1f"/>
          <w:sz w:val="16"/>
          <w:szCs w:val="16"/>
          <w:rtl w:val="0"/>
        </w:rPr>
        <w:t xml:space="preserve">Interest Rate Normalization</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16"/>
          <w:szCs w:val="16"/>
          <w:vertAlign w:val="superscript"/>
        </w:rPr>
      </w:pPr>
      <w:r w:rsidDel="00000000" w:rsidR="00000000" w:rsidRPr="00000000">
        <w:rPr>
          <w:rFonts w:ascii="Google Sans" w:cs="Google Sans" w:eastAsia="Google Sans" w:hAnsi="Google Sans"/>
          <w:color w:val="1f1f1f"/>
          <w:sz w:val="16"/>
          <w:szCs w:val="16"/>
          <w:rtl w:val="0"/>
        </w:rPr>
        <w:t xml:space="preserve">The expectation of further Federal Reserve rate cuts in 2026 is a double-edged sword for the regional banking group. While it will reduce debt-service pressure for CRE borrowers, it may also lead to "margin compression" for banks with asset-sensitive balance sheets. Zions and Columbia, which saw NIM expansion in 2025, will need to manage their funding costs aggressively to maintain profitability in a declining-rate environment.</w:t>
      </w:r>
      <w:r w:rsidDel="00000000" w:rsidR="00000000" w:rsidRPr="00000000">
        <w:rPr>
          <w:rFonts w:ascii="Google Sans" w:cs="Google Sans" w:eastAsia="Google Sans" w:hAnsi="Google Sans"/>
          <w:color w:val="444746"/>
          <w:sz w:val="16"/>
          <w:szCs w:val="16"/>
          <w:vertAlign w:val="superscript"/>
          <w:rtl w:val="0"/>
        </w:rPr>
        <w:t xml:space="preserve">9</w:t>
      </w:r>
    </w:p>
    <w:p w:rsidR="00000000" w:rsidDel="00000000" w:rsidP="00000000" w:rsidRDefault="00000000" w:rsidRPr="00000000" w14:paraId="0000009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sz w:val="16"/>
          <w:szCs w:val="16"/>
        </w:rPr>
      </w:pPr>
      <w:r w:rsidDel="00000000" w:rsidR="00000000" w:rsidRPr="00000000">
        <w:rPr>
          <w:rFonts w:ascii="Google Sans" w:cs="Google Sans" w:eastAsia="Google Sans" w:hAnsi="Google Sans"/>
          <w:color w:val="1f1f1f"/>
          <w:sz w:val="16"/>
          <w:szCs w:val="16"/>
          <w:rtl w:val="0"/>
        </w:rPr>
        <w:t xml:space="preserve">Synthesis and Conclusion: The State of the Regional Banking Sector</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sz w:val="16"/>
          <w:szCs w:val="16"/>
        </w:rPr>
      </w:pPr>
      <w:r w:rsidDel="00000000" w:rsidR="00000000" w:rsidRPr="00000000">
        <w:rPr>
          <w:rFonts w:ascii="Google Sans" w:cs="Google Sans" w:eastAsia="Google Sans" w:hAnsi="Google Sans"/>
          <w:color w:val="1f1f1f"/>
          <w:sz w:val="16"/>
          <w:szCs w:val="16"/>
          <w:rtl w:val="0"/>
        </w:rPr>
        <w:t xml:space="preserve">The data from the quarter ended December 31, 2025, indicates a regional banking sector that is tiered by strategy and risk appetite. Bank OZK stands as the undisputed outlier, maintaining CRE and C&amp;D concentrations that would be considered prohibitive for almost any other institution. Yet, its superior asset quality and record earnings suggest that its specialized focus on the top tier of the construction market provides a structural defense that simple concentration ratios fail to capture.</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sz w:val="16"/>
          <w:szCs w:val="16"/>
        </w:rPr>
      </w:pPr>
      <w:r w:rsidDel="00000000" w:rsidR="00000000" w:rsidRPr="00000000">
        <w:rPr>
          <w:rFonts w:ascii="Google Sans" w:cs="Google Sans" w:eastAsia="Google Sans" w:hAnsi="Google Sans"/>
          <w:color w:val="1f1f1f"/>
          <w:sz w:val="16"/>
          <w:szCs w:val="16"/>
          <w:rtl w:val="0"/>
        </w:rPr>
        <w:t xml:space="preserve">At the other end of the spectrum, super-regionals like Truist and Huntington have utilized the 2025 cycle to further diversify and fortify their balance sheets. These banks have sacrificed the high yields of concentrated CRE lending for the stability of a diversified commercial and consumer franchise.</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sz w:val="16"/>
          <w:szCs w:val="16"/>
        </w:rPr>
      </w:pPr>
      <w:r w:rsidDel="00000000" w:rsidR="00000000" w:rsidRPr="00000000">
        <w:rPr>
          <w:rFonts w:ascii="Google Sans" w:cs="Google Sans" w:eastAsia="Google Sans" w:hAnsi="Google Sans"/>
          <w:color w:val="1f1f1f"/>
          <w:sz w:val="16"/>
          <w:szCs w:val="16"/>
          <w:rtl w:val="0"/>
        </w:rPr>
        <w:t xml:space="preserve">The "mid-tier" of this group—Western Alliance, East West, Zions, Columbia, and FNB—represents the most dynamic segment of the market. These banks have successfully managed moderate CRE concentrations (120% to 160%) while delivering strong ROE and expanding their market share in attractive Western and Southeastern markets. East West Bancorp, in particular, has demonstrated that high concentration can be safely managed when accompanied by conservative LTVs and "super-tier" capital ratios.</w:t>
      </w:r>
    </w:p>
    <w:p w:rsidR="00000000" w:rsidDel="00000000" w:rsidP="00000000" w:rsidRDefault="00000000" w:rsidRPr="00000000" w14:paraId="0000009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sz w:val="16"/>
          <w:szCs w:val="16"/>
        </w:rPr>
      </w:pPr>
      <w:r w:rsidDel="00000000" w:rsidR="00000000" w:rsidRPr="00000000">
        <w:rPr>
          <w:rFonts w:ascii="Google Sans" w:cs="Google Sans" w:eastAsia="Google Sans" w:hAnsi="Google Sans"/>
          <w:color w:val="1f1f1f"/>
          <w:sz w:val="16"/>
          <w:szCs w:val="16"/>
          <w:rtl w:val="0"/>
        </w:rPr>
        <w:t xml:space="preserve">Actionable Takeaways for Institutional Stakeholders</w:t>
      </w:r>
    </w:p>
    <w:p w:rsidR="00000000" w:rsidDel="00000000" w:rsidP="00000000" w:rsidRDefault="00000000" w:rsidRPr="00000000" w14:paraId="0000009D">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rPr>
          <w:sz w:val="16"/>
          <w:szCs w:val="16"/>
        </w:rPr>
      </w:pPr>
      <w:r w:rsidDel="00000000" w:rsidR="00000000" w:rsidRPr="00000000">
        <w:rPr>
          <w:rFonts w:ascii="Google Sans" w:cs="Google Sans" w:eastAsia="Google Sans" w:hAnsi="Google Sans"/>
          <w:b w:val="1"/>
          <w:bCs w:val="1"/>
          <w:color w:val="1f1f1f"/>
          <w:sz w:val="16"/>
          <w:szCs w:val="16"/>
          <w:rtl w:val="0"/>
        </w:rPr>
        <w:t xml:space="preserve">Bank OZK Monitoring:</w:t>
      </w:r>
      <w:r w:rsidDel="00000000" w:rsidR="00000000" w:rsidRPr="00000000">
        <w:rPr>
          <w:rFonts w:ascii="Google Sans" w:cs="Google Sans" w:eastAsia="Google Sans" w:hAnsi="Google Sans"/>
          <w:color w:val="1f1f1f"/>
          <w:sz w:val="16"/>
          <w:szCs w:val="16"/>
          <w:rtl w:val="0"/>
        </w:rPr>
        <w:t xml:space="preserve"> Investors must recognize OZK not as a traditional bank but as a specialized real estate credit fund with a banking license. Its 486.2% CRE concentration requires constant monitoring of the urban development pipeline, specifically the permanent financing market's ability to take out OZK's construction loans.</w:t>
      </w:r>
    </w:p>
    <w:p w:rsidR="00000000" w:rsidDel="00000000" w:rsidP="00000000" w:rsidRDefault="00000000" w:rsidRPr="00000000" w14:paraId="0000009E">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rPr>
          <w:sz w:val="16"/>
          <w:szCs w:val="16"/>
        </w:rPr>
      </w:pPr>
      <w:r w:rsidDel="00000000" w:rsidR="00000000" w:rsidRPr="00000000">
        <w:rPr>
          <w:rFonts w:ascii="Google Sans" w:cs="Google Sans" w:eastAsia="Google Sans" w:hAnsi="Google Sans"/>
          <w:b w:val="1"/>
          <w:bCs w:val="1"/>
          <w:color w:val="1f1f1f"/>
          <w:sz w:val="16"/>
          <w:szCs w:val="16"/>
          <w:rtl w:val="0"/>
        </w:rPr>
        <w:t xml:space="preserve">The Coverage Divergence:</w:t>
      </w:r>
      <w:r w:rsidDel="00000000" w:rsidR="00000000" w:rsidRPr="00000000">
        <w:rPr>
          <w:rFonts w:ascii="Google Sans" w:cs="Google Sans" w:eastAsia="Google Sans" w:hAnsi="Google Sans"/>
          <w:color w:val="1f1f1f"/>
          <w:sz w:val="16"/>
          <w:szCs w:val="16"/>
          <w:rtl w:val="0"/>
        </w:rPr>
        <w:t xml:space="preserve"> The vast difference in coverage ratios (from WAL's 102% to EWBC's 546%) suggests that internal bank models have widely different views on recovery values in the current market. EWBC’s approach is far more defensive and likely more resilient to a hard-landing scenario.</w:t>
      </w:r>
    </w:p>
    <w:p w:rsidR="00000000" w:rsidDel="00000000" w:rsidP="00000000" w:rsidRDefault="00000000" w:rsidRPr="00000000" w14:paraId="0000009F">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rPr>
          <w:sz w:val="16"/>
          <w:szCs w:val="16"/>
        </w:rPr>
      </w:pPr>
      <w:r w:rsidDel="00000000" w:rsidR="00000000" w:rsidRPr="00000000">
        <w:rPr>
          <w:rFonts w:ascii="Google Sans" w:cs="Google Sans" w:eastAsia="Google Sans" w:hAnsi="Google Sans"/>
          <w:b w:val="1"/>
          <w:bCs w:val="1"/>
          <w:color w:val="1f1f1f"/>
          <w:sz w:val="16"/>
          <w:szCs w:val="16"/>
          <w:rtl w:val="0"/>
        </w:rPr>
        <w:t xml:space="preserve">Efficiency and NIM Stability:</w:t>
      </w:r>
      <w:r w:rsidDel="00000000" w:rsidR="00000000" w:rsidRPr="00000000">
        <w:rPr>
          <w:rFonts w:ascii="Google Sans" w:cs="Google Sans" w:eastAsia="Google Sans" w:hAnsi="Google Sans"/>
          <w:color w:val="1f1f1f"/>
          <w:sz w:val="16"/>
          <w:szCs w:val="16"/>
          <w:rtl w:val="0"/>
        </w:rPr>
        <w:t xml:space="preserve"> Zions and Columbia have demonstrated that the path to profitability in 2026 lies in net interest margin management. Banks that can successfully transition from the "higher-for-longer" tailwinds to a "lower-and-stable" environment without significant credit migration will be the primary beneficiaries of the next cycle.</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55" w:before="240" w:line="275.9999942779541" w:lineRule="auto"/>
        <w:rPr>
          <w:rFonts w:ascii="Google Sans" w:cs="Google Sans" w:eastAsia="Google Sans" w:hAnsi="Google Sans"/>
          <w:color w:val="1f1f1f"/>
          <w:sz w:val="16"/>
          <w:szCs w:val="16"/>
        </w:rPr>
      </w:pPr>
      <w:r w:rsidDel="00000000" w:rsidR="00000000" w:rsidRPr="00000000">
        <w:rPr>
          <w:rFonts w:ascii="Google Sans" w:cs="Google Sans" w:eastAsia="Google Sans" w:hAnsi="Google Sans"/>
          <w:color w:val="1f1f1f"/>
          <w:sz w:val="16"/>
          <w:szCs w:val="16"/>
          <w:rtl w:val="0"/>
        </w:rPr>
        <w:t xml:space="preserve">In conclusion, the regional banking cohort of Q4 2025 enters 2026 with a robust capital foundation and a clear understanding of its credit exposures. While the commercial real estate sector continues to present idiosyncratic challenges, the data suggests that these institutions have successfully "girded the loins" of their balance sheets, ensuring that even the most concentrated outliers remain well-capitalized and operationally sound.</w:t>
      </w:r>
    </w:p>
    <w:p w:rsidR="00000000" w:rsidDel="00000000" w:rsidP="00000000" w:rsidRDefault="00000000" w:rsidRPr="00000000" w14:paraId="000000A1">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sz w:val="16"/>
          <w:szCs w:val="16"/>
        </w:rPr>
      </w:pPr>
      <w:r w:rsidDel="00000000" w:rsidR="00000000" w:rsidRPr="00000000">
        <w:rPr>
          <w:rFonts w:ascii="Google Sans" w:cs="Google Sans" w:eastAsia="Google Sans" w:hAnsi="Google Sans"/>
          <w:sz w:val="16"/>
          <w:szCs w:val="16"/>
          <w:rtl w:val="0"/>
        </w:rPr>
        <w:t xml:space="preserve">Works cited</w:t>
      </w:r>
    </w:p>
    <w:p w:rsidR="00000000" w:rsidDel="00000000" w:rsidP="00000000" w:rsidRDefault="00000000" w:rsidRPr="00000000" w14:paraId="000000A2">
      <w:pPr>
        <w:numPr>
          <w:ilvl w:val="0"/>
          <w:numId w:val="4"/>
        </w:numPr>
        <w:pBdr>
          <w:top w:space="0" w:sz="0" w:val="nil"/>
          <w:left w:space="0" w:sz="0" w:val="nil"/>
          <w:bottom w:space="0" w:sz="0" w:val="nil"/>
          <w:right w:space="0" w:sz="0" w:val="nil"/>
          <w:between w:space="0" w:sz="0" w:val="nil"/>
        </w:pBdr>
        <w:shd w:fill="auto" w:val="clear"/>
        <w:ind w:left="600" w:hanging="360"/>
        <w:rPr>
          <w:sz w:val="16"/>
          <w:szCs w:val="16"/>
        </w:rPr>
      </w:pPr>
      <w:r w:rsidDel="00000000" w:rsidR="00000000" w:rsidRPr="00000000">
        <w:rPr>
          <w:rFonts w:ascii="Google Sans" w:cs="Google Sans" w:eastAsia="Google Sans" w:hAnsi="Google Sans"/>
          <w:sz w:val="16"/>
          <w:szCs w:val="16"/>
          <w:rtl w:val="0"/>
        </w:rPr>
        <w:t xml:space="preserve">Western Alliance Q4 2025 slides: record earnings and double-digit deposit growth By Investing.com, accessed March 24, 2026, </w:t>
      </w:r>
      <w:hyperlink r:id="rId9">
        <w:r w:rsidDel="00000000" w:rsidR="00000000" w:rsidRPr="00000000">
          <w:rPr>
            <w:rFonts w:ascii="Google Sans" w:cs="Google Sans" w:eastAsia="Google Sans" w:hAnsi="Google Sans"/>
            <w:color w:val="0000ee"/>
            <w:sz w:val="16"/>
            <w:szCs w:val="16"/>
            <w:u w:val="single"/>
            <w:rtl w:val="0"/>
          </w:rPr>
          <w:t xml:space="preserve">https://www.investing.com/news/company-news/western-alliance-q4-2025-slides-record-earnings-and-doubledigit-deposit-growth-93CH-4468318</w:t>
        </w:r>
      </w:hyperlink>
      <w:r w:rsidDel="00000000" w:rsidR="00000000" w:rsidRPr="00000000">
        <w:rPr>
          <w:rtl w:val="0"/>
        </w:rPr>
      </w:r>
    </w:p>
    <w:p w:rsidR="00000000" w:rsidDel="00000000" w:rsidP="00000000" w:rsidRDefault="00000000" w:rsidRPr="00000000" w14:paraId="000000A3">
      <w:pPr>
        <w:numPr>
          <w:ilvl w:val="0"/>
          <w:numId w:val="4"/>
        </w:numPr>
        <w:pBdr>
          <w:top w:space="0" w:sz="0" w:val="nil"/>
          <w:left w:space="0" w:sz="0" w:val="nil"/>
          <w:bottom w:space="0" w:sz="0" w:val="nil"/>
          <w:right w:space="0" w:sz="0" w:val="nil"/>
          <w:between w:space="0" w:sz="0" w:val="nil"/>
        </w:pBdr>
        <w:shd w:fill="auto" w:val="clear"/>
        <w:ind w:left="600" w:hanging="360"/>
        <w:rPr>
          <w:sz w:val="16"/>
          <w:szCs w:val="16"/>
        </w:rPr>
      </w:pPr>
      <w:r w:rsidDel="00000000" w:rsidR="00000000" w:rsidRPr="00000000">
        <w:rPr>
          <w:rFonts w:ascii="Google Sans" w:cs="Google Sans" w:eastAsia="Google Sans" w:hAnsi="Google Sans"/>
          <w:sz w:val="16"/>
          <w:szCs w:val="16"/>
          <w:rtl w:val="0"/>
        </w:rPr>
        <w:t xml:space="preserve">Management Comments - Investor Relations | Bank OZK, accessed March 24, 2026, </w:t>
      </w:r>
      <w:hyperlink r:id="rId10">
        <w:r w:rsidDel="00000000" w:rsidR="00000000" w:rsidRPr="00000000">
          <w:rPr>
            <w:rFonts w:ascii="Google Sans" w:cs="Google Sans" w:eastAsia="Google Sans" w:hAnsi="Google Sans"/>
            <w:color w:val="0000ee"/>
            <w:sz w:val="16"/>
            <w:szCs w:val="16"/>
            <w:u w:val="single"/>
            <w:rtl w:val="0"/>
          </w:rPr>
          <w:t xml:space="preserve">https://ir.ozk.com/3Q25_Management_Comments</w:t>
        </w:r>
      </w:hyperlink>
      <w:r w:rsidDel="00000000" w:rsidR="00000000" w:rsidRPr="00000000">
        <w:rPr>
          <w:rtl w:val="0"/>
        </w:rPr>
      </w:r>
    </w:p>
    <w:p w:rsidR="00000000" w:rsidDel="00000000" w:rsidP="00000000" w:rsidRDefault="00000000" w:rsidRPr="00000000" w14:paraId="000000A4">
      <w:pPr>
        <w:numPr>
          <w:ilvl w:val="0"/>
          <w:numId w:val="4"/>
        </w:numPr>
        <w:pBdr>
          <w:top w:space="0" w:sz="0" w:val="nil"/>
          <w:left w:space="0" w:sz="0" w:val="nil"/>
          <w:bottom w:space="0" w:sz="0" w:val="nil"/>
          <w:right w:space="0" w:sz="0" w:val="nil"/>
          <w:between w:space="0" w:sz="0" w:val="nil"/>
        </w:pBdr>
        <w:shd w:fill="auto" w:val="clear"/>
        <w:ind w:left="600" w:hanging="360"/>
        <w:rPr>
          <w:sz w:val="16"/>
          <w:szCs w:val="16"/>
        </w:rPr>
      </w:pPr>
      <w:r w:rsidDel="00000000" w:rsidR="00000000" w:rsidRPr="00000000">
        <w:rPr>
          <w:rFonts w:ascii="Google Sans" w:cs="Google Sans" w:eastAsia="Google Sans" w:hAnsi="Google Sans"/>
          <w:sz w:val="16"/>
          <w:szCs w:val="16"/>
          <w:rtl w:val="0"/>
        </w:rPr>
        <w:t xml:space="preserve">Bank OZK Announces Fourth Quarter and Full Year 2025 Earnings, accessed March 24, 2026, </w:t>
      </w:r>
      <w:hyperlink r:id="rId11">
        <w:r w:rsidDel="00000000" w:rsidR="00000000" w:rsidRPr="00000000">
          <w:rPr>
            <w:rFonts w:ascii="Google Sans" w:cs="Google Sans" w:eastAsia="Google Sans" w:hAnsi="Google Sans"/>
            <w:color w:val="0000ee"/>
            <w:sz w:val="16"/>
            <w:szCs w:val="16"/>
            <w:u w:val="single"/>
            <w:rtl w:val="0"/>
          </w:rPr>
          <w:t xml:space="preserve">https://ir.ozk.com/news-releases/news-release-details/bank-ozk-announces-fourth-quarter-and-full-year-2025-earnings/</w:t>
        </w:r>
      </w:hyperlink>
      <w:r w:rsidDel="00000000" w:rsidR="00000000" w:rsidRPr="00000000">
        <w:rPr>
          <w:rtl w:val="0"/>
        </w:rPr>
      </w:r>
    </w:p>
    <w:p w:rsidR="00000000" w:rsidDel="00000000" w:rsidP="00000000" w:rsidRDefault="00000000" w:rsidRPr="00000000" w14:paraId="000000A5">
      <w:pPr>
        <w:numPr>
          <w:ilvl w:val="0"/>
          <w:numId w:val="4"/>
        </w:numPr>
        <w:pBdr>
          <w:top w:space="0" w:sz="0" w:val="nil"/>
          <w:left w:space="0" w:sz="0" w:val="nil"/>
          <w:bottom w:space="0" w:sz="0" w:val="nil"/>
          <w:right w:space="0" w:sz="0" w:val="nil"/>
          <w:between w:space="0" w:sz="0" w:val="nil"/>
        </w:pBdr>
        <w:shd w:fill="auto" w:val="clear"/>
        <w:ind w:left="600" w:hanging="360"/>
        <w:rPr>
          <w:sz w:val="16"/>
          <w:szCs w:val="16"/>
        </w:rPr>
      </w:pPr>
      <w:r w:rsidDel="00000000" w:rsidR="00000000" w:rsidRPr="00000000">
        <w:rPr>
          <w:rFonts w:ascii="Google Sans" w:cs="Google Sans" w:eastAsia="Google Sans" w:hAnsi="Google Sans"/>
          <w:sz w:val="16"/>
          <w:szCs w:val="16"/>
          <w:rtl w:val="0"/>
        </w:rPr>
        <w:t xml:space="preserve">Investor Relations | Bank OZK, accessed March 24, 2026, </w:t>
      </w:r>
      <w:hyperlink r:id="rId12">
        <w:r w:rsidDel="00000000" w:rsidR="00000000" w:rsidRPr="00000000">
          <w:rPr>
            <w:rFonts w:ascii="Google Sans" w:cs="Google Sans" w:eastAsia="Google Sans" w:hAnsi="Google Sans"/>
            <w:color w:val="0000ee"/>
            <w:sz w:val="16"/>
            <w:szCs w:val="16"/>
            <w:u w:val="single"/>
            <w:rtl w:val="0"/>
          </w:rPr>
          <w:t xml:space="preserve">https://ir.ozk.com/</w:t>
        </w:r>
      </w:hyperlink>
      <w:r w:rsidDel="00000000" w:rsidR="00000000" w:rsidRPr="00000000">
        <w:rPr>
          <w:rtl w:val="0"/>
        </w:rPr>
      </w:r>
    </w:p>
    <w:p w:rsidR="00000000" w:rsidDel="00000000" w:rsidP="00000000" w:rsidRDefault="00000000" w:rsidRPr="00000000" w14:paraId="000000A6">
      <w:pPr>
        <w:numPr>
          <w:ilvl w:val="0"/>
          <w:numId w:val="4"/>
        </w:numPr>
        <w:pBdr>
          <w:top w:space="0" w:sz="0" w:val="nil"/>
          <w:left w:space="0" w:sz="0" w:val="nil"/>
          <w:bottom w:space="0" w:sz="0" w:val="nil"/>
          <w:right w:space="0" w:sz="0" w:val="nil"/>
          <w:between w:space="0" w:sz="0" w:val="nil"/>
        </w:pBdr>
        <w:shd w:fill="auto" w:val="clear"/>
        <w:ind w:left="600" w:hanging="360"/>
        <w:rPr>
          <w:sz w:val="16"/>
          <w:szCs w:val="16"/>
        </w:rPr>
      </w:pPr>
      <w:r w:rsidDel="00000000" w:rsidR="00000000" w:rsidRPr="00000000">
        <w:rPr>
          <w:rFonts w:ascii="Google Sans" w:cs="Google Sans" w:eastAsia="Google Sans" w:hAnsi="Google Sans"/>
          <w:sz w:val="16"/>
          <w:szCs w:val="16"/>
          <w:rtl w:val="0"/>
        </w:rPr>
        <w:t xml:space="preserve">WAL Q4 2025 Earnings Presentation, accessed March 24, 2026, </w:t>
      </w:r>
      <w:hyperlink r:id="rId13">
        <w:r w:rsidDel="00000000" w:rsidR="00000000" w:rsidRPr="00000000">
          <w:rPr>
            <w:rFonts w:ascii="Google Sans" w:cs="Google Sans" w:eastAsia="Google Sans" w:hAnsi="Google Sans"/>
            <w:color w:val="0000ee"/>
            <w:sz w:val="16"/>
            <w:szCs w:val="16"/>
            <w:u w:val="single"/>
            <w:rtl w:val="0"/>
          </w:rPr>
          <w:t xml:space="preserve">https://investors.westernalliancebancorporation.com/files/doc_financials/2025/q4/WAL-Q4-2025-Earnings-Presentation.pdf</w:t>
        </w:r>
      </w:hyperlink>
      <w:r w:rsidDel="00000000" w:rsidR="00000000" w:rsidRPr="00000000">
        <w:rPr>
          <w:rtl w:val="0"/>
        </w:rPr>
      </w:r>
    </w:p>
    <w:p w:rsidR="00000000" w:rsidDel="00000000" w:rsidP="00000000" w:rsidRDefault="00000000" w:rsidRPr="00000000" w14:paraId="000000A7">
      <w:pPr>
        <w:numPr>
          <w:ilvl w:val="0"/>
          <w:numId w:val="4"/>
        </w:numPr>
        <w:pBdr>
          <w:top w:space="0" w:sz="0" w:val="nil"/>
          <w:left w:space="0" w:sz="0" w:val="nil"/>
          <w:bottom w:space="0" w:sz="0" w:val="nil"/>
          <w:right w:space="0" w:sz="0" w:val="nil"/>
          <w:between w:space="0" w:sz="0" w:val="nil"/>
        </w:pBdr>
        <w:shd w:fill="auto" w:val="clear"/>
        <w:ind w:left="600" w:hanging="360"/>
        <w:rPr>
          <w:sz w:val="16"/>
          <w:szCs w:val="16"/>
        </w:rPr>
      </w:pPr>
      <w:r w:rsidDel="00000000" w:rsidR="00000000" w:rsidRPr="00000000">
        <w:rPr>
          <w:rFonts w:ascii="Google Sans" w:cs="Google Sans" w:eastAsia="Google Sans" w:hAnsi="Google Sans"/>
          <w:sz w:val="16"/>
          <w:szCs w:val="16"/>
          <w:rtl w:val="0"/>
        </w:rPr>
        <w:t xml:space="preserve">Zions Bancorporation Fourth Quarter 2025, accessed March 24, 2026, </w:t>
      </w:r>
      <w:hyperlink r:id="rId14">
        <w:r w:rsidDel="00000000" w:rsidR="00000000" w:rsidRPr="00000000">
          <w:rPr>
            <w:rFonts w:ascii="Google Sans" w:cs="Google Sans" w:eastAsia="Google Sans" w:hAnsi="Google Sans"/>
            <w:color w:val="0000ee"/>
            <w:sz w:val="16"/>
            <w:szCs w:val="16"/>
            <w:u w:val="single"/>
            <w:rtl w:val="0"/>
          </w:rPr>
          <w:t xml:space="preserve">https://s203.q4cdn.com/215756951/files/doc_financials/2025/q4/Earnings-Presentation-2025-4Q-Final.pdf</w:t>
        </w:r>
      </w:hyperlink>
      <w:r w:rsidDel="00000000" w:rsidR="00000000" w:rsidRPr="00000000">
        <w:rPr>
          <w:rtl w:val="0"/>
        </w:rPr>
      </w:r>
    </w:p>
    <w:p w:rsidR="00000000" w:rsidDel="00000000" w:rsidP="00000000" w:rsidRDefault="00000000" w:rsidRPr="00000000" w14:paraId="000000A8">
      <w:pPr>
        <w:numPr>
          <w:ilvl w:val="0"/>
          <w:numId w:val="4"/>
        </w:numPr>
        <w:pBdr>
          <w:top w:space="0" w:sz="0" w:val="nil"/>
          <w:left w:space="0" w:sz="0" w:val="nil"/>
          <w:bottom w:space="0" w:sz="0" w:val="nil"/>
          <w:right w:space="0" w:sz="0" w:val="nil"/>
          <w:between w:space="0" w:sz="0" w:val="nil"/>
        </w:pBdr>
        <w:shd w:fill="auto" w:val="clear"/>
        <w:ind w:left="600" w:hanging="360"/>
        <w:rPr>
          <w:sz w:val="16"/>
          <w:szCs w:val="16"/>
        </w:rPr>
      </w:pPr>
      <w:r w:rsidDel="00000000" w:rsidR="00000000" w:rsidRPr="00000000">
        <w:rPr>
          <w:rFonts w:ascii="Google Sans" w:cs="Google Sans" w:eastAsia="Google Sans" w:hAnsi="Google Sans"/>
          <w:sz w:val="16"/>
          <w:szCs w:val="16"/>
          <w:rtl w:val="0"/>
        </w:rPr>
        <w:t xml:space="preserve">East West Bancorp, Inc. Fourth Quarter and Full Year 2025 Earnings ..., accessed March 24, 2026, </w:t>
      </w:r>
      <w:hyperlink r:id="rId15">
        <w:r w:rsidDel="00000000" w:rsidR="00000000" w:rsidRPr="00000000">
          <w:rPr>
            <w:rFonts w:ascii="Google Sans" w:cs="Google Sans" w:eastAsia="Google Sans" w:hAnsi="Google Sans"/>
            <w:color w:val="0000ee"/>
            <w:sz w:val="16"/>
            <w:szCs w:val="16"/>
            <w:u w:val="single"/>
            <w:rtl w:val="0"/>
          </w:rPr>
          <w:t xml:space="preserve">https://s23.q4cdn.com/205723478/files/doc_financials/2025/q4/EWBC-4Q25-Earnings-Presentationv-FINAL.pdf</w:t>
        </w:r>
      </w:hyperlink>
      <w:r w:rsidDel="00000000" w:rsidR="00000000" w:rsidRPr="00000000">
        <w:rPr>
          <w:rtl w:val="0"/>
        </w:rPr>
      </w:r>
    </w:p>
    <w:p w:rsidR="00000000" w:rsidDel="00000000" w:rsidP="00000000" w:rsidRDefault="00000000" w:rsidRPr="00000000" w14:paraId="000000A9">
      <w:pPr>
        <w:numPr>
          <w:ilvl w:val="0"/>
          <w:numId w:val="4"/>
        </w:numPr>
        <w:pBdr>
          <w:top w:space="0" w:sz="0" w:val="nil"/>
          <w:left w:space="0" w:sz="0" w:val="nil"/>
          <w:bottom w:space="0" w:sz="0" w:val="nil"/>
          <w:right w:space="0" w:sz="0" w:val="nil"/>
          <w:between w:space="0" w:sz="0" w:val="nil"/>
        </w:pBdr>
        <w:shd w:fill="auto" w:val="clear"/>
        <w:ind w:left="600" w:hanging="360"/>
        <w:rPr>
          <w:sz w:val="16"/>
          <w:szCs w:val="16"/>
        </w:rPr>
      </w:pPr>
      <w:r w:rsidDel="00000000" w:rsidR="00000000" w:rsidRPr="00000000">
        <w:rPr>
          <w:rFonts w:ascii="Google Sans" w:cs="Google Sans" w:eastAsia="Google Sans" w:hAnsi="Google Sans"/>
          <w:sz w:val="16"/>
          <w:szCs w:val="16"/>
          <w:rtl w:val="0"/>
        </w:rPr>
        <w:t xml:space="preserve">Columbia Banking System, Inc. (COLB) Q4 2025 Earnings Call Transcript | Seeking Alpha, accessed March 24, 2026, </w:t>
      </w:r>
      <w:hyperlink r:id="rId16">
        <w:r w:rsidDel="00000000" w:rsidR="00000000" w:rsidRPr="00000000">
          <w:rPr>
            <w:rFonts w:ascii="Google Sans" w:cs="Google Sans" w:eastAsia="Google Sans" w:hAnsi="Google Sans"/>
            <w:color w:val="0000ee"/>
            <w:sz w:val="16"/>
            <w:szCs w:val="16"/>
            <w:u w:val="single"/>
            <w:rtl w:val="0"/>
          </w:rPr>
          <w:t xml:space="preserve">https://seekingalpha.com/article/4862083-columbia-banking-system-inc-colb-q4-2025-earnings-call-transcript</w:t>
        </w:r>
      </w:hyperlink>
      <w:r w:rsidDel="00000000" w:rsidR="00000000" w:rsidRPr="00000000">
        <w:rPr>
          <w:rtl w:val="0"/>
        </w:rPr>
      </w:r>
    </w:p>
    <w:p w:rsidR="00000000" w:rsidDel="00000000" w:rsidP="00000000" w:rsidRDefault="00000000" w:rsidRPr="00000000" w14:paraId="000000AA">
      <w:pPr>
        <w:numPr>
          <w:ilvl w:val="0"/>
          <w:numId w:val="4"/>
        </w:numPr>
        <w:pBdr>
          <w:top w:space="0" w:sz="0" w:val="nil"/>
          <w:left w:space="0" w:sz="0" w:val="nil"/>
          <w:bottom w:space="0" w:sz="0" w:val="nil"/>
          <w:right w:space="0" w:sz="0" w:val="nil"/>
          <w:between w:space="0" w:sz="0" w:val="nil"/>
        </w:pBdr>
        <w:shd w:fill="auto" w:val="clear"/>
        <w:ind w:left="600" w:hanging="360"/>
        <w:rPr>
          <w:sz w:val="16"/>
          <w:szCs w:val="16"/>
        </w:rPr>
      </w:pPr>
      <w:r w:rsidDel="00000000" w:rsidR="00000000" w:rsidRPr="00000000">
        <w:rPr>
          <w:rFonts w:ascii="Google Sans" w:cs="Google Sans" w:eastAsia="Google Sans" w:hAnsi="Google Sans"/>
          <w:sz w:val="16"/>
          <w:szCs w:val="16"/>
          <w:rtl w:val="0"/>
        </w:rPr>
        <w:t xml:space="preserve">COLUMBIA BANKING SYSTEM, INC. REPORTS FOURTH QUARTER 2025 RESULTS, accessed March 24, 2026, </w:t>
      </w:r>
      <w:hyperlink r:id="rId17">
        <w:r w:rsidDel="00000000" w:rsidR="00000000" w:rsidRPr="00000000">
          <w:rPr>
            <w:rFonts w:ascii="Google Sans" w:cs="Google Sans" w:eastAsia="Google Sans" w:hAnsi="Google Sans"/>
            <w:color w:val="0000ee"/>
            <w:sz w:val="16"/>
            <w:szCs w:val="16"/>
            <w:u w:val="single"/>
            <w:rtl w:val="0"/>
          </w:rPr>
          <w:t xml:space="preserve">https://www.prnewswire.com/news-releases/columbia-banking-system-inc-reports-fourth-quarter-2025-results-302668325.html</w:t>
        </w:r>
      </w:hyperlink>
      <w:r w:rsidDel="00000000" w:rsidR="00000000" w:rsidRPr="00000000">
        <w:rPr>
          <w:rtl w:val="0"/>
        </w:rPr>
      </w:r>
    </w:p>
    <w:p w:rsidR="00000000" w:rsidDel="00000000" w:rsidP="00000000" w:rsidRDefault="00000000" w:rsidRPr="00000000" w14:paraId="000000AB">
      <w:pPr>
        <w:numPr>
          <w:ilvl w:val="0"/>
          <w:numId w:val="4"/>
        </w:numPr>
        <w:pBdr>
          <w:top w:space="0" w:sz="0" w:val="nil"/>
          <w:left w:space="0" w:sz="0" w:val="nil"/>
          <w:bottom w:space="0" w:sz="0" w:val="nil"/>
          <w:right w:space="0" w:sz="0" w:val="nil"/>
          <w:between w:space="0" w:sz="0" w:val="nil"/>
        </w:pBdr>
        <w:shd w:fill="auto" w:val="clear"/>
        <w:ind w:left="600" w:hanging="360"/>
        <w:rPr>
          <w:sz w:val="16"/>
          <w:szCs w:val="16"/>
        </w:rPr>
      </w:pPr>
      <w:r w:rsidDel="00000000" w:rsidR="00000000" w:rsidRPr="00000000">
        <w:rPr>
          <w:rFonts w:ascii="Google Sans" w:cs="Google Sans" w:eastAsia="Google Sans" w:hAnsi="Google Sans"/>
          <w:sz w:val="16"/>
          <w:szCs w:val="16"/>
          <w:rtl w:val="0"/>
        </w:rPr>
        <w:t xml:space="preserve">Truist reports fourth quarter 2025 results, accessed March 24, 2026, </w:t>
      </w:r>
      <w:hyperlink r:id="rId18">
        <w:r w:rsidDel="00000000" w:rsidR="00000000" w:rsidRPr="00000000">
          <w:rPr>
            <w:rFonts w:ascii="Google Sans" w:cs="Google Sans" w:eastAsia="Google Sans" w:hAnsi="Google Sans"/>
            <w:color w:val="0000ee"/>
            <w:sz w:val="16"/>
            <w:szCs w:val="16"/>
            <w:u w:val="single"/>
            <w:rtl w:val="0"/>
          </w:rPr>
          <w:t xml:space="preserve">https://filecache.investorroom.com/mr5ir_truist/1079/TFC_4Q25_Earnings_Release.pdf</w:t>
        </w:r>
      </w:hyperlink>
      <w:r w:rsidDel="00000000" w:rsidR="00000000" w:rsidRPr="00000000">
        <w:rPr>
          <w:rtl w:val="0"/>
        </w:rPr>
      </w:r>
    </w:p>
    <w:p w:rsidR="00000000" w:rsidDel="00000000" w:rsidP="00000000" w:rsidRDefault="00000000" w:rsidRPr="00000000" w14:paraId="000000AC">
      <w:pPr>
        <w:numPr>
          <w:ilvl w:val="0"/>
          <w:numId w:val="4"/>
        </w:numPr>
        <w:pBdr>
          <w:top w:space="0" w:sz="0" w:val="nil"/>
          <w:left w:space="0" w:sz="0" w:val="nil"/>
          <w:bottom w:space="0" w:sz="0" w:val="nil"/>
          <w:right w:space="0" w:sz="0" w:val="nil"/>
          <w:between w:space="0" w:sz="0" w:val="nil"/>
        </w:pBdr>
        <w:shd w:fill="auto" w:val="clear"/>
        <w:ind w:left="600" w:hanging="360"/>
        <w:rPr>
          <w:sz w:val="16"/>
          <w:szCs w:val="16"/>
        </w:rPr>
      </w:pPr>
      <w:r w:rsidDel="00000000" w:rsidR="00000000" w:rsidRPr="00000000">
        <w:rPr>
          <w:rFonts w:ascii="Google Sans" w:cs="Google Sans" w:eastAsia="Google Sans" w:hAnsi="Google Sans"/>
          <w:sz w:val="16"/>
          <w:szCs w:val="16"/>
          <w:rtl w:val="0"/>
        </w:rPr>
        <w:t xml:space="preserve">Investor Relations | Bank OZK, accessed March 24, 2026, </w:t>
      </w:r>
      <w:hyperlink r:id="rId19">
        <w:r w:rsidDel="00000000" w:rsidR="00000000" w:rsidRPr="00000000">
          <w:rPr>
            <w:rFonts w:ascii="Google Sans" w:cs="Google Sans" w:eastAsia="Google Sans" w:hAnsi="Google Sans"/>
            <w:color w:val="0000ee"/>
            <w:sz w:val="16"/>
            <w:szCs w:val="16"/>
            <w:u w:val="single"/>
            <w:rtl w:val="0"/>
          </w:rPr>
          <w:t xml:space="preserve">https://ir.ozk.com/static-files/97e9d39c-8fb5-4fcd-a069-7310d444f924</w:t>
        </w:r>
      </w:hyperlink>
      <w:r w:rsidDel="00000000" w:rsidR="00000000" w:rsidRPr="00000000">
        <w:rPr>
          <w:rtl w:val="0"/>
        </w:rPr>
      </w:r>
    </w:p>
    <w:p w:rsidR="00000000" w:rsidDel="00000000" w:rsidP="00000000" w:rsidRDefault="00000000" w:rsidRPr="00000000" w14:paraId="000000AD">
      <w:pPr>
        <w:numPr>
          <w:ilvl w:val="0"/>
          <w:numId w:val="4"/>
        </w:numPr>
        <w:pBdr>
          <w:top w:space="0" w:sz="0" w:val="nil"/>
          <w:left w:space="0" w:sz="0" w:val="nil"/>
          <w:bottom w:space="0" w:sz="0" w:val="nil"/>
          <w:right w:space="0" w:sz="0" w:val="nil"/>
          <w:between w:space="0" w:sz="0" w:val="nil"/>
        </w:pBdr>
        <w:shd w:fill="auto" w:val="clear"/>
        <w:ind w:left="600" w:hanging="360"/>
        <w:rPr>
          <w:sz w:val="16"/>
          <w:szCs w:val="16"/>
        </w:rPr>
      </w:pPr>
      <w:r w:rsidDel="00000000" w:rsidR="00000000" w:rsidRPr="00000000">
        <w:rPr>
          <w:rFonts w:ascii="Google Sans" w:cs="Google Sans" w:eastAsia="Google Sans" w:hAnsi="Google Sans"/>
          <w:sz w:val="16"/>
          <w:szCs w:val="16"/>
          <w:rtl w:val="0"/>
        </w:rPr>
        <w:t xml:space="preserve">Investor Relations | Bank OZK, accessed March 24, 2026, </w:t>
      </w:r>
      <w:hyperlink r:id="rId20">
        <w:r w:rsidDel="00000000" w:rsidR="00000000" w:rsidRPr="00000000">
          <w:rPr>
            <w:rFonts w:ascii="Google Sans" w:cs="Google Sans" w:eastAsia="Google Sans" w:hAnsi="Google Sans"/>
            <w:color w:val="0000ee"/>
            <w:sz w:val="16"/>
            <w:szCs w:val="16"/>
            <w:u w:val="single"/>
            <w:rtl w:val="0"/>
          </w:rPr>
          <w:t xml:space="preserve">https://ir.ozk.com/static-files/07e50bdc-7f28-4786-9ff7-9b022a70330f</w:t>
        </w:r>
      </w:hyperlink>
      <w:r w:rsidDel="00000000" w:rsidR="00000000" w:rsidRPr="00000000">
        <w:rPr>
          <w:rtl w:val="0"/>
        </w:rPr>
      </w:r>
    </w:p>
    <w:p w:rsidR="00000000" w:rsidDel="00000000" w:rsidP="00000000" w:rsidRDefault="00000000" w:rsidRPr="00000000" w14:paraId="000000AE">
      <w:pPr>
        <w:numPr>
          <w:ilvl w:val="0"/>
          <w:numId w:val="4"/>
        </w:numPr>
        <w:pBdr>
          <w:top w:space="0" w:sz="0" w:val="nil"/>
          <w:left w:space="0" w:sz="0" w:val="nil"/>
          <w:bottom w:space="0" w:sz="0" w:val="nil"/>
          <w:right w:space="0" w:sz="0" w:val="nil"/>
          <w:between w:space="0" w:sz="0" w:val="nil"/>
        </w:pBdr>
        <w:shd w:fill="auto" w:val="clear"/>
        <w:ind w:left="600" w:hanging="360"/>
        <w:rPr>
          <w:sz w:val="16"/>
          <w:szCs w:val="16"/>
        </w:rPr>
      </w:pPr>
      <w:r w:rsidDel="00000000" w:rsidR="00000000" w:rsidRPr="00000000">
        <w:rPr>
          <w:rFonts w:ascii="Google Sans" w:cs="Google Sans" w:eastAsia="Google Sans" w:hAnsi="Google Sans"/>
          <w:sz w:val="16"/>
          <w:szCs w:val="16"/>
          <w:rtl w:val="0"/>
        </w:rPr>
        <w:t xml:space="preserve">Zions Bancorporation, National Association Reports Fourth Quarter Financial Results, accessed March 24, 2026, </w:t>
      </w:r>
      <w:hyperlink r:id="rId21">
        <w:r w:rsidDel="00000000" w:rsidR="00000000" w:rsidRPr="00000000">
          <w:rPr>
            <w:rFonts w:ascii="Google Sans" w:cs="Google Sans" w:eastAsia="Google Sans" w:hAnsi="Google Sans"/>
            <w:color w:val="0000ee"/>
            <w:sz w:val="16"/>
            <w:szCs w:val="16"/>
            <w:u w:val="single"/>
            <w:rtl w:val="0"/>
          </w:rPr>
          <w:t xml:space="preserve">https://www.prnewswire.com/news-releases/zions-bancorporation-national-association-reports-fourth-quarter-financial-results-302665710.html</w:t>
        </w:r>
      </w:hyperlink>
      <w:r w:rsidDel="00000000" w:rsidR="00000000" w:rsidRPr="00000000">
        <w:rPr>
          <w:rtl w:val="0"/>
        </w:rPr>
      </w:r>
    </w:p>
    <w:p w:rsidR="00000000" w:rsidDel="00000000" w:rsidP="00000000" w:rsidRDefault="00000000" w:rsidRPr="00000000" w14:paraId="000000AF">
      <w:pPr>
        <w:numPr>
          <w:ilvl w:val="0"/>
          <w:numId w:val="4"/>
        </w:numPr>
        <w:pBdr>
          <w:top w:space="0" w:sz="0" w:val="nil"/>
          <w:left w:space="0" w:sz="0" w:val="nil"/>
          <w:bottom w:space="0" w:sz="0" w:val="nil"/>
          <w:right w:space="0" w:sz="0" w:val="nil"/>
          <w:between w:space="0" w:sz="0" w:val="nil"/>
        </w:pBdr>
        <w:shd w:fill="auto" w:val="clear"/>
        <w:ind w:left="600" w:hanging="360"/>
        <w:rPr>
          <w:sz w:val="16"/>
          <w:szCs w:val="16"/>
        </w:rPr>
      </w:pPr>
      <w:r w:rsidDel="00000000" w:rsidR="00000000" w:rsidRPr="00000000">
        <w:rPr>
          <w:rFonts w:ascii="Google Sans" w:cs="Google Sans" w:eastAsia="Google Sans" w:hAnsi="Google Sans"/>
          <w:sz w:val="16"/>
          <w:szCs w:val="16"/>
          <w:rtl w:val="0"/>
        </w:rPr>
        <w:t xml:space="preserve">EXH 99.1 Earnings Release 8-K (2025.12.31), accessed March 24, 2026, </w:t>
      </w:r>
      <w:hyperlink r:id="rId22">
        <w:r w:rsidDel="00000000" w:rsidR="00000000" w:rsidRPr="00000000">
          <w:rPr>
            <w:rFonts w:ascii="Google Sans" w:cs="Google Sans" w:eastAsia="Google Sans" w:hAnsi="Google Sans"/>
            <w:color w:val="0000ee"/>
            <w:sz w:val="16"/>
            <w:szCs w:val="16"/>
            <w:u w:val="single"/>
            <w:rtl w:val="0"/>
          </w:rPr>
          <w:t xml:space="preserve">https://s203.q4cdn.com/215756951/files/doc_financials/2025/q4/EXH-99-1-Earnings-Release-8-K-2025-12-31-FINAL-1-20-2026-1.pdf</w:t>
        </w:r>
      </w:hyperlink>
      <w:r w:rsidDel="00000000" w:rsidR="00000000" w:rsidRPr="00000000">
        <w:rPr>
          <w:rtl w:val="0"/>
        </w:rPr>
      </w:r>
    </w:p>
    <w:p w:rsidR="00000000" w:rsidDel="00000000" w:rsidP="00000000" w:rsidRDefault="00000000" w:rsidRPr="00000000" w14:paraId="000000B0">
      <w:pPr>
        <w:numPr>
          <w:ilvl w:val="0"/>
          <w:numId w:val="4"/>
        </w:numPr>
        <w:pBdr>
          <w:top w:space="0" w:sz="0" w:val="nil"/>
          <w:left w:space="0" w:sz="0" w:val="nil"/>
          <w:bottom w:space="0" w:sz="0" w:val="nil"/>
          <w:right w:space="0" w:sz="0" w:val="nil"/>
          <w:between w:space="0" w:sz="0" w:val="nil"/>
        </w:pBdr>
        <w:shd w:fill="auto" w:val="clear"/>
        <w:ind w:left="600" w:hanging="360"/>
        <w:rPr>
          <w:sz w:val="16"/>
          <w:szCs w:val="16"/>
        </w:rPr>
      </w:pPr>
      <w:r w:rsidDel="00000000" w:rsidR="00000000" w:rsidRPr="00000000">
        <w:rPr>
          <w:rFonts w:ascii="Google Sans" w:cs="Google Sans" w:eastAsia="Google Sans" w:hAnsi="Google Sans"/>
          <w:sz w:val="16"/>
          <w:szCs w:val="16"/>
          <w:rtl w:val="0"/>
        </w:rPr>
        <w:t xml:space="preserve">Zions Bancorporation Q4 2025 slides: EPS jumps 19%, NIM expands for eighth quarter, accessed March 24, 2026, </w:t>
      </w:r>
      <w:hyperlink r:id="rId23">
        <w:r w:rsidDel="00000000" w:rsidR="00000000" w:rsidRPr="00000000">
          <w:rPr>
            <w:rFonts w:ascii="Google Sans" w:cs="Google Sans" w:eastAsia="Google Sans" w:hAnsi="Google Sans"/>
            <w:color w:val="0000ee"/>
            <w:sz w:val="16"/>
            <w:szCs w:val="16"/>
            <w:u w:val="single"/>
            <w:rtl w:val="0"/>
          </w:rPr>
          <w:t xml:space="preserve">https://www.investing.com/news/company-news/zions-bancorporation-q4-2025-slides-eps-jumps-19-nim-expands-for-eighth-quarter-93CH-4456673</w:t>
        </w:r>
      </w:hyperlink>
      <w:r w:rsidDel="00000000" w:rsidR="00000000" w:rsidRPr="00000000">
        <w:rPr>
          <w:rtl w:val="0"/>
        </w:rPr>
      </w:r>
    </w:p>
    <w:p w:rsidR="00000000" w:rsidDel="00000000" w:rsidP="00000000" w:rsidRDefault="00000000" w:rsidRPr="00000000" w14:paraId="000000B1">
      <w:pPr>
        <w:numPr>
          <w:ilvl w:val="0"/>
          <w:numId w:val="4"/>
        </w:numPr>
        <w:pBdr>
          <w:top w:space="0" w:sz="0" w:val="nil"/>
          <w:left w:space="0" w:sz="0" w:val="nil"/>
          <w:bottom w:space="0" w:sz="0" w:val="nil"/>
          <w:right w:space="0" w:sz="0" w:val="nil"/>
          <w:between w:space="0" w:sz="0" w:val="nil"/>
        </w:pBdr>
        <w:shd w:fill="auto" w:val="clear"/>
        <w:ind w:left="600" w:hanging="360"/>
        <w:rPr>
          <w:sz w:val="16"/>
          <w:szCs w:val="16"/>
        </w:rPr>
      </w:pPr>
      <w:r w:rsidDel="00000000" w:rsidR="00000000" w:rsidRPr="00000000">
        <w:rPr>
          <w:rFonts w:ascii="Google Sans" w:cs="Google Sans" w:eastAsia="Google Sans" w:hAnsi="Google Sans"/>
          <w:sz w:val="16"/>
          <w:szCs w:val="16"/>
          <w:rtl w:val="0"/>
        </w:rPr>
        <w:t xml:space="preserve">Fourth Quarter Earnings 2025 | Zions Bank, accessed March 24, 2026, </w:t>
      </w:r>
      <w:hyperlink r:id="rId24">
        <w:r w:rsidDel="00000000" w:rsidR="00000000" w:rsidRPr="00000000">
          <w:rPr>
            <w:rFonts w:ascii="Google Sans" w:cs="Google Sans" w:eastAsia="Google Sans" w:hAnsi="Google Sans"/>
            <w:color w:val="0000ee"/>
            <w:sz w:val="16"/>
            <w:szCs w:val="16"/>
            <w:u w:val="single"/>
            <w:rtl w:val="0"/>
          </w:rPr>
          <w:t xml:space="preserve">https://www.zionsbank.com/personal/community/business/fourth-quarter-earnings-2025/</w:t>
        </w:r>
      </w:hyperlink>
      <w:r w:rsidDel="00000000" w:rsidR="00000000" w:rsidRPr="00000000">
        <w:rPr>
          <w:rtl w:val="0"/>
        </w:rPr>
      </w:r>
    </w:p>
    <w:p w:rsidR="00000000" w:rsidDel="00000000" w:rsidP="00000000" w:rsidRDefault="00000000" w:rsidRPr="00000000" w14:paraId="000000B2">
      <w:pPr>
        <w:numPr>
          <w:ilvl w:val="0"/>
          <w:numId w:val="4"/>
        </w:numPr>
        <w:pBdr>
          <w:top w:space="0" w:sz="0" w:val="nil"/>
          <w:left w:space="0" w:sz="0" w:val="nil"/>
          <w:bottom w:space="0" w:sz="0" w:val="nil"/>
          <w:right w:space="0" w:sz="0" w:val="nil"/>
          <w:between w:space="0" w:sz="0" w:val="nil"/>
        </w:pBdr>
        <w:shd w:fill="auto" w:val="clear"/>
        <w:ind w:left="600" w:hanging="360"/>
        <w:rPr>
          <w:sz w:val="16"/>
          <w:szCs w:val="16"/>
        </w:rPr>
      </w:pPr>
      <w:r w:rsidDel="00000000" w:rsidR="00000000" w:rsidRPr="00000000">
        <w:rPr>
          <w:rFonts w:ascii="Google Sans" w:cs="Google Sans" w:eastAsia="Google Sans" w:hAnsi="Google Sans"/>
          <w:sz w:val="16"/>
          <w:szCs w:val="16"/>
          <w:rtl w:val="0"/>
        </w:rPr>
        <w:t xml:space="preserve">Columbia Banking Q4 2025 slides: Western expansion drives earnings beat, NIM growth, accessed March 24, 2026, </w:t>
      </w:r>
      <w:hyperlink r:id="rId25">
        <w:r w:rsidDel="00000000" w:rsidR="00000000" w:rsidRPr="00000000">
          <w:rPr>
            <w:rFonts w:ascii="Google Sans" w:cs="Google Sans" w:eastAsia="Google Sans" w:hAnsi="Google Sans"/>
            <w:color w:val="0000ee"/>
            <w:sz w:val="16"/>
            <w:szCs w:val="16"/>
            <w:u w:val="single"/>
            <w:rtl w:val="0"/>
          </w:rPr>
          <w:t xml:space="preserve">https://www.investing.com/news/company-news/columbia-banking-q4-2025-slides-western-expansion-drives-earnings-beat-nim-growth-93CH-4461717</w:t>
        </w:r>
      </w:hyperlink>
      <w:r w:rsidDel="00000000" w:rsidR="00000000" w:rsidRPr="00000000">
        <w:rPr>
          <w:rtl w:val="0"/>
        </w:rPr>
      </w:r>
    </w:p>
    <w:p w:rsidR="00000000" w:rsidDel="00000000" w:rsidP="00000000" w:rsidRDefault="00000000" w:rsidRPr="00000000" w14:paraId="000000B3">
      <w:pPr>
        <w:numPr>
          <w:ilvl w:val="0"/>
          <w:numId w:val="4"/>
        </w:numPr>
        <w:pBdr>
          <w:top w:space="0" w:sz="0" w:val="nil"/>
          <w:left w:space="0" w:sz="0" w:val="nil"/>
          <w:bottom w:space="0" w:sz="0" w:val="nil"/>
          <w:right w:space="0" w:sz="0" w:val="nil"/>
          <w:between w:space="0" w:sz="0" w:val="nil"/>
        </w:pBdr>
        <w:shd w:fill="auto" w:val="clear"/>
        <w:ind w:left="600" w:hanging="360"/>
        <w:rPr>
          <w:sz w:val="16"/>
          <w:szCs w:val="16"/>
        </w:rPr>
      </w:pPr>
      <w:r w:rsidDel="00000000" w:rsidR="00000000" w:rsidRPr="00000000">
        <w:rPr>
          <w:rFonts w:ascii="Google Sans" w:cs="Google Sans" w:eastAsia="Google Sans" w:hAnsi="Google Sans"/>
          <w:sz w:val="16"/>
          <w:szCs w:val="16"/>
          <w:rtl w:val="0"/>
        </w:rPr>
        <w:t xml:space="preserve">COLUMBIA BANKING SYSTEM, INC. REPORTS FOURTH QUARTER 2025 RESULTS, accessed March 24, 2026, </w:t>
      </w:r>
      <w:hyperlink r:id="rId26">
        <w:r w:rsidDel="00000000" w:rsidR="00000000" w:rsidRPr="00000000">
          <w:rPr>
            <w:rFonts w:ascii="Google Sans" w:cs="Google Sans" w:eastAsia="Google Sans" w:hAnsi="Google Sans"/>
            <w:color w:val="0000ee"/>
            <w:sz w:val="16"/>
            <w:szCs w:val="16"/>
            <w:u w:val="single"/>
            <w:rtl w:val="0"/>
          </w:rPr>
          <w:t xml:space="preserve">https://s26.q4cdn.com/577104185/files/doc_earnings/2025/q4/earnings-result/COLB-2025-Q4-Earnings-Release.pdf</w:t>
        </w:r>
      </w:hyperlink>
      <w:r w:rsidDel="00000000" w:rsidR="00000000" w:rsidRPr="00000000">
        <w:rPr>
          <w:rtl w:val="0"/>
        </w:rPr>
      </w:r>
    </w:p>
    <w:p w:rsidR="00000000" w:rsidDel="00000000" w:rsidP="00000000" w:rsidRDefault="00000000" w:rsidRPr="00000000" w14:paraId="000000B4">
      <w:pPr>
        <w:numPr>
          <w:ilvl w:val="0"/>
          <w:numId w:val="4"/>
        </w:numPr>
        <w:pBdr>
          <w:top w:space="0" w:sz="0" w:val="nil"/>
          <w:left w:space="0" w:sz="0" w:val="nil"/>
          <w:bottom w:space="0" w:sz="0" w:val="nil"/>
          <w:right w:space="0" w:sz="0" w:val="nil"/>
          <w:between w:space="0" w:sz="0" w:val="nil"/>
        </w:pBdr>
        <w:shd w:fill="auto" w:val="clear"/>
        <w:ind w:left="600" w:hanging="360"/>
        <w:rPr>
          <w:sz w:val="16"/>
          <w:szCs w:val="16"/>
        </w:rPr>
      </w:pPr>
      <w:r w:rsidDel="00000000" w:rsidR="00000000" w:rsidRPr="00000000">
        <w:rPr>
          <w:rFonts w:ascii="Google Sans" w:cs="Google Sans" w:eastAsia="Google Sans" w:hAnsi="Google Sans"/>
          <w:sz w:val="16"/>
          <w:szCs w:val="16"/>
          <w:rtl w:val="0"/>
        </w:rPr>
        <w:t xml:space="preserve">East West Bancorp Q4 2025 slides reveal record performance and 33% dividend hike, accessed March 24, 2026, </w:t>
      </w:r>
      <w:hyperlink r:id="rId27">
        <w:r w:rsidDel="00000000" w:rsidR="00000000" w:rsidRPr="00000000">
          <w:rPr>
            <w:rFonts w:ascii="Google Sans" w:cs="Google Sans" w:eastAsia="Google Sans" w:hAnsi="Google Sans"/>
            <w:color w:val="0000ee"/>
            <w:sz w:val="16"/>
            <w:szCs w:val="16"/>
            <w:u w:val="single"/>
            <w:rtl w:val="0"/>
          </w:rPr>
          <w:t xml:space="preserve">https://www.investing.com/news/company-news/east-west-bancorp-q4-2025-slides-reveal-record-performance-and-33-dividend-hike-93CH-4461713</w:t>
        </w:r>
      </w:hyperlink>
      <w:r w:rsidDel="00000000" w:rsidR="00000000" w:rsidRPr="00000000">
        <w:rPr>
          <w:rtl w:val="0"/>
        </w:rPr>
      </w:r>
    </w:p>
    <w:p w:rsidR="00000000" w:rsidDel="00000000" w:rsidP="00000000" w:rsidRDefault="00000000" w:rsidRPr="00000000" w14:paraId="000000B5">
      <w:pPr>
        <w:numPr>
          <w:ilvl w:val="0"/>
          <w:numId w:val="4"/>
        </w:numPr>
        <w:pBdr>
          <w:top w:space="0" w:sz="0" w:val="nil"/>
          <w:left w:space="0" w:sz="0" w:val="nil"/>
          <w:bottom w:space="0" w:sz="0" w:val="nil"/>
          <w:right w:space="0" w:sz="0" w:val="nil"/>
          <w:between w:space="0" w:sz="0" w:val="nil"/>
        </w:pBdr>
        <w:shd w:fill="auto" w:val="clear"/>
        <w:ind w:left="600" w:hanging="360"/>
        <w:rPr>
          <w:sz w:val="16"/>
          <w:szCs w:val="16"/>
        </w:rPr>
      </w:pPr>
      <w:r w:rsidDel="00000000" w:rsidR="00000000" w:rsidRPr="00000000">
        <w:rPr>
          <w:rFonts w:ascii="Google Sans" w:cs="Google Sans" w:eastAsia="Google Sans" w:hAnsi="Google Sans"/>
          <w:sz w:val="16"/>
          <w:szCs w:val="16"/>
          <w:rtl w:val="0"/>
        </w:rPr>
        <w:t xml:space="preserve">East West Bancorp Reports Record Net Income for 2025 of $1.3 Billion and Diluted Earnings Per Share of $9.52; Increases Dividend 33% - Business Wire, accessed March 24, 2026, </w:t>
      </w:r>
      <w:hyperlink r:id="rId28">
        <w:r w:rsidDel="00000000" w:rsidR="00000000" w:rsidRPr="00000000">
          <w:rPr>
            <w:rFonts w:ascii="Google Sans" w:cs="Google Sans" w:eastAsia="Google Sans" w:hAnsi="Google Sans"/>
            <w:color w:val="0000ee"/>
            <w:sz w:val="16"/>
            <w:szCs w:val="16"/>
            <w:u w:val="single"/>
            <w:rtl w:val="0"/>
          </w:rPr>
          <w:t xml:space="preserve">https://www.businesswire.com/news/home/20260122198859/en/East-West-Bancorp-Reports-Record-Net-Income-for-2025-of-%241.3-Billion-and-Diluted-Earnings-Per-Share-of-%249.52-Increases-Dividend-33</w:t>
        </w:r>
      </w:hyperlink>
      <w:r w:rsidDel="00000000" w:rsidR="00000000" w:rsidRPr="00000000">
        <w:rPr>
          <w:rtl w:val="0"/>
        </w:rPr>
      </w:r>
    </w:p>
    <w:p w:rsidR="00000000" w:rsidDel="00000000" w:rsidP="00000000" w:rsidRDefault="00000000" w:rsidRPr="00000000" w14:paraId="000000B6">
      <w:pPr>
        <w:numPr>
          <w:ilvl w:val="0"/>
          <w:numId w:val="4"/>
        </w:numPr>
        <w:pBdr>
          <w:top w:space="0" w:sz="0" w:val="nil"/>
          <w:left w:space="0" w:sz="0" w:val="nil"/>
          <w:bottom w:space="0" w:sz="0" w:val="nil"/>
          <w:right w:space="0" w:sz="0" w:val="nil"/>
          <w:between w:space="0" w:sz="0" w:val="nil"/>
        </w:pBdr>
        <w:shd w:fill="auto" w:val="clear"/>
        <w:ind w:left="600" w:hanging="360"/>
        <w:rPr>
          <w:sz w:val="16"/>
          <w:szCs w:val="16"/>
        </w:rPr>
      </w:pPr>
      <w:r w:rsidDel="00000000" w:rsidR="00000000" w:rsidRPr="00000000">
        <w:rPr>
          <w:rFonts w:ascii="Google Sans" w:cs="Google Sans" w:eastAsia="Google Sans" w:hAnsi="Google Sans"/>
          <w:sz w:val="16"/>
          <w:szCs w:val="16"/>
          <w:rtl w:val="0"/>
        </w:rPr>
        <w:t xml:space="preserve">East West Bancorp, Inc. (EWBC) Q4 2025 Earnings Call Transcript | Seeking Alpha, accessed March 24, 2026, </w:t>
      </w:r>
      <w:hyperlink r:id="rId29">
        <w:r w:rsidDel="00000000" w:rsidR="00000000" w:rsidRPr="00000000">
          <w:rPr>
            <w:rFonts w:ascii="Google Sans" w:cs="Google Sans" w:eastAsia="Google Sans" w:hAnsi="Google Sans"/>
            <w:color w:val="0000ee"/>
            <w:sz w:val="16"/>
            <w:szCs w:val="16"/>
            <w:u w:val="single"/>
            <w:rtl w:val="0"/>
          </w:rPr>
          <w:t xml:space="preserve">https://seekingalpha.com/article/4862073-east-west-bancorp-inc-ewbc-q4-2025-earnings-call-transcript</w:t>
        </w:r>
      </w:hyperlink>
      <w:r w:rsidDel="00000000" w:rsidR="00000000" w:rsidRPr="00000000">
        <w:rPr>
          <w:rtl w:val="0"/>
        </w:rPr>
      </w:r>
    </w:p>
    <w:p w:rsidR="00000000" w:rsidDel="00000000" w:rsidP="00000000" w:rsidRDefault="00000000" w:rsidRPr="00000000" w14:paraId="000000B7">
      <w:pPr>
        <w:numPr>
          <w:ilvl w:val="0"/>
          <w:numId w:val="4"/>
        </w:numPr>
        <w:pBdr>
          <w:top w:space="0" w:sz="0" w:val="nil"/>
          <w:left w:space="0" w:sz="0" w:val="nil"/>
          <w:bottom w:space="0" w:sz="0" w:val="nil"/>
          <w:right w:space="0" w:sz="0" w:val="nil"/>
          <w:between w:space="0" w:sz="0" w:val="nil"/>
        </w:pBdr>
        <w:shd w:fill="auto" w:val="clear"/>
        <w:ind w:left="600" w:hanging="360"/>
        <w:rPr>
          <w:sz w:val="16"/>
          <w:szCs w:val="16"/>
        </w:rPr>
      </w:pPr>
      <w:r w:rsidDel="00000000" w:rsidR="00000000" w:rsidRPr="00000000">
        <w:rPr>
          <w:rFonts w:ascii="Google Sans" w:cs="Google Sans" w:eastAsia="Google Sans" w:hAnsi="Google Sans"/>
          <w:sz w:val="16"/>
          <w:szCs w:val="16"/>
          <w:rtl w:val="0"/>
        </w:rPr>
        <w:t xml:space="preserve">Huntington Bancshares Incorporated Reports 2025 ... - Cloudfront.net, accessed March 24, 2026, </w:t>
      </w:r>
      <w:hyperlink r:id="rId30">
        <w:r w:rsidDel="00000000" w:rsidR="00000000" w:rsidRPr="00000000">
          <w:rPr>
            <w:rFonts w:ascii="Google Sans" w:cs="Google Sans" w:eastAsia="Google Sans" w:hAnsi="Google Sans"/>
            <w:color w:val="0000ee"/>
            <w:sz w:val="16"/>
            <w:szCs w:val="16"/>
            <w:u w:val="single"/>
            <w:rtl w:val="0"/>
          </w:rPr>
          <w:t xml:space="preserve">https://d1io3yog0oux5.cloudfront.net/_3e96cacf3292ca6e5b36af7bb83a3aff/huntington/db/2725/28717/earnings_press_release_and_supplement/4Q25+EPR+and+Supplemental+vF.pdf</w:t>
        </w:r>
      </w:hyperlink>
      <w:r w:rsidDel="00000000" w:rsidR="00000000" w:rsidRPr="00000000">
        <w:rPr>
          <w:rtl w:val="0"/>
        </w:rPr>
      </w:r>
    </w:p>
    <w:p w:rsidR="00000000" w:rsidDel="00000000" w:rsidP="00000000" w:rsidRDefault="00000000" w:rsidRPr="00000000" w14:paraId="000000B8">
      <w:pPr>
        <w:numPr>
          <w:ilvl w:val="0"/>
          <w:numId w:val="4"/>
        </w:numPr>
        <w:pBdr>
          <w:top w:space="0" w:sz="0" w:val="nil"/>
          <w:left w:space="0" w:sz="0" w:val="nil"/>
          <w:bottom w:space="0" w:sz="0" w:val="nil"/>
          <w:right w:space="0" w:sz="0" w:val="nil"/>
          <w:between w:space="0" w:sz="0" w:val="nil"/>
        </w:pBdr>
        <w:shd w:fill="auto" w:val="clear"/>
        <w:ind w:left="600" w:hanging="360"/>
        <w:rPr>
          <w:sz w:val="16"/>
          <w:szCs w:val="16"/>
        </w:rPr>
      </w:pPr>
      <w:r w:rsidDel="00000000" w:rsidR="00000000" w:rsidRPr="00000000">
        <w:rPr>
          <w:rFonts w:ascii="Google Sans" w:cs="Google Sans" w:eastAsia="Google Sans" w:hAnsi="Google Sans"/>
          <w:sz w:val="16"/>
          <w:szCs w:val="16"/>
          <w:rtl w:val="0"/>
        </w:rPr>
        <w:t xml:space="preserve">Huntington Q4 2025 presentation highlights loan growth, partnerships amid revenue miss, accessed March 24, 2026, </w:t>
      </w:r>
      <w:hyperlink r:id="rId31">
        <w:r w:rsidDel="00000000" w:rsidR="00000000" w:rsidRPr="00000000">
          <w:rPr>
            <w:rFonts w:ascii="Google Sans" w:cs="Google Sans" w:eastAsia="Google Sans" w:hAnsi="Google Sans"/>
            <w:color w:val="0000ee"/>
            <w:sz w:val="16"/>
            <w:szCs w:val="16"/>
            <w:u w:val="single"/>
            <w:rtl w:val="0"/>
          </w:rPr>
          <w:t xml:space="preserve">https://www.investing.com/news/company-news/huntington-q4-2025-presentation-highlights-loan-growth-partnerships-amid-revenue-miss-93CH-4460899</w:t>
        </w:r>
      </w:hyperlink>
      <w:r w:rsidDel="00000000" w:rsidR="00000000" w:rsidRPr="00000000">
        <w:rPr>
          <w:rtl w:val="0"/>
        </w:rPr>
      </w:r>
    </w:p>
    <w:p w:rsidR="00000000" w:rsidDel="00000000" w:rsidP="00000000" w:rsidRDefault="00000000" w:rsidRPr="00000000" w14:paraId="000000B9">
      <w:pPr>
        <w:numPr>
          <w:ilvl w:val="0"/>
          <w:numId w:val="4"/>
        </w:numPr>
        <w:pBdr>
          <w:top w:space="0" w:sz="0" w:val="nil"/>
          <w:left w:space="0" w:sz="0" w:val="nil"/>
          <w:bottom w:space="0" w:sz="0" w:val="nil"/>
          <w:right w:space="0" w:sz="0" w:val="nil"/>
          <w:between w:space="0" w:sz="0" w:val="nil"/>
        </w:pBdr>
        <w:shd w:fill="auto" w:val="clear"/>
        <w:ind w:left="600" w:hanging="360"/>
        <w:rPr>
          <w:sz w:val="16"/>
          <w:szCs w:val="16"/>
        </w:rPr>
      </w:pPr>
      <w:r w:rsidDel="00000000" w:rsidR="00000000" w:rsidRPr="00000000">
        <w:rPr>
          <w:rFonts w:ascii="Google Sans" w:cs="Google Sans" w:eastAsia="Google Sans" w:hAnsi="Google Sans"/>
          <w:sz w:val="16"/>
          <w:szCs w:val="16"/>
          <w:rtl w:val="0"/>
        </w:rPr>
        <w:t xml:space="preserve">Huntington Bancshares Incorporated Reports 2025 Fourth-Quarter Earnings, accessed March 24, 2026, </w:t>
      </w:r>
      <w:hyperlink r:id="rId32">
        <w:r w:rsidDel="00000000" w:rsidR="00000000" w:rsidRPr="00000000">
          <w:rPr>
            <w:rFonts w:ascii="Google Sans" w:cs="Google Sans" w:eastAsia="Google Sans" w:hAnsi="Google Sans"/>
            <w:color w:val="0000ee"/>
            <w:sz w:val="16"/>
            <w:szCs w:val="16"/>
            <w:u w:val="single"/>
            <w:rtl w:val="0"/>
          </w:rPr>
          <w:t xml:space="preserve">https://ir.huntington.com/news-presentations/press-releases/detail/965/huntington-bancshares-incorporated-reports-2025-fourth-quarter-earnings</w:t>
        </w:r>
      </w:hyperlink>
      <w:r w:rsidDel="00000000" w:rsidR="00000000" w:rsidRPr="00000000">
        <w:rPr>
          <w:rtl w:val="0"/>
        </w:rPr>
      </w:r>
    </w:p>
    <w:p w:rsidR="00000000" w:rsidDel="00000000" w:rsidP="00000000" w:rsidRDefault="00000000" w:rsidRPr="00000000" w14:paraId="000000BA">
      <w:pPr>
        <w:numPr>
          <w:ilvl w:val="0"/>
          <w:numId w:val="4"/>
        </w:numPr>
        <w:pBdr>
          <w:top w:space="0" w:sz="0" w:val="nil"/>
          <w:left w:space="0" w:sz="0" w:val="nil"/>
          <w:bottom w:space="0" w:sz="0" w:val="nil"/>
          <w:right w:space="0" w:sz="0" w:val="nil"/>
          <w:between w:space="0" w:sz="0" w:val="nil"/>
        </w:pBdr>
        <w:shd w:fill="auto" w:val="clear"/>
        <w:ind w:left="600" w:hanging="360"/>
        <w:rPr>
          <w:sz w:val="16"/>
          <w:szCs w:val="16"/>
        </w:rPr>
      </w:pPr>
      <w:r w:rsidDel="00000000" w:rsidR="00000000" w:rsidRPr="00000000">
        <w:rPr>
          <w:rFonts w:ascii="Google Sans" w:cs="Google Sans" w:eastAsia="Google Sans" w:hAnsi="Google Sans"/>
          <w:sz w:val="16"/>
          <w:szCs w:val="16"/>
          <w:rtl w:val="0"/>
        </w:rPr>
        <w:t xml:space="preserve">Truist Financial Q4 2025 slides: Mixed results amid strategic growth initiatives, accessed March 24, 2026, </w:t>
      </w:r>
      <w:hyperlink r:id="rId33">
        <w:r w:rsidDel="00000000" w:rsidR="00000000" w:rsidRPr="00000000">
          <w:rPr>
            <w:rFonts w:ascii="Google Sans" w:cs="Google Sans" w:eastAsia="Google Sans" w:hAnsi="Google Sans"/>
            <w:color w:val="0000ee"/>
            <w:sz w:val="16"/>
            <w:szCs w:val="16"/>
            <w:u w:val="single"/>
            <w:rtl w:val="0"/>
          </w:rPr>
          <w:t xml:space="preserve">https://www.investing.com/news/company-news/truist-financial-q4-2025-slides-mixed-results-amid-strategic-growth-initiatives-93CH-4458029</w:t>
        </w:r>
      </w:hyperlink>
      <w:r w:rsidDel="00000000" w:rsidR="00000000" w:rsidRPr="00000000">
        <w:rPr>
          <w:rtl w:val="0"/>
        </w:rPr>
      </w:r>
    </w:p>
    <w:p w:rsidR="00000000" w:rsidDel="00000000" w:rsidP="00000000" w:rsidRDefault="00000000" w:rsidRPr="00000000" w14:paraId="000000BB">
      <w:pPr>
        <w:numPr>
          <w:ilvl w:val="0"/>
          <w:numId w:val="4"/>
        </w:numPr>
        <w:pBdr>
          <w:top w:space="0" w:sz="0" w:val="nil"/>
          <w:left w:space="0" w:sz="0" w:val="nil"/>
          <w:bottom w:space="0" w:sz="0" w:val="nil"/>
          <w:right w:space="0" w:sz="0" w:val="nil"/>
          <w:between w:space="0" w:sz="0" w:val="nil"/>
        </w:pBdr>
        <w:shd w:fill="auto" w:val="clear"/>
        <w:ind w:left="600" w:hanging="360"/>
        <w:rPr>
          <w:sz w:val="16"/>
          <w:szCs w:val="16"/>
        </w:rPr>
      </w:pPr>
      <w:r w:rsidDel="00000000" w:rsidR="00000000" w:rsidRPr="00000000">
        <w:rPr>
          <w:rFonts w:ascii="Google Sans" w:cs="Google Sans" w:eastAsia="Google Sans" w:hAnsi="Google Sans"/>
          <w:sz w:val="16"/>
          <w:szCs w:val="16"/>
          <w:rtl w:val="0"/>
        </w:rPr>
        <w:t xml:space="preserve">F.N.B. Corporation Reports Fourth Quarter and Full Year 2025 Earnings, accessed March 24, 2026, </w:t>
      </w:r>
      <w:hyperlink r:id="rId34">
        <w:r w:rsidDel="00000000" w:rsidR="00000000" w:rsidRPr="00000000">
          <w:rPr>
            <w:rFonts w:ascii="Google Sans" w:cs="Google Sans" w:eastAsia="Google Sans" w:hAnsi="Google Sans"/>
            <w:color w:val="0000ee"/>
            <w:sz w:val="16"/>
            <w:szCs w:val="16"/>
            <w:u w:val="single"/>
            <w:rtl w:val="0"/>
          </w:rPr>
          <w:t xml:space="preserve">https://www.prnewswire.com/news-releases/fnb-corporation-reports-fourth-quarter-and-full-year-2025-earnings-302665886.html</w:t>
        </w:r>
      </w:hyperlink>
      <w:r w:rsidDel="00000000" w:rsidR="00000000" w:rsidRPr="00000000">
        <w:rPr>
          <w:rtl w:val="0"/>
        </w:rPr>
      </w:r>
    </w:p>
    <w:p w:rsidR="00000000" w:rsidDel="00000000" w:rsidP="00000000" w:rsidRDefault="00000000" w:rsidRPr="00000000" w14:paraId="000000BC">
      <w:pPr>
        <w:numPr>
          <w:ilvl w:val="0"/>
          <w:numId w:val="4"/>
        </w:numPr>
        <w:pBdr>
          <w:top w:space="0" w:sz="0" w:val="nil"/>
          <w:left w:space="0" w:sz="0" w:val="nil"/>
          <w:bottom w:space="0" w:sz="0" w:val="nil"/>
          <w:right w:space="0" w:sz="0" w:val="nil"/>
          <w:between w:space="0" w:sz="0" w:val="nil"/>
        </w:pBdr>
        <w:shd w:fill="auto" w:val="clear"/>
        <w:ind w:left="600" w:hanging="360"/>
        <w:rPr>
          <w:sz w:val="16"/>
          <w:szCs w:val="16"/>
        </w:rPr>
      </w:pPr>
      <w:r w:rsidDel="00000000" w:rsidR="00000000" w:rsidRPr="00000000">
        <w:rPr>
          <w:rFonts w:ascii="Google Sans" w:cs="Google Sans" w:eastAsia="Google Sans" w:hAnsi="Google Sans"/>
          <w:sz w:val="16"/>
          <w:szCs w:val="16"/>
          <w:rtl w:val="0"/>
        </w:rPr>
        <w:t xml:space="preserve">F.N.B. Corporation Reports Fourth Quarter and Full Year 2025 Earnings | First National Bank, accessed March 24, 2026, </w:t>
      </w:r>
      <w:hyperlink r:id="rId35">
        <w:r w:rsidDel="00000000" w:rsidR="00000000" w:rsidRPr="00000000">
          <w:rPr>
            <w:rFonts w:ascii="Google Sans" w:cs="Google Sans" w:eastAsia="Google Sans" w:hAnsi="Google Sans"/>
            <w:color w:val="0000ee"/>
            <w:sz w:val="16"/>
            <w:szCs w:val="16"/>
            <w:u w:val="single"/>
            <w:rtl w:val="0"/>
          </w:rPr>
          <w:t xml:space="preserve">https://www.fnb-online.com/about-us/newsroom/press-releases/2026/260120-fnb-corporation-reports-fourth-quarter-and-full-year</w:t>
        </w:r>
      </w:hyperlink>
      <w:r w:rsidDel="00000000" w:rsidR="00000000" w:rsidRPr="00000000">
        <w:rPr>
          <w:rtl w:val="0"/>
        </w:rPr>
      </w:r>
    </w:p>
    <w:p w:rsidR="00000000" w:rsidDel="00000000" w:rsidP="00000000" w:rsidRDefault="00000000" w:rsidRPr="00000000" w14:paraId="000000BD">
      <w:pPr>
        <w:numPr>
          <w:ilvl w:val="0"/>
          <w:numId w:val="4"/>
        </w:numPr>
        <w:pBdr>
          <w:top w:space="0" w:sz="0" w:val="nil"/>
          <w:left w:space="0" w:sz="0" w:val="nil"/>
          <w:bottom w:space="0" w:sz="0" w:val="nil"/>
          <w:right w:space="0" w:sz="0" w:val="nil"/>
          <w:between w:space="0" w:sz="0" w:val="nil"/>
        </w:pBdr>
        <w:shd w:fill="auto" w:val="clear"/>
        <w:ind w:left="600" w:hanging="360"/>
        <w:rPr>
          <w:sz w:val="16"/>
          <w:szCs w:val="16"/>
        </w:rPr>
      </w:pPr>
      <w:r w:rsidDel="00000000" w:rsidR="00000000" w:rsidRPr="00000000">
        <w:rPr>
          <w:rFonts w:ascii="Google Sans" w:cs="Google Sans" w:eastAsia="Google Sans" w:hAnsi="Google Sans"/>
          <w:sz w:val="16"/>
          <w:szCs w:val="16"/>
          <w:rtl w:val="0"/>
        </w:rPr>
        <w:t xml:space="preserve">F.N.B. Corporation Reports Fourth Quarter and Full Year 2024 Earnings | First National Bank, accessed March 24, 2026, </w:t>
      </w:r>
      <w:hyperlink r:id="rId36">
        <w:r w:rsidDel="00000000" w:rsidR="00000000" w:rsidRPr="00000000">
          <w:rPr>
            <w:rFonts w:ascii="Google Sans" w:cs="Google Sans" w:eastAsia="Google Sans" w:hAnsi="Google Sans"/>
            <w:color w:val="0000ee"/>
            <w:sz w:val="16"/>
            <w:szCs w:val="16"/>
            <w:u w:val="single"/>
            <w:rtl w:val="0"/>
          </w:rPr>
          <w:t xml:space="preserve">https://www.fnb-online.com/about-us/newsroom/press-releases/2025/250122-fnb-corporation-reports-fourth-quarter</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ir.ozk.com/static-files/07e50bdc-7f28-4786-9ff7-9b022a70330f" TargetMode="External"/><Relationship Id="rId22" Type="http://schemas.openxmlformats.org/officeDocument/2006/relationships/hyperlink" Target="https://s203.q4cdn.com/215756951/files/doc_financials/2025/q4/EXH-99-1-Earnings-Release-8-K-2025-12-31-FINAL-1-20-2026-1.pdf" TargetMode="External"/><Relationship Id="rId21" Type="http://schemas.openxmlformats.org/officeDocument/2006/relationships/hyperlink" Target="https://www.prnewswire.com/news-releases/zions-bancorporation-national-association-reports-fourth-quarter-financial-results-302665710.html" TargetMode="External"/><Relationship Id="rId24" Type="http://schemas.openxmlformats.org/officeDocument/2006/relationships/hyperlink" Target="https://www.zionsbank.com/personal/community/business/fourth-quarter-earnings-2025/" TargetMode="External"/><Relationship Id="rId23" Type="http://schemas.openxmlformats.org/officeDocument/2006/relationships/hyperlink" Target="https://www.investing.com/news/company-news/zions-bancorporation-q4-2025-slides-eps-jumps-19-nim-expands-for-eighth-quarter-93CH-445667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investing.com/news/company-news/western-alliance-q4-2025-slides-record-earnings-and-doubledigit-deposit-growth-93CH-4468318" TargetMode="External"/><Relationship Id="rId26" Type="http://schemas.openxmlformats.org/officeDocument/2006/relationships/hyperlink" Target="https://s26.q4cdn.com/577104185/files/doc_earnings/2025/q4/earnings-result/COLB-2025-Q4-Earnings-Release.pdf" TargetMode="External"/><Relationship Id="rId25" Type="http://schemas.openxmlformats.org/officeDocument/2006/relationships/hyperlink" Target="https://www.investing.com/news/company-news/columbia-banking-q4-2025-slides-western-expansion-drives-earnings-beat-nim-growth-93CH-4461717" TargetMode="External"/><Relationship Id="rId28" Type="http://schemas.openxmlformats.org/officeDocument/2006/relationships/hyperlink" Target="https://www.businesswire.com/news/home/20260122198859/en/East-West-Bancorp-Reports-Record-Net-Income-for-2025-of-%241.3-Billion-and-Diluted-Earnings-Per-Share-of-%249.52-Increases-Dividend-33" TargetMode="External"/><Relationship Id="rId27" Type="http://schemas.openxmlformats.org/officeDocument/2006/relationships/hyperlink" Target="https://www.investing.com/news/company-news/east-west-bancorp-q4-2025-slides-reveal-record-performance-and-33-dividend-hike-93CH-4461713" TargetMode="External"/><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hyperlink" Target="https://seekingalpha.com/article/4862073-east-west-bancorp-inc-ewbc-q4-2025-earnings-call-transcript" TargetMode="External"/><Relationship Id="rId7" Type="http://schemas.openxmlformats.org/officeDocument/2006/relationships/image" Target="media/image3.png"/><Relationship Id="rId8" Type="http://schemas.openxmlformats.org/officeDocument/2006/relationships/image" Target="media/image2.png"/><Relationship Id="rId31" Type="http://schemas.openxmlformats.org/officeDocument/2006/relationships/hyperlink" Target="https://www.investing.com/news/company-news/huntington-q4-2025-presentation-highlights-loan-growth-partnerships-amid-revenue-miss-93CH-4460899" TargetMode="External"/><Relationship Id="rId30" Type="http://schemas.openxmlformats.org/officeDocument/2006/relationships/hyperlink" Target="https://d1io3yog0oux5.cloudfront.net/_3e96cacf3292ca6e5b36af7bb83a3aff/huntington/db/2725/28717/earnings_press_release_and_supplement/4Q25+EPR+and+Supplemental+vF.pdf" TargetMode="External"/><Relationship Id="rId11" Type="http://schemas.openxmlformats.org/officeDocument/2006/relationships/hyperlink" Target="https://ir.ozk.com/news-releases/news-release-details/bank-ozk-announces-fourth-quarter-and-full-year-2025-earnings/" TargetMode="External"/><Relationship Id="rId33" Type="http://schemas.openxmlformats.org/officeDocument/2006/relationships/hyperlink" Target="https://www.investing.com/news/company-news/truist-financial-q4-2025-slides-mixed-results-amid-strategic-growth-initiatives-93CH-4458029" TargetMode="External"/><Relationship Id="rId10" Type="http://schemas.openxmlformats.org/officeDocument/2006/relationships/hyperlink" Target="https://ir.ozk.com/3Q25_Management_Comments" TargetMode="External"/><Relationship Id="rId32" Type="http://schemas.openxmlformats.org/officeDocument/2006/relationships/hyperlink" Target="https://ir.huntington.com/news-presentations/press-releases/detail/965/huntington-bancshares-incorporated-reports-2025-fourth-quarter-earnings" TargetMode="External"/><Relationship Id="rId13" Type="http://schemas.openxmlformats.org/officeDocument/2006/relationships/hyperlink" Target="https://investors.westernalliancebancorporation.com/files/doc_financials/2025/q4/WAL-Q4-2025-Earnings-Presentation.pdf" TargetMode="External"/><Relationship Id="rId35" Type="http://schemas.openxmlformats.org/officeDocument/2006/relationships/hyperlink" Target="https://www.fnb-online.com/about-us/newsroom/press-releases/2026/260120-fnb-corporation-reports-fourth-quarter-and-full-year" TargetMode="External"/><Relationship Id="rId12" Type="http://schemas.openxmlformats.org/officeDocument/2006/relationships/hyperlink" Target="https://ir.ozk.com/" TargetMode="External"/><Relationship Id="rId34" Type="http://schemas.openxmlformats.org/officeDocument/2006/relationships/hyperlink" Target="https://www.prnewswire.com/news-releases/fnb-corporation-reports-fourth-quarter-and-full-year-2025-earnings-302665886.html" TargetMode="External"/><Relationship Id="rId15" Type="http://schemas.openxmlformats.org/officeDocument/2006/relationships/hyperlink" Target="https://s23.q4cdn.com/205723478/files/doc_financials/2025/q4/EWBC-4Q25-Earnings-Presentationv-FINAL.pdf" TargetMode="External"/><Relationship Id="rId14" Type="http://schemas.openxmlformats.org/officeDocument/2006/relationships/hyperlink" Target="https://s203.q4cdn.com/215756951/files/doc_financials/2025/q4/Earnings-Presentation-2025-4Q-Final.pdf" TargetMode="External"/><Relationship Id="rId36" Type="http://schemas.openxmlformats.org/officeDocument/2006/relationships/hyperlink" Target="https://www.fnb-online.com/about-us/newsroom/press-releases/2025/250122-fnb-corporation-reports-fourth-quarter" TargetMode="External"/><Relationship Id="rId17" Type="http://schemas.openxmlformats.org/officeDocument/2006/relationships/hyperlink" Target="https://www.prnewswire.com/news-releases/columbia-banking-system-inc-reports-fourth-quarter-2025-results-302668325.html" TargetMode="External"/><Relationship Id="rId16" Type="http://schemas.openxmlformats.org/officeDocument/2006/relationships/hyperlink" Target="https://seekingalpha.com/article/4862083-columbia-banking-system-inc-colb-q4-2025-earnings-call-transcript" TargetMode="External"/><Relationship Id="rId19" Type="http://schemas.openxmlformats.org/officeDocument/2006/relationships/hyperlink" Target="https://ir.ozk.com/static-files/97e9d39c-8fb5-4fcd-a069-7310d444f924" TargetMode="External"/><Relationship Id="rId18" Type="http://schemas.openxmlformats.org/officeDocument/2006/relationships/hyperlink" Target="https://filecache.investorroom.com/mr5ir_truist/1079/TFC_4Q25_Earnings_Release.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