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Strategic Governance and Insider Transactional Analysis of Bank OZK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The institutional landscape of Bank OZK (CIK 0001609065) during the first trimester of 2026 reveals a complex interplay between executive leadership continuity, the formalization of risk management protocols, and the management of shareholder expectations amidst significant equity price volatility. As a dominant force in the specialized commercial real estate (CRE) lending sector, Bank OZK’s internal administrative maneuvers serve as a bellwether for institutional sentiment regarding the broader real estate cycle. This report provides an exhaustive audit of SEC Form 4 and 8-K filings from January 1, 2026, through the present, contextualizing these movements within the bank's long-term strategic trajectory and its historical performance metrics.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Executive Leadership Continuity and the Institutional Core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Bank OZK is defined by a level of leadership stability that is statistically anomalous in the regional banking sector. George Gleason, who has served as Chairman and Chief Executive Officer since 1979, remains the primary architect of the bank's specialized lending model.</w:t>
      </w:r>
      <w:r w:rsidDel="00000000" w:rsidR="00000000" w:rsidRPr="00000000">
        <w:rPr>
          <w:rFonts w:ascii="Arial" w:cs="Arial" w:eastAsia="Arial" w:hAnsi="Arial"/>
          <w:color w:val="444746"/>
          <w:sz w:val="16"/>
          <w:szCs w:val="16"/>
          <w:vertAlign w:val="superscript"/>
          <w:rtl w:val="0"/>
        </w:rPr>
        <w:t xml:space="preserve">1</w:t>
      </w:r>
      <w:r w:rsidDel="00000000" w:rsidR="00000000" w:rsidRPr="00000000">
        <w:rPr>
          <w:rFonts w:ascii="Arial" w:cs="Arial" w:eastAsia="Arial" w:hAnsi="Arial"/>
          <w:color w:val="1f1f1f"/>
          <w:sz w:val="16"/>
          <w:szCs w:val="16"/>
          <w:rtl w:val="0"/>
        </w:rPr>
        <w:t xml:space="preserve"> This forty-seven-year tenure provides a unique lens through which to view the current governance structure. The executive team is largely composed of individuals with significant history at the bank, many of whom joined during the bank's formative years of expansion.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16"/>
          <w:szCs w:val="16"/>
          <w:vertAlign w:val="superscript"/>
        </w:rPr>
      </w:pPr>
      <w:r w:rsidDel="00000000" w:rsidR="00000000" w:rsidRPr="00000000">
        <w:rPr>
          <w:rFonts w:ascii="Arial" w:cs="Arial" w:eastAsia="Arial" w:hAnsi="Arial"/>
          <w:color w:val="1f1f1f"/>
          <w:sz w:val="16"/>
          <w:szCs w:val="16"/>
          <w:rtl w:val="0"/>
        </w:rPr>
        <w:t xml:space="preserve">The Chief Financial Officer, Tim Hicks, represents a critical node in this continuity. Having joined the bank in 2009, Hicks ascended through various corporate finance and administrative roles, eventually assuming the CFO position in June 2022.</w:t>
      </w:r>
      <w:r w:rsidDel="00000000" w:rsidR="00000000" w:rsidRPr="00000000">
        <w:rPr>
          <w:rFonts w:ascii="Arial" w:cs="Arial" w:eastAsia="Arial" w:hAnsi="Arial"/>
          <w:color w:val="444746"/>
          <w:sz w:val="16"/>
          <w:szCs w:val="16"/>
          <w:vertAlign w:val="superscript"/>
          <w:rtl w:val="0"/>
        </w:rPr>
        <w:t xml:space="preserve">1</w:t>
      </w:r>
      <w:r w:rsidDel="00000000" w:rsidR="00000000" w:rsidRPr="00000000">
        <w:rPr>
          <w:rFonts w:ascii="Arial" w:cs="Arial" w:eastAsia="Arial" w:hAnsi="Arial"/>
          <w:color w:val="1f1f1f"/>
          <w:sz w:val="16"/>
          <w:szCs w:val="16"/>
          <w:rtl w:val="0"/>
        </w:rPr>
        <w:t xml:space="preserve"> His background, which includes a tenure as Chief Credit and Administrative Officer, indicates a cross-functional expertise that is essential for a CFO navigating the complexities of a large-scale construction loan portfolio.</w:t>
      </w:r>
      <w:r w:rsidDel="00000000" w:rsidR="00000000" w:rsidRPr="00000000">
        <w:rPr>
          <w:rFonts w:ascii="Arial" w:cs="Arial" w:eastAsia="Arial" w:hAnsi="Arial"/>
          <w:color w:val="444746"/>
          <w:sz w:val="16"/>
          <w:szCs w:val="16"/>
          <w:vertAlign w:val="superscript"/>
          <w:rtl w:val="0"/>
        </w:rPr>
        <w:t xml:space="preserve">1</w:t>
      </w:r>
      <w:r w:rsidDel="00000000" w:rsidR="00000000" w:rsidRPr="00000000">
        <w:rPr>
          <w:rFonts w:ascii="Arial" w:cs="Arial" w:eastAsia="Arial" w:hAnsi="Arial"/>
          <w:color w:val="1f1f1f"/>
          <w:sz w:val="16"/>
          <w:szCs w:val="16"/>
          <w:rtl w:val="0"/>
        </w:rPr>
        <w:t xml:space="preserve"> Similarly, Brannon Hamblen, the bank's President, has a career trajectory deeply rooted in the Real Estate Specialties Group (RESG), the bank's most significant growth engine.</w:t>
      </w:r>
      <w:r w:rsidDel="00000000" w:rsidR="00000000" w:rsidRPr="00000000">
        <w:rPr>
          <w:rFonts w:ascii="Arial" w:cs="Arial" w:eastAsia="Arial" w:hAnsi="Arial"/>
          <w:color w:val="444746"/>
          <w:sz w:val="16"/>
          <w:szCs w:val="16"/>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Table 1: Primary Executive Officers of Bank OZK (Q1 2026)</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Title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Primary Responsibility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Institutional Tenure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George Gleason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Chairman &amp; CEO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Overall Strategy and Board Leadership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Since 1979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Brannon Hamblen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President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Oversight of RESG and Operational Growth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Since 2008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Tim Hicks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Chief Financial Officer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Financial Strategy and Investor Relations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Since 2009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Cindy Wolfe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Chief Operating Officer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Operations and Market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Since 1998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John Carter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Chief Credit Officer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Credit Risk and Asset Quality Oversight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Rejoined 2023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Arindam Majumdar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Chief Risk Officer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Enterprise Risk Management (ERM)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Since 2016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Stan Thomas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Chief Accounting Officer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Financial Reporting and Accounting Controls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Since 2013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Tamara Gotham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Chief Administrative Officer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Corporate Resilience and Administrative Ops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Since 2016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Helen Brown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General Counsel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Legal Strategy and Corporate Secretary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Since 2020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Jacob Munn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President, Corporate &amp; Institutional Banking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Institutional Lending and Growth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Since 2024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Ottie Kerley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Chief Banking Officer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Deposit Strategy and Community Banking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Since 2018</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color w:val="444746"/>
          <w:sz w:val="16"/>
          <w:szCs w:val="16"/>
          <w:vertAlign w:val="superscript"/>
        </w:rPr>
      </w:pPr>
      <w:r w:rsidDel="00000000" w:rsidR="00000000" w:rsidRPr="00000000">
        <w:rPr>
          <w:rFonts w:ascii="Arial" w:cs="Arial" w:eastAsia="Arial" w:hAnsi="Arial"/>
          <w:color w:val="444746"/>
          <w:sz w:val="16"/>
          <w:szCs w:val="16"/>
          <w:vertAlign w:val="superscript"/>
          <w:rtl w:val="0"/>
        </w:rPr>
        <w:t xml:space="preserve">1</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Resolution of the Chief Risk Officer Mandate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One of the primary "red flags" identified by institutional analysts in late 2025 was the perceived vacancy in the Chief Risk Officer (CRO) position following the departure of Gary Pacos in early 2023.</w:t>
      </w:r>
      <w:r w:rsidDel="00000000" w:rsidR="00000000" w:rsidRPr="00000000">
        <w:rPr>
          <w:rFonts w:ascii="Arial" w:cs="Arial" w:eastAsia="Arial" w:hAnsi="Arial"/>
          <w:color w:val="444746"/>
          <w:sz w:val="16"/>
          <w:szCs w:val="16"/>
          <w:vertAlign w:val="superscript"/>
          <w:rtl w:val="0"/>
        </w:rPr>
        <w:t xml:space="preserve">8</w:t>
      </w:r>
      <w:r w:rsidDel="00000000" w:rsidR="00000000" w:rsidRPr="00000000">
        <w:rPr>
          <w:rFonts w:ascii="Arial" w:cs="Arial" w:eastAsia="Arial" w:hAnsi="Arial"/>
          <w:color w:val="1f1f1f"/>
          <w:sz w:val="16"/>
          <w:szCs w:val="16"/>
          <w:rtl w:val="0"/>
        </w:rPr>
        <w:t xml:space="preserve"> During a period of elevated stress in the commercial real estate sector, the absence of a dedicated CRO is often interpreted as a failure of oversight. However, recent corporate records confirm that this position was filled internally, reflecting the bank’s preference for leaders who are intimately familiar with its specific risk profile.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16"/>
          <w:szCs w:val="16"/>
          <w:vertAlign w:val="superscript"/>
        </w:rPr>
      </w:pPr>
      <w:r w:rsidDel="00000000" w:rsidR="00000000" w:rsidRPr="00000000">
        <w:rPr>
          <w:rFonts w:ascii="Arial" w:cs="Arial" w:eastAsia="Arial" w:hAnsi="Arial"/>
          <w:color w:val="1f1f1f"/>
          <w:sz w:val="16"/>
          <w:szCs w:val="16"/>
          <w:rtl w:val="0"/>
        </w:rPr>
        <w:t xml:space="preserve">Arindam Majumdar was formally appointed as the Chief Risk Officer in 2025.</w:t>
      </w:r>
      <w:r w:rsidDel="00000000" w:rsidR="00000000" w:rsidRPr="00000000">
        <w:rPr>
          <w:rFonts w:ascii="Arial" w:cs="Arial" w:eastAsia="Arial" w:hAnsi="Arial"/>
          <w:color w:val="444746"/>
          <w:sz w:val="16"/>
          <w:szCs w:val="16"/>
          <w:vertAlign w:val="superscript"/>
          <w:rtl w:val="0"/>
        </w:rPr>
        <w:t xml:space="preserve">1</w:t>
      </w:r>
      <w:r w:rsidDel="00000000" w:rsidR="00000000" w:rsidRPr="00000000">
        <w:rPr>
          <w:rFonts w:ascii="Arial" w:cs="Arial" w:eastAsia="Arial" w:hAnsi="Arial"/>
          <w:color w:val="1f1f1f"/>
          <w:sz w:val="16"/>
          <w:szCs w:val="16"/>
          <w:rtl w:val="0"/>
        </w:rPr>
        <w:t xml:space="preserve"> Mr. Majumdar’s background is rooted in quantitative risk analytics, having previously served as the Deputy Chief Risk Officer and Managing Director of Enterprise Risk Analytics.</w:t>
      </w:r>
      <w:r w:rsidDel="00000000" w:rsidR="00000000" w:rsidRPr="00000000">
        <w:rPr>
          <w:rFonts w:ascii="Arial" w:cs="Arial" w:eastAsia="Arial" w:hAnsi="Arial"/>
          <w:color w:val="444746"/>
          <w:sz w:val="16"/>
          <w:szCs w:val="16"/>
          <w:vertAlign w:val="superscript"/>
          <w:rtl w:val="0"/>
        </w:rPr>
        <w:t xml:space="preserve">1</w:t>
      </w:r>
      <w:r w:rsidDel="00000000" w:rsidR="00000000" w:rsidRPr="00000000">
        <w:rPr>
          <w:rFonts w:ascii="Arial" w:cs="Arial" w:eastAsia="Arial" w:hAnsi="Arial"/>
          <w:color w:val="1f1f1f"/>
          <w:sz w:val="16"/>
          <w:szCs w:val="16"/>
          <w:rtl w:val="0"/>
        </w:rPr>
        <w:t xml:space="preserve"> His appointment signals a transition toward a more data-centric approach to risk management. Prior to his decade-long career at Bank OZK, he held senior risk positions at JPMorgan Chase and Discover Financial Services, providing him with a broader perspective on institutional risk that complements the bank's specialized model.</w:t>
      </w:r>
      <w:r w:rsidDel="00000000" w:rsidR="00000000" w:rsidRPr="00000000">
        <w:rPr>
          <w:rFonts w:ascii="Arial" w:cs="Arial" w:eastAsia="Arial" w:hAnsi="Arial"/>
          <w:color w:val="444746"/>
          <w:sz w:val="16"/>
          <w:szCs w:val="16"/>
          <w:vertAlign w:val="superscript"/>
          <w:rtl w:val="0"/>
        </w:rPr>
        <w:t xml:space="preserve">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16"/>
          <w:szCs w:val="16"/>
          <w:vertAlign w:val="superscript"/>
        </w:rPr>
      </w:pPr>
      <w:r w:rsidDel="00000000" w:rsidR="00000000" w:rsidRPr="00000000">
        <w:rPr>
          <w:rFonts w:ascii="Arial" w:cs="Arial" w:eastAsia="Arial" w:hAnsi="Arial"/>
          <w:color w:val="1f1f1f"/>
          <w:sz w:val="16"/>
          <w:szCs w:val="16"/>
          <w:rtl w:val="0"/>
        </w:rPr>
        <w:t xml:space="preserve">The risk management infrastructure is further supported by the Executive Risk Council (ERC), which is chaired by the CRO.</w:t>
      </w:r>
      <w:r w:rsidDel="00000000" w:rsidR="00000000" w:rsidRPr="00000000">
        <w:rPr>
          <w:rFonts w:ascii="Arial" w:cs="Arial" w:eastAsia="Arial" w:hAnsi="Arial"/>
          <w:color w:val="444746"/>
          <w:sz w:val="16"/>
          <w:szCs w:val="16"/>
          <w:vertAlign w:val="superscript"/>
          <w:rtl w:val="0"/>
        </w:rPr>
        <w:t xml:space="preserve">9</w:t>
      </w:r>
      <w:r w:rsidDel="00000000" w:rsidR="00000000" w:rsidRPr="00000000">
        <w:rPr>
          <w:rFonts w:ascii="Arial" w:cs="Arial" w:eastAsia="Arial" w:hAnsi="Arial"/>
          <w:color w:val="1f1f1f"/>
          <w:sz w:val="16"/>
          <w:szCs w:val="16"/>
          <w:rtl w:val="0"/>
        </w:rPr>
        <w:t xml:space="preserve"> The ERC is tasked with assisting the Board's Risk Committee in the oversight of enterprise risk management activities, including the monitoring of key risk and performance indicators.</w:t>
      </w:r>
      <w:r w:rsidDel="00000000" w:rsidR="00000000" w:rsidRPr="00000000">
        <w:rPr>
          <w:rFonts w:ascii="Arial" w:cs="Arial" w:eastAsia="Arial" w:hAnsi="Arial"/>
          <w:color w:val="444746"/>
          <w:sz w:val="16"/>
          <w:szCs w:val="16"/>
          <w:vertAlign w:val="superscript"/>
          <w:rtl w:val="0"/>
        </w:rPr>
        <w:t xml:space="preserve">9</w:t>
      </w:r>
      <w:r w:rsidDel="00000000" w:rsidR="00000000" w:rsidRPr="00000000">
        <w:rPr>
          <w:rFonts w:ascii="Arial" w:cs="Arial" w:eastAsia="Arial" w:hAnsi="Arial"/>
          <w:color w:val="1f1f1f"/>
          <w:sz w:val="16"/>
          <w:szCs w:val="16"/>
          <w:rtl w:val="0"/>
        </w:rPr>
        <w:t xml:space="preserve"> This hierarchical structure ensures that the risk appetite statement, which is reviewed annually by the Audit and Risk Committee, is translated into operational limits and monitoring protocols.</w:t>
      </w:r>
      <w:r w:rsidDel="00000000" w:rsidR="00000000" w:rsidRPr="00000000">
        <w:rPr>
          <w:rFonts w:ascii="Arial" w:cs="Arial" w:eastAsia="Arial" w:hAnsi="Arial"/>
          <w:color w:val="444746"/>
          <w:sz w:val="16"/>
          <w:szCs w:val="16"/>
          <w:vertAlign w:val="superscript"/>
          <w:rtl w:val="0"/>
        </w:rPr>
        <w:t xml:space="preserve">9</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Audit of Q1 2026 SEC Form 4 Filings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The first quarter of 2026 saw a concentrated burst of insider filing activity, primarily clustered around the third week of January, the middle of February, and the second week of March. This timing is consistent with the bank's historical reporting and equity vesting cycles.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The March 11, 2026 "Mass Filing" Event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16"/>
          <w:szCs w:val="16"/>
          <w:vertAlign w:val="superscript"/>
        </w:rPr>
      </w:pPr>
      <w:r w:rsidDel="00000000" w:rsidR="00000000" w:rsidRPr="00000000">
        <w:rPr>
          <w:rFonts w:ascii="Arial" w:cs="Arial" w:eastAsia="Arial" w:hAnsi="Arial"/>
          <w:color w:val="1f1f1f"/>
          <w:sz w:val="16"/>
          <w:szCs w:val="16"/>
          <w:rtl w:val="0"/>
        </w:rPr>
        <w:t xml:space="preserve">On March 11, 2026, the entire executive leadership team submitted Form 4 filings.</w:t>
      </w:r>
      <w:r w:rsidDel="00000000" w:rsidR="00000000" w:rsidRPr="00000000">
        <w:rPr>
          <w:rFonts w:ascii="Arial" w:cs="Arial" w:eastAsia="Arial" w:hAnsi="Arial"/>
          <w:color w:val="444746"/>
          <w:sz w:val="16"/>
          <w:szCs w:val="16"/>
          <w:vertAlign w:val="superscript"/>
          <w:rtl w:val="0"/>
        </w:rPr>
        <w:t xml:space="preserve">7</w:t>
      </w:r>
      <w:r w:rsidDel="00000000" w:rsidR="00000000" w:rsidRPr="00000000">
        <w:rPr>
          <w:rFonts w:ascii="Arial" w:cs="Arial" w:eastAsia="Arial" w:hAnsi="Arial"/>
          <w:color w:val="1f1f1f"/>
          <w:sz w:val="16"/>
          <w:szCs w:val="16"/>
          <w:rtl w:val="0"/>
        </w:rPr>
        <w:t xml:space="preserve"> This included submissions from the CEO, CFO, President, COO, CCO, and CAO. While the specific share counts and transaction prices for these 2026 filings were not fully detailed in the summary snippets, the existence of these filings—coinciding with the bank's annual compensation awards—suggests a programmatic equity distribution or the vesting of restricted stock units (RSUs).</w:t>
      </w:r>
      <w:r w:rsidDel="00000000" w:rsidR="00000000" w:rsidRPr="00000000">
        <w:rPr>
          <w:rFonts w:ascii="Arial" w:cs="Arial" w:eastAsia="Arial" w:hAnsi="Arial"/>
          <w:color w:val="444746"/>
          <w:sz w:val="16"/>
          <w:szCs w:val="16"/>
          <w:vertAlign w:val="superscript"/>
          <w:rtl w:val="0"/>
        </w:rPr>
        <w:t xml:space="preserve">7</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A critical observation is that none of the March 11 filings were flagged as large-scale open-market sales by the CEO or CFO.</w:t>
      </w:r>
      <w:r w:rsidDel="00000000" w:rsidR="00000000" w:rsidRPr="00000000">
        <w:rPr>
          <w:rFonts w:ascii="Arial" w:cs="Arial" w:eastAsia="Arial" w:hAnsi="Arial"/>
          <w:color w:val="444746"/>
          <w:sz w:val="16"/>
          <w:szCs w:val="16"/>
          <w:vertAlign w:val="superscript"/>
          <w:rtl w:val="0"/>
        </w:rPr>
        <w:t xml:space="preserve">7</w:t>
      </w:r>
      <w:r w:rsidDel="00000000" w:rsidR="00000000" w:rsidRPr="00000000">
        <w:rPr>
          <w:rFonts w:ascii="Arial" w:cs="Arial" w:eastAsia="Arial" w:hAnsi="Arial"/>
          <w:color w:val="1f1f1f"/>
          <w:sz w:val="16"/>
          <w:szCs w:val="16"/>
          <w:rtl w:val="0"/>
        </w:rPr>
        <w:t xml:space="preserve"> Historically, Tim Hicks has been noted for selling shares in high-price windows, such as his July 2025 sale of 10,000 shares at $53.13.</w:t>
      </w:r>
      <w:r w:rsidDel="00000000" w:rsidR="00000000" w:rsidRPr="00000000">
        <w:rPr>
          <w:rFonts w:ascii="Arial" w:cs="Arial" w:eastAsia="Arial" w:hAnsi="Arial"/>
          <w:color w:val="444746"/>
          <w:sz w:val="16"/>
          <w:szCs w:val="16"/>
          <w:vertAlign w:val="superscript"/>
          <w:rtl w:val="0"/>
        </w:rPr>
        <w:t xml:space="preserve">12</w:t>
      </w:r>
      <w:r w:rsidDel="00000000" w:rsidR="00000000" w:rsidRPr="00000000">
        <w:rPr>
          <w:rFonts w:ascii="Arial" w:cs="Arial" w:eastAsia="Arial" w:hAnsi="Arial"/>
          <w:color w:val="1f1f1f"/>
          <w:sz w:val="16"/>
          <w:szCs w:val="16"/>
          <w:rtl w:val="0"/>
        </w:rPr>
        <w:t xml:space="preserve"> The absence of similar sales in the March 2026 filings, despite the stock trading at lower valuations, suggests a lack of aggressive liquidations during the current period of market weakness.</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Table 2: Chronological Audit of Q1 2026 Form 4 Filings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Filing Date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Insider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Title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Primary Nature of Transaction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01/27/2026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George Gleason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Chairman &amp; CEO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Beneficial Ownership Update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02/02/2026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Peter Kenny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Independent Director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Director Compensation / Grant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02/19/2026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Jacob Munn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President, C&amp;I Banking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Equity Compensation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02/19/2026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Ottie Kerley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Chief Banking Officer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Equity Compensation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02/24/2026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Arindam Majumdar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Chief Risk Officer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Equity Compensation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02/24/2026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Ottie Kerley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Chief Banking Officer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Follow-on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02/24/2026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Jason Cathey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Chief Information Officer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Equity Compensation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02/24/2026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Tamara Gotham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Chief Administrative Officer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Equity Compensation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03/11/2026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George Gleason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Chairman &amp; CEO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Annual Equity Vesting /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03/11/2026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Tim Hicks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Chief Financial Officer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Annual Equity Vesting /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03/11/2026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Brannon Hamblen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President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Annual Equity Vesting /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03/11/2026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Cynthia Wolfe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Chief Operating Officer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Annual Equity Vesting /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03/11/2026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John Carter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Chief Credit Officer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Annual Equity Vesting /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03/11/2026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Helen Brown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General Counsel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Annual Equity Vesting /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03/11/2026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Tamara Gotham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Chief Administrative Officer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Annual Equity Vesting /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03/11/2026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Jason Cathey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Chief Information Officer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Annual Equity Vesting /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03/11/2026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Stan Thomas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Chief Accounting Officer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Annual Equity Vesting /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03/11/2026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Christopher Orndorff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Independent Director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Director Equity Grant</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color w:val="444746"/>
          <w:sz w:val="16"/>
          <w:szCs w:val="16"/>
          <w:vertAlign w:val="superscript"/>
        </w:rPr>
      </w:pPr>
      <w:r w:rsidDel="00000000" w:rsidR="00000000" w:rsidRPr="00000000">
        <w:rPr>
          <w:rFonts w:ascii="Arial" w:cs="Arial" w:eastAsia="Arial" w:hAnsi="Arial"/>
          <w:color w:val="444746"/>
          <w:sz w:val="16"/>
          <w:szCs w:val="16"/>
          <w:vertAlign w:val="superscript"/>
          <w:rtl w:val="0"/>
        </w:rPr>
        <w:t xml:space="preserve">7</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Insider Sentiment and the Price-Action Correlation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To determine if insiders are "selling into strength" or "buying weakness," a comparison between the filing dates and the stock's price trajectory is required. The Q1 2026 period saw a distinct "mountain-top" pattern in the stock price.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16"/>
          <w:szCs w:val="16"/>
          <w:vertAlign w:val="superscript"/>
        </w:rPr>
      </w:pPr>
      <w:r w:rsidDel="00000000" w:rsidR="00000000" w:rsidRPr="00000000">
        <w:rPr>
          <w:rFonts w:ascii="Arial" w:cs="Arial" w:eastAsia="Arial" w:hAnsi="Arial"/>
          <w:color w:val="1f1f1f"/>
          <w:sz w:val="16"/>
          <w:szCs w:val="16"/>
          <w:rtl w:val="0"/>
        </w:rPr>
        <w:t xml:space="preserve">In early February, the stock rallied, reaching a high of $51.64 on February 9, 2026.</w:t>
      </w:r>
      <w:r w:rsidDel="00000000" w:rsidR="00000000" w:rsidRPr="00000000">
        <w:rPr>
          <w:rFonts w:ascii="Arial" w:cs="Arial" w:eastAsia="Arial" w:hAnsi="Arial"/>
          <w:color w:val="444746"/>
          <w:sz w:val="16"/>
          <w:szCs w:val="16"/>
          <w:vertAlign w:val="superscript"/>
          <w:rtl w:val="0"/>
        </w:rPr>
        <w:t xml:space="preserve">13</w:t>
      </w:r>
      <w:r w:rsidDel="00000000" w:rsidR="00000000" w:rsidRPr="00000000">
        <w:rPr>
          <w:rFonts w:ascii="Arial" w:cs="Arial" w:eastAsia="Arial" w:hAnsi="Arial"/>
          <w:color w:val="1f1f1f"/>
          <w:sz w:val="16"/>
          <w:szCs w:val="16"/>
          <w:rtl w:val="0"/>
        </w:rPr>
        <w:t xml:space="preserve"> This rally followed the positive earnings report for FY2025 and the announcement of an increased dividend.</w:t>
      </w:r>
      <w:r w:rsidDel="00000000" w:rsidR="00000000" w:rsidRPr="00000000">
        <w:rPr>
          <w:rFonts w:ascii="Arial" w:cs="Arial" w:eastAsia="Arial" w:hAnsi="Arial"/>
          <w:color w:val="444746"/>
          <w:sz w:val="16"/>
          <w:szCs w:val="16"/>
          <w:vertAlign w:val="superscript"/>
          <w:rtl w:val="0"/>
        </w:rPr>
        <w:t xml:space="preserve">3</w:t>
      </w:r>
      <w:r w:rsidDel="00000000" w:rsidR="00000000" w:rsidRPr="00000000">
        <w:rPr>
          <w:rFonts w:ascii="Arial" w:cs="Arial" w:eastAsia="Arial" w:hAnsi="Arial"/>
          <w:color w:val="1f1f1f"/>
          <w:sz w:val="16"/>
          <w:szCs w:val="16"/>
          <w:rtl w:val="0"/>
        </w:rPr>
        <w:t xml:space="preserve"> During this peak window, there were no major sales filed by the CEO or CFO. The first director-level filing of the month occurred on February 2, by Peter Kenny, during the early stages of the ascent.</w:t>
      </w:r>
      <w:r w:rsidDel="00000000" w:rsidR="00000000" w:rsidRPr="00000000">
        <w:rPr>
          <w:rFonts w:ascii="Arial" w:cs="Arial" w:eastAsia="Arial" w:hAnsi="Arial"/>
          <w:color w:val="444746"/>
          <w:sz w:val="16"/>
          <w:szCs w:val="16"/>
          <w:vertAlign w:val="superscript"/>
          <w:rtl w:val="0"/>
        </w:rPr>
        <w:t xml:space="preserve">7</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By early March, the stock had retreated significantly. On March 13, 2026, the price closed at $43.40, a decline of over 15% from the February high.</w:t>
      </w:r>
      <w:r w:rsidDel="00000000" w:rsidR="00000000" w:rsidRPr="00000000">
        <w:rPr>
          <w:rFonts w:ascii="Arial" w:cs="Arial" w:eastAsia="Arial" w:hAnsi="Arial"/>
          <w:color w:val="444746"/>
          <w:sz w:val="16"/>
          <w:szCs w:val="16"/>
          <w:vertAlign w:val="superscript"/>
          <w:rtl w:val="0"/>
        </w:rPr>
        <w:t xml:space="preserve">15</w:t>
      </w:r>
      <w:r w:rsidDel="00000000" w:rsidR="00000000" w:rsidRPr="00000000">
        <w:rPr>
          <w:rFonts w:ascii="Arial" w:cs="Arial" w:eastAsia="Arial" w:hAnsi="Arial"/>
          <w:color w:val="1f1f1f"/>
          <w:sz w:val="16"/>
          <w:szCs w:val="16"/>
          <w:rtl w:val="0"/>
        </w:rPr>
        <w:t xml:space="preserve"> The mass filings on March 11 occurred when the stock was trading between $43.81 and $44.38.</w:t>
      </w:r>
      <w:r w:rsidDel="00000000" w:rsidR="00000000" w:rsidRPr="00000000">
        <w:rPr>
          <w:rFonts w:ascii="Arial" w:cs="Arial" w:eastAsia="Arial" w:hAnsi="Arial"/>
          <w:color w:val="444746"/>
          <w:sz w:val="16"/>
          <w:szCs w:val="16"/>
          <w:vertAlign w:val="superscript"/>
          <w:rtl w:val="0"/>
        </w:rPr>
        <w:t xml:space="preserve">7</w:t>
      </w:r>
      <w:r w:rsidDel="00000000" w:rsidR="00000000" w:rsidRPr="00000000">
        <w:rPr>
          <w:rFonts w:ascii="Arial" w:cs="Arial" w:eastAsia="Arial" w:hAnsi="Arial"/>
          <w:color w:val="1f1f1f"/>
          <w:sz w:val="16"/>
          <w:szCs w:val="16"/>
          <w:rtl w:val="0"/>
        </w:rPr>
        <w:t xml:space="preserve"> The fact that the entire C-suite processed equity filings during this period of weakness, rather than exiting positions during the $51 peak, suggests a commitment to the board-approved compensation schedule rather than a tactical attempt to time market liquidity. However, the notable absence of open-market </w:t>
      </w:r>
      <w:r w:rsidDel="00000000" w:rsidR="00000000" w:rsidRPr="00000000">
        <w:rPr>
          <w:rFonts w:ascii="Arial" w:cs="Arial" w:eastAsia="Arial" w:hAnsi="Arial"/>
          <w:i w:val="1"/>
          <w:iCs w:val="1"/>
          <w:color w:val="1f1f1f"/>
          <w:sz w:val="16"/>
          <w:szCs w:val="16"/>
          <w:rtl w:val="0"/>
        </w:rPr>
        <w:t xml:space="preserve">purchases</w:t>
      </w:r>
      <w:r w:rsidDel="00000000" w:rsidR="00000000" w:rsidRPr="00000000">
        <w:rPr>
          <w:rFonts w:ascii="Arial" w:cs="Arial" w:eastAsia="Arial" w:hAnsi="Arial"/>
          <w:color w:val="1f1f1f"/>
          <w:sz w:val="16"/>
          <w:szCs w:val="16"/>
          <w:rtl w:val="0"/>
        </w:rPr>
        <w:t xml:space="preserve"> by the CEO or CFO at these 52-week lows continues to be a point of analyst scrutiny, as it suggests a cautious stance rather than a high-conviction "bottom-fishing" strategy.</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Table 3: Stock Price Volatility and Filing Correlation (Q1 2026)</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Close Price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Filing Activity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Market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01/20/2026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$47.80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8-K Earnings Release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Q4/FY25 Results Reported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01/27/2026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$46.47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Gleason Form 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Post-earnings technical filing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02/09/2026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$51.30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No Filings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Quarterly Price Peak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02/24/2026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$48.63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Majumdar, Cathey, Gotham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Mid-correction filings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02/27/2026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$46.56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No Filings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5.5% single-day drop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03/11/2026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$43.94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Mass Executive Filings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Stock near 52-week lows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03/16/2026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$43.91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No Filings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Stabilization at $43-$44 range</w:t>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color w:val="444746"/>
          <w:sz w:val="16"/>
          <w:szCs w:val="16"/>
          <w:vertAlign w:val="superscript"/>
        </w:rPr>
      </w:pPr>
      <w:r w:rsidDel="00000000" w:rsidR="00000000" w:rsidRPr="00000000">
        <w:rPr>
          <w:rFonts w:ascii="Arial" w:cs="Arial" w:eastAsia="Arial" w:hAnsi="Arial"/>
          <w:color w:val="444746"/>
          <w:sz w:val="16"/>
          <w:szCs w:val="16"/>
          <w:vertAlign w:val="superscript"/>
          <w:rtl w:val="0"/>
        </w:rPr>
        <w:t xml:space="preserve">7</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Institutional Ownership and Capital Structure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16"/>
          <w:szCs w:val="16"/>
          <w:vertAlign w:val="superscript"/>
        </w:rPr>
      </w:pPr>
      <w:r w:rsidDel="00000000" w:rsidR="00000000" w:rsidRPr="00000000">
        <w:rPr>
          <w:rFonts w:ascii="Arial" w:cs="Arial" w:eastAsia="Arial" w:hAnsi="Arial"/>
          <w:color w:val="1f1f1f"/>
          <w:sz w:val="16"/>
          <w:szCs w:val="16"/>
          <w:rtl w:val="0"/>
        </w:rPr>
        <w:t xml:space="preserve">As of March 2026, Bank OZK’s institutional ownership remains remarkably high, with institutions holding approximately 99% of the long shares.</w:t>
      </w:r>
      <w:r w:rsidDel="00000000" w:rsidR="00000000" w:rsidRPr="00000000">
        <w:rPr>
          <w:rFonts w:ascii="Arial" w:cs="Arial" w:eastAsia="Arial" w:hAnsi="Arial"/>
          <w:color w:val="444746"/>
          <w:sz w:val="16"/>
          <w:szCs w:val="16"/>
          <w:vertAlign w:val="superscript"/>
          <w:rtl w:val="0"/>
        </w:rPr>
        <w:t xml:space="preserve">17</w:t>
      </w:r>
      <w:r w:rsidDel="00000000" w:rsidR="00000000" w:rsidRPr="00000000">
        <w:rPr>
          <w:rFonts w:ascii="Arial" w:cs="Arial" w:eastAsia="Arial" w:hAnsi="Arial"/>
          <w:color w:val="1f1f1f"/>
          <w:sz w:val="16"/>
          <w:szCs w:val="16"/>
          <w:rtl w:val="0"/>
        </w:rPr>
        <w:t xml:space="preserve"> The largest shareholders include Vanguard Group, BlackRock, and Wasatch Advisors.</w:t>
      </w:r>
      <w:r w:rsidDel="00000000" w:rsidR="00000000" w:rsidRPr="00000000">
        <w:rPr>
          <w:rFonts w:ascii="Arial" w:cs="Arial" w:eastAsia="Arial" w:hAnsi="Arial"/>
          <w:color w:val="444746"/>
          <w:sz w:val="16"/>
          <w:szCs w:val="16"/>
          <w:vertAlign w:val="superscript"/>
          <w:rtl w:val="0"/>
        </w:rPr>
        <w:t xml:space="preserve">17</w:t>
      </w:r>
      <w:r w:rsidDel="00000000" w:rsidR="00000000" w:rsidRPr="00000000">
        <w:rPr>
          <w:rFonts w:ascii="Arial" w:cs="Arial" w:eastAsia="Arial" w:hAnsi="Arial"/>
          <w:color w:val="1f1f1f"/>
          <w:sz w:val="16"/>
          <w:szCs w:val="16"/>
          <w:rtl w:val="0"/>
        </w:rPr>
        <w:t xml:space="preserve"> While some institutions, such as Schonfeld Strategic Advisors and Alliancebernstein, reduced their positions in early 2026, others like Palogic Value Management and Freestone Grove Partners saw significant increases in their holdings.</w:t>
      </w:r>
      <w:r w:rsidDel="00000000" w:rsidR="00000000" w:rsidRPr="00000000">
        <w:rPr>
          <w:rFonts w:ascii="Arial" w:cs="Arial" w:eastAsia="Arial" w:hAnsi="Arial"/>
          <w:color w:val="444746"/>
          <w:sz w:val="16"/>
          <w:szCs w:val="16"/>
          <w:vertAlign w:val="superscript"/>
          <w:rtl w:val="0"/>
        </w:rPr>
        <w:t xml:space="preserve">17</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This institutional support is underpinned by the bank's capital return policy. On January 2, 2026, the bank announced its sixty-second consecutive quarterly increase in its common stock dividend, raising it to $0.46 per share.</w:t>
      </w:r>
      <w:r w:rsidDel="00000000" w:rsidR="00000000" w:rsidRPr="00000000">
        <w:rPr>
          <w:rFonts w:ascii="Arial" w:cs="Arial" w:eastAsia="Arial" w:hAnsi="Arial"/>
          <w:color w:val="444746"/>
          <w:sz w:val="16"/>
          <w:szCs w:val="16"/>
          <w:vertAlign w:val="superscript"/>
          <w:rtl w:val="0"/>
        </w:rPr>
        <w:t xml:space="preserve">3</w:t>
      </w:r>
      <w:r w:rsidDel="00000000" w:rsidR="00000000" w:rsidRPr="00000000">
        <w:rPr>
          <w:rFonts w:ascii="Arial" w:cs="Arial" w:eastAsia="Arial" w:hAnsi="Arial"/>
          <w:color w:val="1f1f1f"/>
          <w:sz w:val="16"/>
          <w:szCs w:val="16"/>
          <w:rtl w:val="0"/>
        </w:rPr>
        <w:t xml:space="preserve"> This represents an annual dividend of $1.84, or a yield of approximately 4.18% based on the March lows.</w:t>
      </w:r>
      <w:r w:rsidDel="00000000" w:rsidR="00000000" w:rsidRPr="00000000">
        <w:rPr>
          <w:rFonts w:ascii="Arial" w:cs="Arial" w:eastAsia="Arial" w:hAnsi="Arial"/>
          <w:color w:val="444746"/>
          <w:sz w:val="16"/>
          <w:szCs w:val="16"/>
          <w:vertAlign w:val="superscript"/>
          <w:rtl w:val="0"/>
        </w:rPr>
        <w:t xml:space="preserve">14</w:t>
      </w:r>
      <w:r w:rsidDel="00000000" w:rsidR="00000000" w:rsidRPr="00000000">
        <w:rPr>
          <w:rFonts w:ascii="Arial" w:cs="Arial" w:eastAsia="Arial" w:hAnsi="Arial"/>
          <w:color w:val="1f1f1f"/>
          <w:sz w:val="16"/>
          <w:szCs w:val="16"/>
          <w:rtl w:val="0"/>
        </w:rPr>
        <w:t xml:space="preserve"> This yield is a primary mechanism for attracting "yield-seeking" institutional investors during periods when the capital appreciation of the stock is hampered by CRE macro concerns.</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Table 4: Key Financial Metrics and Performance (FY 2025)</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sz w:val="16"/>
                <w:szCs w:val="16"/>
              </w:rPr>
            </w:pPr>
            <w:r w:rsidDel="00000000" w:rsidR="00000000" w:rsidRPr="00000000">
              <w:rPr>
                <w:rFonts w:ascii="Arial" w:cs="Arial" w:eastAsia="Arial" w:hAnsi="Arial"/>
                <w:b w:val="1"/>
                <w:bCs w:val="1"/>
                <w:color w:val="1f1f1f"/>
                <w:sz w:val="16"/>
                <w:szCs w:val="16"/>
                <w:rtl w:val="0"/>
              </w:rPr>
              <w:t xml:space="preserve">Comparison to 2024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Total Assets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$40.79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Increase from $36.8B in mid-2024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Total Loans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$32.32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7.8% Annual Growth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Total Deposits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$33.38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7.5% Annual Growth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Net Income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$699.3 Million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Nearly equaled record 2024 results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Diluted EPS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$6.18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New Annual Record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Net Interest Income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$1.59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New Annual Record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Net Charge-off Ratio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0.14% (mid-2024)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Among industry's lowest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Efficiency Ratio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32.7%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Top-tier performance</w:t>
            </w:r>
          </w:p>
        </w:tc>
      </w:tr>
    </w:tbl>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color w:val="444746"/>
          <w:sz w:val="16"/>
          <w:szCs w:val="16"/>
          <w:vertAlign w:val="superscript"/>
        </w:rPr>
      </w:pPr>
      <w:r w:rsidDel="00000000" w:rsidR="00000000" w:rsidRPr="00000000">
        <w:rPr>
          <w:rFonts w:ascii="Arial" w:cs="Arial" w:eastAsia="Arial" w:hAnsi="Arial"/>
          <w:color w:val="444746"/>
          <w:sz w:val="16"/>
          <w:szCs w:val="16"/>
          <w:vertAlign w:val="superscript"/>
          <w:rtl w:val="0"/>
        </w:rPr>
        <w:t xml:space="preserve">3</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The Real Estate Specialties Group (RESG) and CRE Stress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16"/>
          <w:szCs w:val="16"/>
          <w:vertAlign w:val="superscript"/>
        </w:rPr>
      </w:pPr>
      <w:r w:rsidDel="00000000" w:rsidR="00000000" w:rsidRPr="00000000">
        <w:rPr>
          <w:rFonts w:ascii="Arial" w:cs="Arial" w:eastAsia="Arial" w:hAnsi="Arial"/>
          <w:color w:val="1f1f1f"/>
          <w:sz w:val="16"/>
          <w:szCs w:val="16"/>
          <w:rtl w:val="0"/>
        </w:rPr>
        <w:t xml:space="preserve">The core of the bank’s risk profile remains its exposure to high-quality construction and development lending through its Real Estate Specialties Group (RESG). Under the leadership of Brannon Hamblen, the RESG has cultivated a portfolio that focuses on high-barrier-to-entry projects with significant sponsor equity.</w:t>
      </w:r>
      <w:r w:rsidDel="00000000" w:rsidR="00000000" w:rsidRPr="00000000">
        <w:rPr>
          <w:rFonts w:ascii="Arial" w:cs="Arial" w:eastAsia="Arial" w:hAnsi="Arial"/>
          <w:color w:val="444746"/>
          <w:sz w:val="16"/>
          <w:szCs w:val="16"/>
          <w:vertAlign w:val="superscript"/>
          <w:rtl w:val="0"/>
        </w:rPr>
        <w:t xml:space="preserve">1</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16"/>
          <w:szCs w:val="16"/>
          <w:vertAlign w:val="superscript"/>
        </w:rPr>
      </w:pPr>
      <w:r w:rsidDel="00000000" w:rsidR="00000000" w:rsidRPr="00000000">
        <w:rPr>
          <w:rFonts w:ascii="Arial" w:cs="Arial" w:eastAsia="Arial" w:hAnsi="Arial"/>
          <w:color w:val="1f1f1f"/>
          <w:sz w:val="16"/>
          <w:szCs w:val="16"/>
          <w:rtl w:val="0"/>
        </w:rPr>
        <w:t xml:space="preserve">In the current environment of "peak CRE stress," the bank’s risk mitigation strategy involves maintaining a highly conservative efficiency ratio (32.7%) and building the Allowance for Credit Losses (ACL) proactively.</w:t>
      </w:r>
      <w:r w:rsidDel="00000000" w:rsidR="00000000" w:rsidRPr="00000000">
        <w:rPr>
          <w:rFonts w:ascii="Arial" w:cs="Arial" w:eastAsia="Arial" w:hAnsi="Arial"/>
          <w:color w:val="444746"/>
          <w:sz w:val="16"/>
          <w:szCs w:val="16"/>
          <w:vertAlign w:val="superscript"/>
          <w:rtl w:val="0"/>
        </w:rPr>
        <w:t xml:space="preserve">19</w:t>
      </w:r>
      <w:r w:rsidDel="00000000" w:rsidR="00000000" w:rsidRPr="00000000">
        <w:rPr>
          <w:rFonts w:ascii="Arial" w:cs="Arial" w:eastAsia="Arial" w:hAnsi="Arial"/>
          <w:color w:val="1f1f1f"/>
          <w:sz w:val="16"/>
          <w:szCs w:val="16"/>
          <w:rtl w:val="0"/>
        </w:rPr>
        <w:t xml:space="preserve"> The bank achieved an annualized Return on Average Assets (ROAA) of 1.96% in early 2024, a metric that has remained resilient through the end of 2025.</w:t>
      </w:r>
      <w:r w:rsidDel="00000000" w:rsidR="00000000" w:rsidRPr="00000000">
        <w:rPr>
          <w:rFonts w:ascii="Arial" w:cs="Arial" w:eastAsia="Arial" w:hAnsi="Arial"/>
          <w:color w:val="444746"/>
          <w:sz w:val="16"/>
          <w:szCs w:val="16"/>
          <w:vertAlign w:val="superscript"/>
          <w:rtl w:val="0"/>
        </w:rPr>
        <w:t xml:space="preserve">18</w:t>
      </w:r>
      <w:r w:rsidDel="00000000" w:rsidR="00000000" w:rsidRPr="00000000">
        <w:rPr>
          <w:rFonts w:ascii="Arial" w:cs="Arial" w:eastAsia="Arial" w:hAnsi="Arial"/>
          <w:color w:val="1f1f1f"/>
          <w:sz w:val="16"/>
          <w:szCs w:val="16"/>
          <w:rtl w:val="0"/>
        </w:rPr>
        <w:t xml:space="preserve"> The leadership's comments in January 2026 highlighted that the bank’s record earnings were driven by robust loan and deposit growth, which have outpaced the costs associated with the rising interest rate environment.</w:t>
      </w:r>
      <w:r w:rsidDel="00000000" w:rsidR="00000000" w:rsidRPr="00000000">
        <w:rPr>
          <w:rFonts w:ascii="Arial" w:cs="Arial" w:eastAsia="Arial" w:hAnsi="Arial"/>
          <w:color w:val="444746"/>
          <w:sz w:val="16"/>
          <w:szCs w:val="16"/>
          <w:vertAlign w:val="superscript"/>
          <w:rtl w:val="0"/>
        </w:rPr>
        <w:t xml:space="preserve">18</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Board Governance and Oversight Policies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16"/>
          <w:szCs w:val="16"/>
          <w:vertAlign w:val="superscript"/>
        </w:rPr>
      </w:pPr>
      <w:r w:rsidDel="00000000" w:rsidR="00000000" w:rsidRPr="00000000">
        <w:rPr>
          <w:rFonts w:ascii="Arial" w:cs="Arial" w:eastAsia="Arial" w:hAnsi="Arial"/>
          <w:color w:val="1f1f1f"/>
          <w:sz w:val="16"/>
          <w:szCs w:val="16"/>
          <w:rtl w:val="0"/>
        </w:rPr>
        <w:t xml:space="preserve">The Bank OZK board is designed to provide professional oversight across several specialized risk categories. The Audit and Risk Committee is a central component of this governance structure. Its members are tasked with the annual review of the Risk Appetite Statement, which serves as the "constitution" for the bank's lending and investment decisions.</w:t>
      </w:r>
      <w:r w:rsidDel="00000000" w:rsidR="00000000" w:rsidRPr="00000000">
        <w:rPr>
          <w:rFonts w:ascii="Arial" w:cs="Arial" w:eastAsia="Arial" w:hAnsi="Arial"/>
          <w:color w:val="444746"/>
          <w:sz w:val="16"/>
          <w:szCs w:val="16"/>
          <w:vertAlign w:val="superscript"/>
          <w:rtl w:val="0"/>
        </w:rPr>
        <w:t xml:space="preserve">10</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16"/>
          <w:szCs w:val="16"/>
          <w:vertAlign w:val="superscript"/>
        </w:rPr>
      </w:pPr>
      <w:r w:rsidDel="00000000" w:rsidR="00000000" w:rsidRPr="00000000">
        <w:rPr>
          <w:rFonts w:ascii="Arial" w:cs="Arial" w:eastAsia="Arial" w:hAnsi="Arial"/>
          <w:color w:val="1f1f1f"/>
          <w:sz w:val="16"/>
          <w:szCs w:val="16"/>
          <w:rtl w:val="0"/>
        </w:rPr>
        <w:t xml:space="preserve">Specific board members bring significant global risk experience. Kathleen Franklin, who joined the board in early 2024, previously led global ethics and compliance for Sony Group Corporation.</w:t>
      </w:r>
      <w:r w:rsidDel="00000000" w:rsidR="00000000" w:rsidRPr="00000000">
        <w:rPr>
          <w:rFonts w:ascii="Arial" w:cs="Arial" w:eastAsia="Arial" w:hAnsi="Arial"/>
          <w:color w:val="444746"/>
          <w:sz w:val="16"/>
          <w:szCs w:val="16"/>
          <w:vertAlign w:val="superscript"/>
          <w:rtl w:val="0"/>
        </w:rPr>
        <w:t xml:space="preserve">1</w:t>
      </w:r>
      <w:r w:rsidDel="00000000" w:rsidR="00000000" w:rsidRPr="00000000">
        <w:rPr>
          <w:rFonts w:ascii="Arial" w:cs="Arial" w:eastAsia="Arial" w:hAnsi="Arial"/>
          <w:color w:val="1f1f1f"/>
          <w:sz w:val="16"/>
          <w:szCs w:val="16"/>
          <w:rtl w:val="0"/>
        </w:rPr>
        <w:t xml:space="preserve"> William Koefoed, another independent director, served as the CFO for OneStream and provides a technology-centric view of financial oversight.</w:t>
      </w:r>
      <w:r w:rsidDel="00000000" w:rsidR="00000000" w:rsidRPr="00000000">
        <w:rPr>
          <w:rFonts w:ascii="Arial" w:cs="Arial" w:eastAsia="Arial" w:hAnsi="Arial"/>
          <w:color w:val="444746"/>
          <w:sz w:val="16"/>
          <w:szCs w:val="16"/>
          <w:vertAlign w:val="superscript"/>
          <w:rtl w:val="0"/>
        </w:rPr>
        <w:t xml:space="preserve">1</w:t>
      </w:r>
      <w:r w:rsidDel="00000000" w:rsidR="00000000" w:rsidRPr="00000000">
        <w:rPr>
          <w:rFonts w:ascii="Arial" w:cs="Arial" w:eastAsia="Arial" w:hAnsi="Arial"/>
          <w:color w:val="1f1f1f"/>
          <w:sz w:val="16"/>
          <w:szCs w:val="16"/>
          <w:rtl w:val="0"/>
        </w:rPr>
        <w:t xml:space="preserve"> The board's "Anti-Hedging Policy," adopted as part of its corporate governance guidelines, expressly prohibits any director or officer from engaging in transactions—such as equity swaps or collars—that would mitigate the risk of owning the bank's common stock.</w:t>
      </w:r>
      <w:r w:rsidDel="00000000" w:rsidR="00000000" w:rsidRPr="00000000">
        <w:rPr>
          <w:rFonts w:ascii="Arial" w:cs="Arial" w:eastAsia="Arial" w:hAnsi="Arial"/>
          <w:color w:val="444746"/>
          <w:sz w:val="16"/>
          <w:szCs w:val="16"/>
          <w:vertAlign w:val="superscript"/>
          <w:rtl w:val="0"/>
        </w:rPr>
        <w:t xml:space="preserve">10</w:t>
      </w:r>
      <w:r w:rsidDel="00000000" w:rsidR="00000000" w:rsidRPr="00000000">
        <w:rPr>
          <w:rFonts w:ascii="Arial" w:cs="Arial" w:eastAsia="Arial" w:hAnsi="Arial"/>
          <w:color w:val="1f1f1f"/>
          <w:sz w:val="16"/>
          <w:szCs w:val="16"/>
          <w:rtl w:val="0"/>
        </w:rPr>
        <w:t xml:space="preserve"> This policy is critical for ensuring that the $4.67B in shares held by George Gleason remains fully exposed to the same market forces as minority shareholders.</w:t>
      </w:r>
      <w:r w:rsidDel="00000000" w:rsidR="00000000" w:rsidRPr="00000000">
        <w:rPr>
          <w:rFonts w:ascii="Arial" w:cs="Arial" w:eastAsia="Arial" w:hAnsi="Arial"/>
          <w:color w:val="444746"/>
          <w:sz w:val="16"/>
          <w:szCs w:val="16"/>
          <w:vertAlign w:val="superscript"/>
          <w:rtl w:val="0"/>
        </w:rPr>
        <w:t xml:space="preserve">6</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Future Outlook: Navigating the 2026 Credit Cycle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As the bank moves through the second quarter of 2026, the focus for investors will shift from administrative filings to the actual performance of the CRE loan book. The resolution of the CRO vacancy with Arindam Majumdar addresses one of the most significant governance concerns, but the ultimate test will be the bank's ability to maintain its low charge-off ratios if property valuations continue to decline.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The bank’s ability to grow assets by 47% over the last three years while consistently producing record EPS indicates a high-functioning operational model.</w:t>
      </w:r>
      <w:r w:rsidDel="00000000" w:rsidR="00000000" w:rsidRPr="00000000">
        <w:rPr>
          <w:rFonts w:ascii="Arial" w:cs="Arial" w:eastAsia="Arial" w:hAnsi="Arial"/>
          <w:color w:val="444746"/>
          <w:sz w:val="16"/>
          <w:szCs w:val="16"/>
          <w:vertAlign w:val="superscript"/>
          <w:rtl w:val="0"/>
        </w:rPr>
        <w:t xml:space="preserve">18</w:t>
      </w:r>
      <w:r w:rsidDel="00000000" w:rsidR="00000000" w:rsidRPr="00000000">
        <w:rPr>
          <w:rFonts w:ascii="Arial" w:cs="Arial" w:eastAsia="Arial" w:hAnsi="Arial"/>
          <w:color w:val="1f1f1f"/>
          <w:sz w:val="16"/>
          <w:szCs w:val="16"/>
          <w:rtl w:val="0"/>
        </w:rPr>
        <w:t xml:space="preserve"> However, the institutional "gap" between the stock's 52-week highs and its current valuation suggests that the market is pricing in a higher probability of credit loss than the bank’s historical data currently supports. The lack of insider sales during the March dip is a positive sign of internal stability, yet the market will likely require evidence of sustained asset quality before a significant re-rating of the stock occurs.</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Conclusion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The audit of Bank OZK’s filings and leadership movements in early 2026 depicts a transition from a period of perceived risk management gaps to one of reinforced institutional structure. The appointment of a dedicated, technically proficient Chief Risk Officer effectively closes the oversight vacancy that had concerned analysts during the peak of CRE interest rate volatility.</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While the stock price has experienced significant pressure, dropping toward the $43 range in March, insider behavior remains characterized by programmatic consistency rather than opportunistic exits. The mass filings in March, while lacking the aggressive "insider buying" signaling that many value investors seek, confirm that the executive core—led by George Gleason and Tim Hicks—remains fully committed to the bank’s equity-based compensation framework and its long-term strategic goals. For institutional observers, the bank’s best-in-class efficiency and record-setting earnings provide a necessary buffer against the macro headwinds facing the commercial real estate sector. The institutional narrative for 2026 is thus defined by a "steady hand" approach to governance, backed by a fortified risk management apparatus and a high-yielding dividend policy that continues to provide the floor for the bank’s market valuation.</w:t>
      </w:r>
    </w:p>
    <w:p w:rsidR="00000000" w:rsidDel="00000000" w:rsidP="00000000" w:rsidRDefault="00000000" w:rsidRPr="00000000" w14:paraId="000000E1">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Works cited</w:t>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Arial" w:cs="Arial" w:eastAsia="Arial" w:hAnsi="Arial"/>
          <w:sz w:val="16"/>
          <w:szCs w:val="16"/>
          <w:rtl w:val="0"/>
        </w:rPr>
        <w:t xml:space="preserve">Officers &amp; Directors - Investor Relations | Bank OZK, accessed March 24, 2026, </w:t>
      </w:r>
      <w:hyperlink r:id="rId6">
        <w:r w:rsidDel="00000000" w:rsidR="00000000" w:rsidRPr="00000000">
          <w:rPr>
            <w:rFonts w:ascii="Arial" w:cs="Arial" w:eastAsia="Arial" w:hAnsi="Arial"/>
            <w:color w:val="0000ee"/>
            <w:sz w:val="16"/>
            <w:szCs w:val="16"/>
            <w:u w:val="single"/>
            <w:rtl w:val="0"/>
          </w:rPr>
          <w:t xml:space="preserve">https://ir.ozk.com/corporate/officers-directors/</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Arial" w:cs="Arial" w:eastAsia="Arial" w:hAnsi="Arial"/>
          <w:sz w:val="16"/>
          <w:szCs w:val="16"/>
          <w:rtl w:val="0"/>
        </w:rPr>
        <w:t xml:space="preserve">George Gleason | Management - Investor Relations | Bank OZK, accessed March 24, 2026, </w:t>
      </w:r>
      <w:hyperlink r:id="rId7">
        <w:r w:rsidDel="00000000" w:rsidR="00000000" w:rsidRPr="00000000">
          <w:rPr>
            <w:rFonts w:ascii="Arial" w:cs="Arial" w:eastAsia="Arial" w:hAnsi="Arial"/>
            <w:color w:val="0000ee"/>
            <w:sz w:val="16"/>
            <w:szCs w:val="16"/>
            <w:u w:val="single"/>
            <w:rtl w:val="0"/>
          </w:rPr>
          <w:t xml:space="preserve">https://ir.ozk.com/management/george-gleason/</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Arial" w:cs="Arial" w:eastAsia="Arial" w:hAnsi="Arial"/>
          <w:sz w:val="16"/>
          <w:szCs w:val="16"/>
          <w:rtl w:val="0"/>
        </w:rPr>
        <w:t xml:space="preserve">Investor Relations | Bank OZK, accessed March 24, 2026, </w:t>
      </w:r>
      <w:hyperlink r:id="rId8">
        <w:r w:rsidDel="00000000" w:rsidR="00000000" w:rsidRPr="00000000">
          <w:rPr>
            <w:rFonts w:ascii="Arial" w:cs="Arial" w:eastAsia="Arial" w:hAnsi="Arial"/>
            <w:color w:val="0000ee"/>
            <w:sz w:val="16"/>
            <w:szCs w:val="16"/>
            <w:u w:val="single"/>
            <w:rtl w:val="0"/>
          </w:rPr>
          <w:t xml:space="preserve">https://ir.ozk.com/</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Arial" w:cs="Arial" w:eastAsia="Arial" w:hAnsi="Arial"/>
          <w:sz w:val="16"/>
          <w:szCs w:val="16"/>
          <w:rtl w:val="0"/>
        </w:rPr>
        <w:t xml:space="preserve">Tim Hicks | Management - Investor Relations | Bank OZK, accessed March 24, 2026, </w:t>
      </w:r>
      <w:hyperlink r:id="rId9">
        <w:r w:rsidDel="00000000" w:rsidR="00000000" w:rsidRPr="00000000">
          <w:rPr>
            <w:rFonts w:ascii="Arial" w:cs="Arial" w:eastAsia="Arial" w:hAnsi="Arial"/>
            <w:color w:val="0000ee"/>
            <w:sz w:val="16"/>
            <w:szCs w:val="16"/>
            <w:u w:val="single"/>
            <w:rtl w:val="0"/>
          </w:rPr>
          <w:t xml:space="preserve">https://ir.ozk.com/management/tim-hicks/</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Arial" w:cs="Arial" w:eastAsia="Arial" w:hAnsi="Arial"/>
          <w:sz w:val="16"/>
          <w:szCs w:val="16"/>
          <w:rtl w:val="0"/>
        </w:rPr>
        <w:t xml:space="preserve">Brannon Hamblen | Management - Investor Relations | Bank OZK, accessed March 24, 2026, </w:t>
      </w:r>
      <w:hyperlink r:id="rId10">
        <w:r w:rsidDel="00000000" w:rsidR="00000000" w:rsidRPr="00000000">
          <w:rPr>
            <w:rFonts w:ascii="Arial" w:cs="Arial" w:eastAsia="Arial" w:hAnsi="Arial"/>
            <w:color w:val="0000ee"/>
            <w:sz w:val="16"/>
            <w:szCs w:val="16"/>
            <w:u w:val="single"/>
            <w:rtl w:val="0"/>
          </w:rPr>
          <w:t xml:space="preserve">https://ir.ozk.com/management/brannon-hamblen/</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Arial" w:cs="Arial" w:eastAsia="Arial" w:hAnsi="Arial"/>
          <w:sz w:val="16"/>
          <w:szCs w:val="16"/>
          <w:rtl w:val="0"/>
        </w:rPr>
        <w:t xml:space="preserve">Bank OZK (OZK *) Leadership &amp; Management Team Analysis - Simply Wall St, accessed March 24, 2026, </w:t>
      </w:r>
      <w:hyperlink r:id="rId11">
        <w:r w:rsidDel="00000000" w:rsidR="00000000" w:rsidRPr="00000000">
          <w:rPr>
            <w:rFonts w:ascii="Arial" w:cs="Arial" w:eastAsia="Arial" w:hAnsi="Arial"/>
            <w:color w:val="0000ee"/>
            <w:sz w:val="16"/>
            <w:szCs w:val="16"/>
            <w:u w:val="single"/>
            <w:rtl w:val="0"/>
          </w:rPr>
          <w:t xml:space="preserve">https://simplywall.st/stocks/mx/banks/bmv-ozk/bank-ozk-shares/management</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Arial" w:cs="Arial" w:eastAsia="Arial" w:hAnsi="Arial"/>
          <w:sz w:val="16"/>
          <w:szCs w:val="16"/>
          <w:rtl w:val="0"/>
        </w:rPr>
        <w:t xml:space="preserve">Documents | Bank OZK - Investor Relations | Bank OZK, accessed March 24, 2026, </w:t>
      </w:r>
      <w:hyperlink r:id="rId12">
        <w:r w:rsidDel="00000000" w:rsidR="00000000" w:rsidRPr="00000000">
          <w:rPr>
            <w:rFonts w:ascii="Arial" w:cs="Arial" w:eastAsia="Arial" w:hAnsi="Arial"/>
            <w:color w:val="0000ee"/>
            <w:sz w:val="16"/>
            <w:szCs w:val="16"/>
            <w:u w:val="single"/>
            <w:rtl w:val="0"/>
          </w:rPr>
          <w:t xml:space="preserve">https://ir.ozk.com/filings/documents/</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Arial" w:cs="Arial" w:eastAsia="Arial" w:hAnsi="Arial"/>
          <w:sz w:val="16"/>
          <w:szCs w:val="16"/>
          <w:rtl w:val="0"/>
        </w:rPr>
        <w:t xml:space="preserve">Gary Pacos Joins Financial Institutions, Inc. and Five Star Bank as Chief Risk Officer, accessed March 24, 2026, </w:t>
      </w:r>
      <w:hyperlink r:id="rId13">
        <w:r w:rsidDel="00000000" w:rsidR="00000000" w:rsidRPr="00000000">
          <w:rPr>
            <w:rFonts w:ascii="Arial" w:cs="Arial" w:eastAsia="Arial" w:hAnsi="Arial"/>
            <w:color w:val="0000ee"/>
            <w:sz w:val="16"/>
            <w:szCs w:val="16"/>
            <w:u w:val="single"/>
            <w:rtl w:val="0"/>
          </w:rPr>
          <w:t xml:space="preserve">https://www.globenewswire.com/news-release/2023/02/22/2613726/0/en/Gary-Pacos-Joins-Financial-Institutions-Inc-and-Five-Star-Bank-as-Chief-Risk-Officer.html</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Arial" w:cs="Arial" w:eastAsia="Arial" w:hAnsi="Arial"/>
          <w:sz w:val="16"/>
          <w:szCs w:val="16"/>
          <w:rtl w:val="0"/>
        </w:rPr>
        <w:t xml:space="preserve">FORM 10-Q - Investor Relations | Bank OZK, accessed March 24, 2026, </w:t>
      </w:r>
      <w:hyperlink r:id="rId14">
        <w:r w:rsidDel="00000000" w:rsidR="00000000" w:rsidRPr="00000000">
          <w:rPr>
            <w:rFonts w:ascii="Arial" w:cs="Arial" w:eastAsia="Arial" w:hAnsi="Arial"/>
            <w:color w:val="0000ee"/>
            <w:sz w:val="16"/>
            <w:szCs w:val="16"/>
            <w:u w:val="single"/>
            <w:rtl w:val="0"/>
          </w:rPr>
          <w:t xml:space="preserve">https://ir.ozk.com/static-files/b16330f9-b638-4af1-8894-ab8774ec0153</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Arial" w:cs="Arial" w:eastAsia="Arial" w:hAnsi="Arial"/>
          <w:sz w:val="16"/>
          <w:szCs w:val="16"/>
          <w:rtl w:val="0"/>
        </w:rPr>
        <w:t xml:space="preserve">2025 Proxy Statement - Commerce Bank, accessed March 24, 2026, </w:t>
      </w:r>
      <w:hyperlink r:id="rId15">
        <w:r w:rsidDel="00000000" w:rsidR="00000000" w:rsidRPr="00000000">
          <w:rPr>
            <w:rFonts w:ascii="Arial" w:cs="Arial" w:eastAsia="Arial" w:hAnsi="Arial"/>
            <w:color w:val="0000ee"/>
            <w:sz w:val="16"/>
            <w:szCs w:val="16"/>
            <w:u w:val="single"/>
            <w:rtl w:val="0"/>
          </w:rPr>
          <w:t xml:space="preserve">https://www.commercebank.com/-/media/cb/pdf/about-us/annual-reports/2025proxystatement.pdf?revision=53d565f4-37fc-425f-8d6d-3ceb585d683b&amp;modified=20260311202601</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Arial" w:cs="Arial" w:eastAsia="Arial" w:hAnsi="Arial"/>
          <w:sz w:val="16"/>
          <w:szCs w:val="16"/>
          <w:rtl w:val="0"/>
        </w:rPr>
        <w:t xml:space="preserve">Documents | Bank OZK, accessed March 24, 2026, </w:t>
      </w:r>
      <w:hyperlink r:id="rId16">
        <w:r w:rsidDel="00000000" w:rsidR="00000000" w:rsidRPr="00000000">
          <w:rPr>
            <w:rFonts w:ascii="Arial" w:cs="Arial" w:eastAsia="Arial" w:hAnsi="Arial"/>
            <w:color w:val="0000ee"/>
            <w:sz w:val="16"/>
            <w:szCs w:val="16"/>
            <w:u w:val="single"/>
            <w:rtl w:val="0"/>
          </w:rPr>
          <w:t xml:space="preserve">https://ir.ozk.com/filings/documents?page=2</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Arial" w:cs="Arial" w:eastAsia="Arial" w:hAnsi="Arial"/>
          <w:sz w:val="16"/>
          <w:szCs w:val="16"/>
          <w:rtl w:val="0"/>
        </w:rPr>
        <w:t xml:space="preserve">Form 4 - Tim Hicks, accessed March 24, 2026, </w:t>
      </w:r>
      <w:hyperlink r:id="rId17">
        <w:r w:rsidDel="00000000" w:rsidR="00000000" w:rsidRPr="00000000">
          <w:rPr>
            <w:rFonts w:ascii="Arial" w:cs="Arial" w:eastAsia="Arial" w:hAnsi="Arial"/>
            <w:color w:val="0000ee"/>
            <w:sz w:val="16"/>
            <w:szCs w:val="16"/>
            <w:u w:val="single"/>
            <w:rtl w:val="0"/>
          </w:rPr>
          <w:t xml:space="preserve">https://ir.ozk.com/static-files/2d81a78c-1e0f-43a2-a022-d8e8013f5002</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Arial" w:cs="Arial" w:eastAsia="Arial" w:hAnsi="Arial"/>
          <w:sz w:val="16"/>
          <w:szCs w:val="16"/>
          <w:rtl w:val="0"/>
        </w:rPr>
        <w:t xml:space="preserve">Bank Ozk Stock Price History - Investing.com, accessed March 24, 2026, </w:t>
      </w:r>
      <w:hyperlink r:id="rId18">
        <w:r w:rsidDel="00000000" w:rsidR="00000000" w:rsidRPr="00000000">
          <w:rPr>
            <w:rFonts w:ascii="Arial" w:cs="Arial" w:eastAsia="Arial" w:hAnsi="Arial"/>
            <w:color w:val="0000ee"/>
            <w:sz w:val="16"/>
            <w:szCs w:val="16"/>
            <w:u w:val="single"/>
            <w:rtl w:val="0"/>
          </w:rPr>
          <w:t xml:space="preserve">https://www.investing.com/equities/bank-of-the-ozark-historical-data</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Arial" w:cs="Arial" w:eastAsia="Arial" w:hAnsi="Arial"/>
          <w:sz w:val="16"/>
          <w:szCs w:val="16"/>
          <w:rtl w:val="0"/>
        </w:rPr>
        <w:t xml:space="preserve">Dividend History - Bank OZK (OZK) - Zacks.com, accessed March 24, 2026, </w:t>
      </w:r>
      <w:hyperlink r:id="rId19">
        <w:r w:rsidDel="00000000" w:rsidR="00000000" w:rsidRPr="00000000">
          <w:rPr>
            <w:rFonts w:ascii="Arial" w:cs="Arial" w:eastAsia="Arial" w:hAnsi="Arial"/>
            <w:color w:val="0000ee"/>
            <w:sz w:val="16"/>
            <w:szCs w:val="16"/>
            <w:u w:val="single"/>
            <w:rtl w:val="0"/>
          </w:rPr>
          <w:t xml:space="preserve">https://www.zacks.com/stock/research/OZK/dividend-history</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Arial" w:cs="Arial" w:eastAsia="Arial" w:hAnsi="Arial"/>
          <w:sz w:val="16"/>
          <w:szCs w:val="16"/>
          <w:rtl w:val="0"/>
        </w:rPr>
        <w:t xml:space="preserve">Bank OZK - 29 Year Stock Price History - Macrotrends, accessed March 24, 2026, </w:t>
      </w:r>
      <w:hyperlink r:id="rId20">
        <w:r w:rsidDel="00000000" w:rsidR="00000000" w:rsidRPr="00000000">
          <w:rPr>
            <w:rFonts w:ascii="Arial" w:cs="Arial" w:eastAsia="Arial" w:hAnsi="Arial"/>
            <w:color w:val="0000ee"/>
            <w:sz w:val="16"/>
            <w:szCs w:val="16"/>
            <w:u w:val="single"/>
            <w:rtl w:val="0"/>
          </w:rPr>
          <w:t xml:space="preserve">https://www.macrotrends.net/stocks/charts/OZK/bank-ozk/stock-price-history</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Arial" w:cs="Arial" w:eastAsia="Arial" w:hAnsi="Arial"/>
          <w:sz w:val="16"/>
          <w:szCs w:val="16"/>
          <w:rtl w:val="0"/>
        </w:rPr>
        <w:t xml:space="preserve">Historical Prices - Investor Relations | Bank OZK, accessed March 24, 2026, </w:t>
      </w:r>
      <w:hyperlink r:id="rId21">
        <w:r w:rsidDel="00000000" w:rsidR="00000000" w:rsidRPr="00000000">
          <w:rPr>
            <w:rFonts w:ascii="Arial" w:cs="Arial" w:eastAsia="Arial" w:hAnsi="Arial"/>
            <w:color w:val="0000ee"/>
            <w:sz w:val="16"/>
            <w:szCs w:val="16"/>
            <w:u w:val="single"/>
            <w:rtl w:val="0"/>
          </w:rPr>
          <w:t xml:space="preserve">https://ir.ozk.com/stock-information/historic-price-lookup/</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Arial" w:cs="Arial" w:eastAsia="Arial" w:hAnsi="Arial"/>
          <w:sz w:val="16"/>
          <w:szCs w:val="16"/>
          <w:rtl w:val="0"/>
        </w:rPr>
        <w:t xml:space="preserve">Bank OZK Stock - Stock Price, Institutional Ownership, Shareholders (NasdaqGS) - Fintel, accessed March 24, 2026, </w:t>
      </w:r>
      <w:hyperlink r:id="rId22">
        <w:r w:rsidDel="00000000" w:rsidR="00000000" w:rsidRPr="00000000">
          <w:rPr>
            <w:rFonts w:ascii="Arial" w:cs="Arial" w:eastAsia="Arial" w:hAnsi="Arial"/>
            <w:color w:val="0000ee"/>
            <w:sz w:val="16"/>
            <w:szCs w:val="16"/>
            <w:u w:val="single"/>
            <w:rtl w:val="0"/>
          </w:rPr>
          <w:t xml:space="preserve">https://fintel.io/so/us/ozk</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Arial" w:cs="Arial" w:eastAsia="Arial" w:hAnsi="Arial"/>
          <w:sz w:val="16"/>
          <w:szCs w:val="16"/>
          <w:rtl w:val="0"/>
        </w:rPr>
        <w:t xml:space="preserve">Investor Relations | Bank OZK, accessed March 24, 2026, </w:t>
      </w:r>
      <w:hyperlink r:id="rId23">
        <w:r w:rsidDel="00000000" w:rsidR="00000000" w:rsidRPr="00000000">
          <w:rPr>
            <w:rFonts w:ascii="Arial" w:cs="Arial" w:eastAsia="Arial" w:hAnsi="Arial"/>
            <w:color w:val="0000ee"/>
            <w:sz w:val="16"/>
            <w:szCs w:val="16"/>
            <w:u w:val="single"/>
            <w:rtl w:val="0"/>
          </w:rPr>
          <w:t xml:space="preserve">https://ir.ozk.com/static-files/07e50bdc-7f28-4786-9ff7-9b022a70330f</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Arial" w:cs="Arial" w:eastAsia="Arial" w:hAnsi="Arial"/>
          <w:sz w:val="16"/>
          <w:szCs w:val="16"/>
          <w:rtl w:val="0"/>
        </w:rPr>
        <w:t xml:space="preserve">UNITED STATES - Investor Relations | Bank OZK, accessed March 24, 2026, </w:t>
      </w:r>
      <w:hyperlink r:id="rId24">
        <w:r w:rsidDel="00000000" w:rsidR="00000000" w:rsidRPr="00000000">
          <w:rPr>
            <w:rFonts w:ascii="Arial" w:cs="Arial" w:eastAsia="Arial" w:hAnsi="Arial"/>
            <w:color w:val="0000ee"/>
            <w:sz w:val="16"/>
            <w:szCs w:val="16"/>
            <w:u w:val="single"/>
            <w:rtl w:val="0"/>
          </w:rPr>
          <w:t xml:space="preserve">https://ir.ozk.com/static-files/f645527d-8790-4c8f-89ec-2ae4fc9eb47a</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Arial" w:cs="Arial" w:eastAsia="Arial" w:hAnsi="Arial"/>
          <w:sz w:val="16"/>
          <w:szCs w:val="16"/>
          <w:rtl w:val="0"/>
        </w:rPr>
        <w:t xml:space="preserve">Investor Relations | Bank OZK, accessed March 24, 2026, </w:t>
      </w:r>
      <w:hyperlink r:id="rId25">
        <w:r w:rsidDel="00000000" w:rsidR="00000000" w:rsidRPr="00000000">
          <w:rPr>
            <w:rFonts w:ascii="Arial" w:cs="Arial" w:eastAsia="Arial" w:hAnsi="Arial"/>
            <w:color w:val="0000ee"/>
            <w:sz w:val="16"/>
            <w:szCs w:val="16"/>
            <w:u w:val="single"/>
            <w:rtl w:val="0"/>
          </w:rPr>
          <w:t xml:space="preserve">https://ir.ozk.com/static-files/5479a449-6710-4991-aa97-3bac7b724f13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acrotrends.net/stocks/charts/OZK/bank-ozk/stock-price-history" TargetMode="External"/><Relationship Id="rId22" Type="http://schemas.openxmlformats.org/officeDocument/2006/relationships/hyperlink" Target="https://fintel.io/so/us/ozk" TargetMode="External"/><Relationship Id="rId21" Type="http://schemas.openxmlformats.org/officeDocument/2006/relationships/hyperlink" Target="https://ir.ozk.com/stock-information/historic-price-lookup/" TargetMode="External"/><Relationship Id="rId24" Type="http://schemas.openxmlformats.org/officeDocument/2006/relationships/hyperlink" Target="https://ir.ozk.com/static-files/f645527d-8790-4c8f-89ec-2ae4fc9eb47a" TargetMode="External"/><Relationship Id="rId23" Type="http://schemas.openxmlformats.org/officeDocument/2006/relationships/hyperlink" Target="https://ir.ozk.com/static-files/07e50bdc-7f28-4786-9ff7-9b022a70330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r.ozk.com/management/tim-hicks/" TargetMode="External"/><Relationship Id="rId25" Type="http://schemas.openxmlformats.org/officeDocument/2006/relationships/hyperlink" Target="https://ir.ozk.com/static-files/5479a449-6710-4991-aa97-3bac7b724f13" TargetMode="External"/><Relationship Id="rId5" Type="http://schemas.openxmlformats.org/officeDocument/2006/relationships/styles" Target="styles.xml"/><Relationship Id="rId6" Type="http://schemas.openxmlformats.org/officeDocument/2006/relationships/hyperlink" Target="https://ir.ozk.com/corporate/officers-directors/" TargetMode="External"/><Relationship Id="rId7" Type="http://schemas.openxmlformats.org/officeDocument/2006/relationships/hyperlink" Target="https://ir.ozk.com/management/george-gleason/" TargetMode="External"/><Relationship Id="rId8" Type="http://schemas.openxmlformats.org/officeDocument/2006/relationships/hyperlink" Target="https://ir.ozk.com/" TargetMode="External"/><Relationship Id="rId11" Type="http://schemas.openxmlformats.org/officeDocument/2006/relationships/hyperlink" Target="https://simplywall.st/stocks/mx/banks/bmv-ozk/bank-ozk-shares/management" TargetMode="External"/><Relationship Id="rId10" Type="http://schemas.openxmlformats.org/officeDocument/2006/relationships/hyperlink" Target="https://ir.ozk.com/management/brannon-hamblen/" TargetMode="External"/><Relationship Id="rId13" Type="http://schemas.openxmlformats.org/officeDocument/2006/relationships/hyperlink" Target="https://www.globenewswire.com/news-release/2023/02/22/2613726/0/en/Gary-Pacos-Joins-Financial-Institutions-Inc-and-Five-Star-Bank-as-Chief-Risk-Officer.html" TargetMode="External"/><Relationship Id="rId12" Type="http://schemas.openxmlformats.org/officeDocument/2006/relationships/hyperlink" Target="https://ir.ozk.com/filings/documents/" TargetMode="External"/><Relationship Id="rId15" Type="http://schemas.openxmlformats.org/officeDocument/2006/relationships/hyperlink" Target="https://www.commercebank.com/-/media/cb/pdf/about-us/annual-reports/2025proxystatement.pdf?revision=53d565f4-37fc-425f-8d6d-3ceb585d683b&amp;modified=20260311202601" TargetMode="External"/><Relationship Id="rId14" Type="http://schemas.openxmlformats.org/officeDocument/2006/relationships/hyperlink" Target="https://ir.ozk.com/static-files/b16330f9-b638-4af1-8894-ab8774ec0153" TargetMode="External"/><Relationship Id="rId17" Type="http://schemas.openxmlformats.org/officeDocument/2006/relationships/hyperlink" Target="https://ir.ozk.com/static-files/2d81a78c-1e0f-43a2-a022-d8e8013f5002" TargetMode="External"/><Relationship Id="rId16" Type="http://schemas.openxmlformats.org/officeDocument/2006/relationships/hyperlink" Target="https://ir.ozk.com/filings/documents?page=2" TargetMode="External"/><Relationship Id="rId19" Type="http://schemas.openxmlformats.org/officeDocument/2006/relationships/hyperlink" Target="https://www.zacks.com/stock/research/OZK/dividend-history" TargetMode="External"/><Relationship Id="rId18" Type="http://schemas.openxmlformats.org/officeDocument/2006/relationships/hyperlink" Target="https://www.investing.com/equities/bank-of-the-ozark-historical-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