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CCA34" w14:textId="77777777" w:rsidR="00027F66" w:rsidRDefault="00000000">
      <w:r>
        <w:rPr>
          <w:b/>
          <w:sz w:val="52"/>
        </w:rPr>
        <w:t>The AI Opportunity Inventory</w:t>
      </w:r>
      <w:r>
        <w:rPr>
          <w:b/>
          <w:sz w:val="52"/>
        </w:rPr>
        <w:br/>
      </w:r>
      <w:r>
        <w:rPr>
          <w:i/>
          <w:color w:val="B34700"/>
          <w:sz w:val="26"/>
        </w:rPr>
        <w:t>Your new site and research assistant — what it is, and the few things we need from you</w:t>
      </w:r>
    </w:p>
    <w:p w14:paraId="5B6E3A6D" w14:textId="77777777" w:rsidR="00027F66" w:rsidRDefault="00027F66"/>
    <w:p w14:paraId="2EC44C4D" w14:textId="77777777" w:rsidR="00027F66" w:rsidRDefault="00000000">
      <w:pPr>
        <w:pStyle w:val="Heading1"/>
      </w:pPr>
      <w:r>
        <w:rPr>
          <w:rFonts w:ascii="Georgia" w:hAnsi="Georgia"/>
          <w:color w:val="B34700"/>
        </w:rPr>
        <w:t>The short version</w:t>
      </w:r>
    </w:p>
    <w:p w14:paraId="3BB0049C" w14:textId="77777777" w:rsidR="00027F66" w:rsidRDefault="00000000">
      <w:r>
        <w:t>The custom GPT has been replaced by a real website with the assistant built in. It is live right now:</w:t>
      </w:r>
    </w:p>
    <w:p w14:paraId="6AAD97F5" w14:textId="77777777" w:rsidR="00027F66" w:rsidRDefault="00000000">
      <w:r>
        <w:rPr>
          <w:b/>
          <w:color w:val="B34700"/>
        </w:rPr>
        <w:t>https://ai-opportunity-inventory.vercel.app</w:t>
      </w:r>
    </w:p>
    <w:p w14:paraId="20AB7031" w14:textId="77777777" w:rsidR="00027F66" w:rsidRDefault="00000000">
      <w:r>
        <w:t>Mark is hosting and running it for now, so nothing is on fire and nothing is waiting on you to stay online. There are exactly four things only you can do, listed on the next page. Everything technical beyond that is optional reading.</w:t>
      </w:r>
    </w:p>
    <w:p w14:paraId="6BFBC7A3" w14:textId="77777777" w:rsidR="00027F66" w:rsidRDefault="00000000">
      <w:pPr>
        <w:pStyle w:val="Heading2"/>
      </w:pPr>
      <w:r>
        <w:rPr>
          <w:rFonts w:ascii="Georgia" w:hAnsi="Georgia"/>
          <w:color w:val="B34700"/>
        </w:rPr>
        <w:t>What visitors get</w:t>
      </w:r>
    </w:p>
    <w:p w14:paraId="3526AF21" w14:textId="77777777" w:rsidR="00027F66" w:rsidRDefault="00000000">
      <w:pPr>
        <w:pStyle w:val="ListBullet"/>
      </w:pPr>
      <w:r>
        <w:rPr>
          <w:b/>
        </w:rPr>
        <w:t xml:space="preserve">The front door. </w:t>
      </w:r>
      <w:r>
        <w:t>A landing page that tells the initiative's story — the three-step process, the collaborators, and a “Join” button that goes to your interest form.</w:t>
      </w:r>
    </w:p>
    <w:p w14:paraId="281942A8" w14:textId="77777777" w:rsidR="00027F66" w:rsidRDefault="00000000">
      <w:pPr>
        <w:pStyle w:val="ListBullet"/>
      </w:pPr>
      <w:r>
        <w:rPr>
          <w:b/>
        </w:rPr>
        <w:t xml:space="preserve">The inventory, readable. </w:t>
      </w:r>
      <w:r>
        <w:t>The Raw Opportunity Bank as a searchable, filterable catalog — every submission browsable by domain, deployment stage, and organization type. This can replace linking people to the raw spreadsheet.</w:t>
      </w:r>
    </w:p>
    <w:p w14:paraId="6C1EED50" w14:textId="77777777" w:rsidR="00027F66" w:rsidRDefault="00000000">
      <w:pPr>
        <w:pStyle w:val="ListBullet"/>
      </w:pPr>
      <w:r>
        <w:rPr>
          <w:b/>
        </w:rPr>
        <w:t xml:space="preserve">The research assistant. </w:t>
      </w:r>
      <w:r>
        <w:t>Anyone can ask questions about the inventory and get answers grounded in the actual entries. Community members — people on your interest-form list — type in their email and unlock the full memo workflow: duplicate check, triage, assignment, staged draft review, and submission to your editors. Same coaching rules as the GPT: it questions students' analysis, it never writes the memo for them.</w:t>
      </w:r>
    </w:p>
    <w:p w14:paraId="7982FE6F" w14:textId="77777777" w:rsidR="00027F66" w:rsidRDefault="00000000">
      <w:pPr>
        <w:pStyle w:val="Heading2"/>
      </w:pPr>
      <w:r>
        <w:rPr>
          <w:rFonts w:ascii="Georgia" w:hAnsi="Georgia"/>
          <w:color w:val="B34700"/>
        </w:rPr>
        <w:t>Why this beats the custom GPT</w:t>
      </w:r>
    </w:p>
    <w:p w14:paraId="3167E994" w14:textId="77777777" w:rsidR="00027F66" w:rsidRDefault="00000000">
      <w:pPr>
        <w:pStyle w:val="ListBullet"/>
      </w:pPr>
      <w:r>
        <w:rPr>
          <w:b/>
        </w:rPr>
        <w:t xml:space="preserve">It's safe. </w:t>
      </w:r>
      <w:r>
        <w:t>The GPT had the backend password written into its instructions, and those instructions can be extracted by anyone who asks cleverly. The new site keeps every secret on the server. Students never see them, and the AI itself never sees them.</w:t>
      </w:r>
    </w:p>
    <w:p w14:paraId="7A7892FA" w14:textId="77777777" w:rsidR="00027F66" w:rsidRDefault="00000000">
      <w:pPr>
        <w:pStyle w:val="ListBullet"/>
      </w:pPr>
      <w:r>
        <w:rPr>
          <w:b/>
        </w:rPr>
        <w:t xml:space="preserve">It's gated. </w:t>
      </w:r>
      <w:r>
        <w:t>Only people on your interest-form list can submit entries or run the workflow. Everyone else is politely pointed to the sign-up form. This is enforced by the server, not by asking the AI nicely.</w:t>
      </w:r>
    </w:p>
    <w:p w14:paraId="7EAB7435" w14:textId="77777777" w:rsidR="00027F66" w:rsidRDefault="00000000">
      <w:pPr>
        <w:pStyle w:val="ListBullet"/>
      </w:pPr>
      <w:r>
        <w:rPr>
          <w:b/>
        </w:rPr>
        <w:t xml:space="preserve">It's open. </w:t>
      </w:r>
      <w:r>
        <w:t>No ChatGPT account needed. Works for every student on any device, and the public-facing parts work for policymakers, funders, and press.</w:t>
      </w:r>
    </w:p>
    <w:p w14:paraId="12960AF8" w14:textId="77777777" w:rsidR="00027F66" w:rsidRDefault="00000000">
      <w:pPr>
        <w:pStyle w:val="ListBullet"/>
      </w:pPr>
      <w:r>
        <w:rPr>
          <w:b/>
        </w:rPr>
        <w:t xml:space="preserve">It's familiar. </w:t>
      </w:r>
      <w:r>
        <w:t>Your spreadsheets stay exactly as they are — the site writes prospects, assignments, and review submissions into them the same way the GPT did. Your editors change nothing about how they work.</w:t>
      </w:r>
    </w:p>
    <w:p w14:paraId="212F8D5C" w14:textId="77777777" w:rsidR="00027F66" w:rsidRDefault="00000000">
      <w:r>
        <w:br w:type="page"/>
      </w:r>
    </w:p>
    <w:p w14:paraId="384EBDEA" w14:textId="77777777" w:rsidR="00027F66" w:rsidRDefault="00000000">
      <w:pPr>
        <w:pStyle w:val="Heading1"/>
      </w:pPr>
      <w:r>
        <w:rPr>
          <w:rFonts w:ascii="Georgia" w:hAnsi="Georgia"/>
          <w:color w:val="B34700"/>
        </w:rPr>
        <w:lastRenderedPageBreak/>
        <w:t>The four things only you can do</w:t>
      </w:r>
    </w:p>
    <w:p w14:paraId="3FD89C64" w14:textId="77777777" w:rsidR="00027F66" w:rsidRDefault="00000000">
      <w:r>
        <w:t>Right now the site runs on sample data — a snapshot of the real bank — because connecting it to your Google account requires steps on your side. None are hard, and the fiddliest one can be a 20-minute screen share where Mark drives.</w:t>
      </w:r>
    </w:p>
    <w:p w14:paraId="73F46EC2" w14:textId="77777777" w:rsidR="00027F66" w:rsidRDefault="00000000">
      <w:pPr>
        <w:pStyle w:val="ListNumber"/>
      </w:pPr>
      <w:r>
        <w:rPr>
          <w:b/>
        </w:rPr>
        <w:t xml:space="preserve">1. Retire the old GPT connection and set up the new one. </w:t>
      </w:r>
      <w:r>
        <w:t>The old backend password was written into the GPT's instructions and shared in planning docs, so it should be treated as public. Appendix A has click-by-click steps to set up the new, safer connection — or do it live with Mark. This one step connects the live site to your real spreadsheets and your real sign-up list.</w:t>
      </w:r>
    </w:p>
    <w:p w14:paraId="0349FECB" w14:textId="77777777" w:rsidR="00027F66" w:rsidRDefault="00000000">
      <w:pPr>
        <w:pStyle w:val="ListNumber"/>
      </w:pPr>
      <w:r>
        <w:rPr>
          <w:b/>
        </w:rPr>
        <w:t xml:space="preserve">2. Own the member list (you already do). </w:t>
      </w:r>
      <w:r>
        <w:t>Once the connection is live, membership is simply “is this email on the interest-form responses sheet?” Adding someone = they fill the form (or you add a row). Removing someone = delete their row. No new admin tools to learn.</w:t>
      </w:r>
    </w:p>
    <w:p w14:paraId="48C05E07" w14:textId="77777777" w:rsidR="00027F66" w:rsidRDefault="00000000">
      <w:pPr>
        <w:pStyle w:val="ListNumber"/>
      </w:pPr>
      <w:r>
        <w:rPr>
          <w:b/>
        </w:rPr>
        <w:t xml:space="preserve">3. Spin up the Substack. </w:t>
      </w:r>
      <w:r>
        <w:t>Create the publication for the vetted memos when you're ready and send Mark the address — the site links to it everywhere automatically. Only the name matters up front, since the web address is painful to change later.</w:t>
      </w:r>
    </w:p>
    <w:p w14:paraId="16E419CD" w14:textId="77777777" w:rsidR="00027F66" w:rsidRDefault="00000000">
      <w:pPr>
        <w:pStyle w:val="ListNumber"/>
      </w:pPr>
      <w:r>
        <w:rPr>
          <w:b/>
        </w:rPr>
        <w:t xml:space="preserve">4. Decide who pays for the AI (eventually). </w:t>
      </w:r>
      <w:r>
        <w:t>The assistant runs on Claude. A typical student conversation costs a few cents; a busy month is likely tens of dollars, not hundreds. Mark's account is paying today. When you're ready to take it over, it's a ten-minute account setup at console.anthropic.com plus one setting change — and set a billing alert so any surprise is an email, not an invoice.</w:t>
      </w:r>
    </w:p>
    <w:p w14:paraId="47BE7D20" w14:textId="77777777" w:rsidR="00027F66" w:rsidRDefault="00027F66"/>
    <w:p w14:paraId="71D3228B" w14:textId="77777777" w:rsidR="00027F66" w:rsidRDefault="00000000">
      <w:r>
        <w:rPr>
          <w:i/>
        </w:rPr>
        <w:t>That's the whole list. Review the landing-page wording whenever you like and send edits — text changes take minutes.</w:t>
      </w:r>
    </w:p>
    <w:p w14:paraId="4BE11A3E" w14:textId="77777777" w:rsidR="00027F66" w:rsidRDefault="00000000">
      <w:pPr>
        <w:pStyle w:val="Heading1"/>
      </w:pPr>
      <w:r>
        <w:rPr>
          <w:rFonts w:ascii="Georgia" w:hAnsi="Georgia"/>
          <w:color w:val="B34700"/>
        </w:rPr>
        <w:t>Common questions</w:t>
      </w:r>
    </w:p>
    <w:p w14:paraId="15B89E02" w14:textId="77777777" w:rsidR="00027F66" w:rsidRDefault="00027F66"/>
    <w:p w14:paraId="66927244" w14:textId="77777777" w:rsidR="00027F66" w:rsidRDefault="00000000">
      <w:r>
        <w:rPr>
          <w:b/>
        </w:rPr>
        <w:t>Is student work being published somewhere I can't control?</w:t>
      </w:r>
    </w:p>
    <w:p w14:paraId="1B3675BE" w14:textId="77777777" w:rsidR="00027F66" w:rsidRDefault="00000000">
      <w:r>
        <w:t>No. Nothing publishes automatically. The workflow ends with a submission to your editorial queue (the Reviews tab of your workflow spreadsheet), with the AI's rubric score and a summary of weaknesses for the human reviewer. Publication remains a human decision.</w:t>
      </w:r>
    </w:p>
    <w:p w14:paraId="134FC81A" w14:textId="77777777" w:rsidR="00027F66" w:rsidRDefault="00000000">
      <w:r>
        <w:rPr>
          <w:b/>
        </w:rPr>
        <w:t>Can the AI approve a bad or duplicate entry?</w:t>
      </w:r>
    </w:p>
    <w:p w14:paraId="76BC4B42" w14:textId="77777777" w:rsidR="00027F66" w:rsidRDefault="00000000">
      <w:r>
        <w:t>It must run a duplicate check before triage, and it applies your five-category triage rules. But triage is recorded, visible, and reversible in the spreadsheet — the AI proposes, your team disposes.</w:t>
      </w:r>
    </w:p>
    <w:p w14:paraId="30A01D8F" w14:textId="77777777" w:rsidR="00027F66" w:rsidRDefault="00000000">
      <w:r>
        <w:rPr>
          <w:b/>
        </w:rPr>
        <w:t>What does the public see?</w:t>
      </w:r>
    </w:p>
    <w:p w14:paraId="099AD716" w14:textId="77777777" w:rsidR="00027F66" w:rsidRDefault="00000000">
      <w:r>
        <w:lastRenderedPageBreak/>
        <w:t>The landing page, the Raw Opportunity Bank (the same columns as your public-view sheet), and a question-answering assistant. Student names, emails, triage notes, and review materials are never shown publicly.</w:t>
      </w:r>
    </w:p>
    <w:p w14:paraId="143A1C32" w14:textId="77777777" w:rsidR="00027F66" w:rsidRDefault="00000000">
      <w:r>
        <w:rPr>
          <w:b/>
        </w:rPr>
        <w:t>What if someone hammers the assistant to run up costs?</w:t>
      </w:r>
    </w:p>
    <w:p w14:paraId="14585C4B" w14:textId="77777777" w:rsidR="00027F66" w:rsidRDefault="00000000">
      <w:r>
        <w:t>The site limits message volume per visitor and caps how much work a single reply can do, and the billing alert is the hard backstop. Members' actions are tied to their verified email.</w:t>
      </w:r>
    </w:p>
    <w:p w14:paraId="4A366184" w14:textId="77777777" w:rsidR="00027F66" w:rsidRDefault="00000000">
      <w:r>
        <w:br w:type="page"/>
      </w:r>
    </w:p>
    <w:p w14:paraId="2347EA7C" w14:textId="77777777" w:rsidR="00027F66" w:rsidRDefault="00000000">
      <w:pPr>
        <w:pStyle w:val="Heading1"/>
      </w:pPr>
      <w:r>
        <w:rPr>
          <w:rFonts w:ascii="Georgia" w:hAnsi="Georgia"/>
          <w:color w:val="B34700"/>
        </w:rPr>
        <w:lastRenderedPageBreak/>
        <w:t>Appendix A — Connecting the site to your Google account</w:t>
      </w:r>
    </w:p>
    <w:p w14:paraId="18FB4F3F" w14:textId="77777777" w:rsidR="00027F66" w:rsidRDefault="00000000">
      <w:r>
        <w:t>This is the one genuinely technical step, and it lives in your Google account, so it has to start with you. Two options:</w:t>
      </w:r>
    </w:p>
    <w:p w14:paraId="7C1BE033" w14:textId="77777777" w:rsidR="00027F66" w:rsidRDefault="00000000">
      <w:pPr>
        <w:pStyle w:val="ListBullet"/>
      </w:pPr>
      <w:r>
        <w:rPr>
          <w:b/>
        </w:rPr>
        <w:t xml:space="preserve">Option 1 (recommended): </w:t>
      </w:r>
      <w:r>
        <w:t>Screen share with Mark for ~20 minutes and he drives. You just log in and click.</w:t>
      </w:r>
    </w:p>
    <w:p w14:paraId="54750D32" w14:textId="77777777" w:rsidR="00027F66" w:rsidRDefault="00000000">
      <w:pPr>
        <w:pStyle w:val="ListBullet"/>
      </w:pPr>
      <w:r>
        <w:rPr>
          <w:b/>
        </w:rPr>
        <w:t xml:space="preserve">Option 2: </w:t>
      </w:r>
      <w:r>
        <w:t>Follow the steps below yourself.</w:t>
      </w:r>
    </w:p>
    <w:p w14:paraId="29881CFE" w14:textId="77777777" w:rsidR="00027F66" w:rsidRDefault="00000000">
      <w:pPr>
        <w:pStyle w:val="Heading2"/>
      </w:pPr>
      <w:r>
        <w:rPr>
          <w:rFonts w:ascii="Georgia" w:hAnsi="Georgia"/>
          <w:color w:val="B34700"/>
        </w:rPr>
        <w:t>The idea in one sentence</w:t>
      </w:r>
    </w:p>
    <w:p w14:paraId="65CD1057" w14:textId="77777777" w:rsidR="00027F66" w:rsidRDefault="00000000">
      <w:r>
        <w:t>A small Google “Apps Script” — code that lives inside your spreadsheet — acts as the doorman between the website and your sheets, and it only opens the door for requests that carry a secret password that lives on the server, not in any AI prompt or document.</w:t>
      </w:r>
    </w:p>
    <w:p w14:paraId="06F8D22B" w14:textId="77777777" w:rsidR="00027F66" w:rsidRDefault="00000000">
      <w:pPr>
        <w:pStyle w:val="Heading2"/>
      </w:pPr>
      <w:r>
        <w:rPr>
          <w:rFonts w:ascii="Georgia" w:hAnsi="Georgia"/>
          <w:color w:val="B34700"/>
        </w:rPr>
        <w:t>Steps</w:t>
      </w:r>
    </w:p>
    <w:p w14:paraId="12A37911" w14:textId="77777777" w:rsidR="00027F66" w:rsidRDefault="00000000">
      <w:pPr>
        <w:pStyle w:val="ListNumber"/>
      </w:pPr>
      <w:r>
        <w:t>Open (or create) the spreadsheet where workflow data should live — prospects, assignments, and review submissions. This can be a fresh spreadsheet; the tabs create themselves.</w:t>
      </w:r>
    </w:p>
    <w:p w14:paraId="2468328E" w14:textId="77777777" w:rsidR="00027F66" w:rsidRDefault="00000000">
      <w:pPr>
        <w:pStyle w:val="ListNumber"/>
      </w:pPr>
      <w:r>
        <w:t>In that spreadsheet: Extensions → Apps Script. Delete whatever is in the editor and paste in the file Mark sends you (it's called Code.gs, and it's also in the project folder).</w:t>
      </w:r>
    </w:p>
    <w:p w14:paraId="4C683FF6" w14:textId="77777777" w:rsidR="00027F66" w:rsidRDefault="00000000">
      <w:pPr>
        <w:pStyle w:val="ListNumber"/>
      </w:pPr>
      <w:r>
        <w:t>Still in Apps Script: click the gear icon (Project Settings) → scroll to Script Properties → add five properties. Mark will send you the exact five names and values — one is the new secret password (generate a fresh one; a password manager's generator is perfect), and the other four are just the IDs of your spreadsheets so the script knows where to look.</w:t>
      </w:r>
    </w:p>
    <w:p w14:paraId="566A9A0E" w14:textId="77777777" w:rsidR="00027F66" w:rsidRDefault="00000000">
      <w:pPr>
        <w:pStyle w:val="ListNumber"/>
      </w:pPr>
      <w:r>
        <w:t>Click Deploy → New deployment → type: Web app → Execute as: Me → Who has access: Anyone → Deploy. Google will show a long web address ending in /exec.</w:t>
      </w:r>
    </w:p>
    <w:p w14:paraId="52A4F52F" w14:textId="77777777" w:rsidR="00027F66" w:rsidRDefault="00000000">
      <w:pPr>
        <w:pStyle w:val="ListNumber"/>
      </w:pPr>
      <w:r>
        <w:t>Send Mark two things privately (password manager share or read it over the phone — not email): the /exec address and the new secret. He plugs both into the site and the live site switches from sample data to your real sheets.</w:t>
      </w:r>
    </w:p>
    <w:p w14:paraId="1D5EEDB5" w14:textId="77777777" w:rsidR="00027F66" w:rsidRDefault="00000000">
      <w:pPr>
        <w:pStyle w:val="ListNumber"/>
      </w:pPr>
      <w:r>
        <w:t>Finally: disable the old deployment the GPT used (Deploy → Manage deployments → archive it), and retire the custom GPT itself.</w:t>
      </w:r>
    </w:p>
    <w:p w14:paraId="5DD2063A" w14:textId="77777777" w:rsidR="00027F66" w:rsidRDefault="00027F66"/>
    <w:p w14:paraId="5D45D83A" w14:textId="77777777" w:rsidR="00027F66" w:rsidRDefault="00000000">
      <w:r>
        <w:rPr>
          <w:i/>
        </w:rPr>
        <w:t>“Who has access: Anyone” sounds alarming but isn't — it only means the doorman answers the door. Without the secret, every request is refused. The old setup's flaw wasn't this setting; it was that the secret was sitting in the GPT's instructions.</w:t>
      </w:r>
    </w:p>
    <w:p w14:paraId="5B851E42" w14:textId="77777777" w:rsidR="00027F66" w:rsidRDefault="00000000">
      <w:pPr>
        <w:pStyle w:val="Heading1"/>
      </w:pPr>
      <w:r>
        <w:rPr>
          <w:rFonts w:ascii="Georgia" w:hAnsi="Georgia"/>
          <w:color w:val="B34700"/>
        </w:rPr>
        <w:t>Appendix B — For whoever helps you technically</w:t>
      </w:r>
    </w:p>
    <w:p w14:paraId="1CE6A71D" w14:textId="77777777" w:rsidR="00027F66" w:rsidRDefault="00000000">
      <w:r>
        <w:t>The site is a Next.js app; the repository includes a developer README and a fuller technical handoff (HANDOFF.md). Hosting is on Vercel under Mark's account and transfers cleanly. Server settings, set as environment variables:</w:t>
      </w:r>
    </w:p>
    <w:tbl>
      <w:tblPr>
        <w:tblStyle w:val="LightGrid-Accent2"/>
        <w:tblW w:w="0" w:type="auto"/>
        <w:tblLook w:val="04A0" w:firstRow="1" w:lastRow="0" w:firstColumn="1" w:lastColumn="0" w:noHBand="0" w:noVBand="1"/>
      </w:tblPr>
      <w:tblGrid>
        <w:gridCol w:w="4320"/>
        <w:gridCol w:w="4320"/>
      </w:tblGrid>
      <w:tr w:rsidR="00027F66" w14:paraId="790A7F9A" w14:textId="77777777" w:rsidTr="00027F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5D4E8" w14:textId="77777777" w:rsidR="00027F66" w:rsidRDefault="00000000">
            <w:r>
              <w:rPr>
                <w:sz w:val="20"/>
              </w:rPr>
              <w:t>Setting</w:t>
            </w:r>
          </w:p>
        </w:tc>
        <w:tc>
          <w:tcPr>
            <w:tcW w:w="4320" w:type="dxa"/>
          </w:tcPr>
          <w:p w14:paraId="0FE5AC2A" w14:textId="77777777" w:rsidR="00027F66" w:rsidRDefault="00000000">
            <w:pPr>
              <w:cnfStyle w:val="100000000000" w:firstRow="1" w:lastRow="0" w:firstColumn="0" w:lastColumn="0" w:oddVBand="0" w:evenVBand="0" w:oddHBand="0" w:evenHBand="0" w:firstRowFirstColumn="0" w:firstRowLastColumn="0" w:lastRowFirstColumn="0" w:lastRowLastColumn="0"/>
            </w:pPr>
            <w:r>
              <w:rPr>
                <w:sz w:val="20"/>
              </w:rPr>
              <w:t>What it is</w:t>
            </w:r>
          </w:p>
        </w:tc>
      </w:tr>
      <w:tr w:rsidR="00027F66" w14:paraId="329BBE53" w14:textId="77777777" w:rsidTr="00027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CE2791" w14:textId="77777777" w:rsidR="00027F66" w:rsidRDefault="00000000">
            <w:r>
              <w:rPr>
                <w:sz w:val="20"/>
              </w:rPr>
              <w:lastRenderedPageBreak/>
              <w:t>ANTHROPIC_API_KEY</w:t>
            </w:r>
          </w:p>
        </w:tc>
        <w:tc>
          <w:tcPr>
            <w:tcW w:w="4320" w:type="dxa"/>
          </w:tcPr>
          <w:p w14:paraId="59D09973" w14:textId="77777777" w:rsidR="00027F66" w:rsidRDefault="00000000">
            <w:pPr>
              <w:cnfStyle w:val="000000100000" w:firstRow="0" w:lastRow="0" w:firstColumn="0" w:lastColumn="0" w:oddVBand="0" w:evenVBand="0" w:oddHBand="1" w:evenHBand="0" w:firstRowFirstColumn="0" w:firstRowLastColumn="0" w:lastRowFirstColumn="0" w:lastRowLastColumn="0"/>
            </w:pPr>
            <w:r>
              <w:rPr>
                <w:sz w:val="20"/>
              </w:rPr>
              <w:t>Claude API key (whoever pays for the AI)</w:t>
            </w:r>
          </w:p>
        </w:tc>
      </w:tr>
      <w:tr w:rsidR="00027F66" w14:paraId="5C236603" w14:textId="77777777" w:rsidTr="00027F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13F0F" w14:textId="77777777" w:rsidR="00027F66" w:rsidRDefault="00000000">
            <w:r>
              <w:rPr>
                <w:sz w:val="20"/>
              </w:rPr>
              <w:t>APPS_SCRIPT_URL</w:t>
            </w:r>
          </w:p>
        </w:tc>
        <w:tc>
          <w:tcPr>
            <w:tcW w:w="4320" w:type="dxa"/>
          </w:tcPr>
          <w:p w14:paraId="2B3CF22D" w14:textId="77777777" w:rsidR="00027F66" w:rsidRDefault="00000000">
            <w:pPr>
              <w:cnfStyle w:val="000000010000" w:firstRow="0" w:lastRow="0" w:firstColumn="0" w:lastColumn="0" w:oddVBand="0" w:evenVBand="0" w:oddHBand="0" w:evenHBand="1" w:firstRowFirstColumn="0" w:firstRowLastColumn="0" w:lastRowFirstColumn="0" w:lastRowLastColumn="0"/>
            </w:pPr>
            <w:r>
              <w:rPr>
                <w:sz w:val="20"/>
              </w:rPr>
              <w:t>The /exec address from Appendix A</w:t>
            </w:r>
          </w:p>
        </w:tc>
      </w:tr>
      <w:tr w:rsidR="00027F66" w14:paraId="160E7A4D" w14:textId="77777777" w:rsidTr="00027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D6DBC" w14:textId="77777777" w:rsidR="00027F66" w:rsidRDefault="00000000">
            <w:r>
              <w:rPr>
                <w:sz w:val="20"/>
              </w:rPr>
              <w:t>APPS_SCRIPT_SECRET</w:t>
            </w:r>
          </w:p>
        </w:tc>
        <w:tc>
          <w:tcPr>
            <w:tcW w:w="4320" w:type="dxa"/>
          </w:tcPr>
          <w:p w14:paraId="7F37ADAB" w14:textId="77777777" w:rsidR="00027F66" w:rsidRDefault="00000000">
            <w:pPr>
              <w:cnfStyle w:val="000000100000" w:firstRow="0" w:lastRow="0" w:firstColumn="0" w:lastColumn="0" w:oddVBand="0" w:evenVBand="0" w:oddHBand="1" w:evenHBand="0" w:firstRowFirstColumn="0" w:firstRowLastColumn="0" w:lastRowFirstColumn="0" w:lastRowLastColumn="0"/>
            </w:pPr>
            <w:r>
              <w:rPr>
                <w:sz w:val="20"/>
              </w:rPr>
              <w:t>The new secret from Appendix A</w:t>
            </w:r>
          </w:p>
        </w:tc>
      </w:tr>
      <w:tr w:rsidR="00027F66" w14:paraId="218784DC" w14:textId="77777777" w:rsidTr="00027F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69525" w14:textId="77777777" w:rsidR="00027F66" w:rsidRDefault="00000000">
            <w:r>
              <w:rPr>
                <w:sz w:val="20"/>
              </w:rPr>
              <w:t>SESSION_SECRET</w:t>
            </w:r>
          </w:p>
        </w:tc>
        <w:tc>
          <w:tcPr>
            <w:tcW w:w="4320" w:type="dxa"/>
          </w:tcPr>
          <w:p w14:paraId="144476A0" w14:textId="77777777" w:rsidR="00027F66" w:rsidRDefault="00000000">
            <w:pPr>
              <w:cnfStyle w:val="000000010000" w:firstRow="0" w:lastRow="0" w:firstColumn="0" w:lastColumn="0" w:oddVBand="0" w:evenVBand="0" w:oddHBand="0" w:evenHBand="1" w:firstRowFirstColumn="0" w:firstRowLastColumn="0" w:lastRowFirstColumn="0" w:lastRowLastColumn="0"/>
            </w:pPr>
            <w:r>
              <w:rPr>
                <w:sz w:val="20"/>
              </w:rPr>
              <w:t>Random string that signs member login cookies</w:t>
            </w:r>
          </w:p>
        </w:tc>
      </w:tr>
      <w:tr w:rsidR="00027F66" w14:paraId="01FD135D" w14:textId="77777777" w:rsidTr="00027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00B041" w14:textId="77777777" w:rsidR="00027F66" w:rsidRDefault="00000000">
            <w:r>
              <w:rPr>
                <w:sz w:val="20"/>
              </w:rPr>
              <w:t>CLAUDE_MODEL</w:t>
            </w:r>
          </w:p>
        </w:tc>
        <w:tc>
          <w:tcPr>
            <w:tcW w:w="4320" w:type="dxa"/>
          </w:tcPr>
          <w:p w14:paraId="2076A0A1" w14:textId="77777777" w:rsidR="00027F66" w:rsidRDefault="00000000">
            <w:pPr>
              <w:cnfStyle w:val="000000100000" w:firstRow="0" w:lastRow="0" w:firstColumn="0" w:lastColumn="0" w:oddVBand="0" w:evenVBand="0" w:oddHBand="1" w:evenHBand="0" w:firstRowFirstColumn="0" w:firstRowLastColumn="0" w:lastRowFirstColumn="0" w:lastRowLastColumn="0"/>
            </w:pPr>
            <w:r>
              <w:rPr>
                <w:sz w:val="20"/>
              </w:rPr>
              <w:t>Optional; defaults to claude-sonnet-5</w:t>
            </w:r>
          </w:p>
        </w:tc>
      </w:tr>
      <w:tr w:rsidR="00027F66" w14:paraId="0D335364" w14:textId="77777777" w:rsidTr="00027F6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C8636" w14:textId="77777777" w:rsidR="00027F66" w:rsidRDefault="00000000">
            <w:r>
              <w:rPr>
                <w:sz w:val="20"/>
              </w:rPr>
              <w:t>NEXT_PUBLIC_SUBSTACK_URL</w:t>
            </w:r>
          </w:p>
        </w:tc>
        <w:tc>
          <w:tcPr>
            <w:tcW w:w="4320" w:type="dxa"/>
          </w:tcPr>
          <w:p w14:paraId="7B15C4FF" w14:textId="77777777" w:rsidR="00027F66" w:rsidRDefault="00000000">
            <w:pPr>
              <w:cnfStyle w:val="000000010000" w:firstRow="0" w:lastRow="0" w:firstColumn="0" w:lastColumn="0" w:oddVBand="0" w:evenVBand="0" w:oddHBand="0" w:evenHBand="1" w:firstRowFirstColumn="0" w:firstRowLastColumn="0" w:lastRowFirstColumn="0" w:lastRowLastColumn="0"/>
            </w:pPr>
            <w:r>
              <w:rPr>
                <w:sz w:val="20"/>
              </w:rPr>
              <w:t>Optional; the Substack address once it exists</w:t>
            </w:r>
          </w:p>
        </w:tc>
      </w:tr>
    </w:tbl>
    <w:p w14:paraId="0512D443" w14:textId="77777777" w:rsidR="008979DC" w:rsidRDefault="008979DC"/>
    <w:sectPr w:rsidR="008979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590111">
    <w:abstractNumId w:val="8"/>
  </w:num>
  <w:num w:numId="2" w16cid:durableId="1534878390">
    <w:abstractNumId w:val="6"/>
  </w:num>
  <w:num w:numId="3" w16cid:durableId="1132021269">
    <w:abstractNumId w:val="5"/>
  </w:num>
  <w:num w:numId="4" w16cid:durableId="1873836257">
    <w:abstractNumId w:val="4"/>
  </w:num>
  <w:num w:numId="5" w16cid:durableId="1094742986">
    <w:abstractNumId w:val="7"/>
  </w:num>
  <w:num w:numId="6" w16cid:durableId="1031615246">
    <w:abstractNumId w:val="3"/>
  </w:num>
  <w:num w:numId="7" w16cid:durableId="155465361">
    <w:abstractNumId w:val="2"/>
  </w:num>
  <w:num w:numId="8" w16cid:durableId="287706281">
    <w:abstractNumId w:val="1"/>
  </w:num>
  <w:num w:numId="9" w16cid:durableId="19145040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66"/>
    <w:rsid w:val="00034616"/>
    <w:rsid w:val="0006063C"/>
    <w:rsid w:val="0015074B"/>
    <w:rsid w:val="00184B40"/>
    <w:rsid w:val="0029639D"/>
    <w:rsid w:val="00326F90"/>
    <w:rsid w:val="005C0967"/>
    <w:rsid w:val="008979DC"/>
    <w:rsid w:val="009C52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5F456"/>
  <w14:defaultImageDpi w14:val="300"/>
  <w15:docId w15:val="{F27B0B89-BE21-DF45-AB58-9EE4328D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Mark J</cp:lastModifiedBy>
  <cp:revision>3</cp:revision>
  <dcterms:created xsi:type="dcterms:W3CDTF">2013-12-23T23:15:00Z</dcterms:created>
  <dcterms:modified xsi:type="dcterms:W3CDTF">2026-08-03T16:38:00Z</dcterms:modified>
  <cp:category/>
</cp:coreProperties>
</file>