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UNITED STATES DISTRICT COURT</w:t>
        <w:br/>
        <w:t>NORTHERN DISTRICT OF CALIFORNIA</w:t>
      </w:r>
    </w:p>
    <w:p/>
    <w:p>
      <w:r>
        <w:rPr>
          <w:b/>
        </w:rPr>
        <w:t>MARIA SANTOS, Plaintiff,</w:t>
        <w:br/>
        <w:t>v.</w:t>
        <w:br/>
        <w:t>ACME TECHNOLOGY CORPORATION, Defendant.</w:t>
      </w:r>
      <w:r>
        <w:br/>
        <w:br/>
        <w:t>Case No. 3:23-cv-05678-JST</w:t>
      </w:r>
      <w:r>
        <w:br/>
        <w:br/>
        <w:t>PLAINTIFF'S OPPOSITION TO DEFENDANT'S MOTION FOR SUMMARY JUDGMENT</w:t>
      </w:r>
    </w:p>
    <w:p>
      <w:r>
        <w:t>__________________________________________________</w:t>
      </w:r>
    </w:p>
    <w:p/>
    <w:p>
      <w:pPr>
        <w:jc w:val="center"/>
      </w:pPr>
      <w:r>
        <w:rPr>
          <w:b/>
        </w:rPr>
        <w:t>I. INTRODUCTION</w:t>
      </w:r>
    </w:p>
    <w:p>
      <w:pPr>
        <w:spacing w:line="480" w:lineRule="auto"/>
        <w:ind w:firstLine="720"/>
      </w:pPr>
      <w:r>
        <w:t>Plaintiff Maria Santos respectfully submits this Opposition to Defendant Acme Technology Corporation's Motion for Summary Judgment. The evidence in this case creates genuine disputes of material fact that must be resolved by a jury, not on summary judgment.</w:t>
      </w:r>
    </w:p>
    <w:p>
      <w:pPr>
        <w:spacing w:line="480" w:lineRule="auto"/>
        <w:ind w:firstLine="720"/>
      </w:pPr>
      <w:r>
        <w:t>Plaintiff, a 52-year-old Latina woman, was terminated from her position as Senior Software Engineer after 12 years of exemplary performance, just months after complaining to Human Resources about discriminatory comments made by her supervisor. Defendant claims the termination was part of a 'reduction in force,' but the evidence shows that Plaintiff was the only senior engineer terminated while younger, less experienced engineers were retained. These facts present classic circumstantial evidence of both age and national origin discrimination under Title VII and the ADEA.</w:t>
      </w:r>
    </w:p>
    <w:p/>
    <w:p>
      <w:pPr>
        <w:jc w:val="center"/>
      </w:pPr>
      <w:r>
        <w:rPr>
          <w:b/>
        </w:rPr>
        <w:t>II. STATEMENT OF FACTS</w:t>
      </w:r>
    </w:p>
    <w:p>
      <w:pPr>
        <w:spacing w:line="480" w:lineRule="auto"/>
        <w:ind w:firstLine="720"/>
      </w:pPr>
      <w:r>
        <w:t>Maria Santos began working at Acme Technology Corporation in January 2011 as a Software Engineer. Santos Decl. ¶ 3. Over her 12-year tenure, she received consistently positive performance reviews, with ratings of 'Exceeds Expectations' or 'Outstanding' every year from 2011 through 2022. Santos Decl. ¶ 5; Ex. A (Performance Reviews).</w:t>
      </w:r>
    </w:p>
    <w:p>
      <w:pPr>
        <w:spacing w:line="480" w:lineRule="auto"/>
        <w:ind w:firstLine="720"/>
      </w:pPr>
      <w:r>
        <w:t>In 2019, Plaintiff was promoted to Senior Software Engineer, a position she held until her termination. Santos Decl. ¶ 7. Her 2022 performance review, completed just three months before her termination, stated that she was 'a valuable team member whose technical expertise and mentorship have been invaluable to the department.' Ex. A at 45.</w:t>
      </w:r>
    </w:p>
    <w:p>
      <w:pPr>
        <w:spacing w:line="480" w:lineRule="auto"/>
        <w:ind w:firstLine="720"/>
      </w:pPr>
      <w:r>
        <w:t>In September 2022, Defendant hired Michael Thompson as Plaintiff's new direct supervisor. Thompson Depo. at 34:5-10. Within weeks of his arrival, Thompson began making comments about Plaintiff's age and national origin. On multiple occasions, he referred to Plaintiff as 'the old guard' and questioned whether she could 'keep up with the younger engineers.' Santos Decl. ¶ 12; Martinez Decl. ¶ 8 (co-worker corroborating statements).</w:t>
      </w:r>
    </w:p>
    <w:p>
      <w:pPr>
        <w:spacing w:line="480" w:lineRule="auto"/>
        <w:ind w:firstLine="720"/>
      </w:pPr>
      <w:r>
        <w:t>Thompson also made comments about Plaintiff's accent, stating in a team meeting that 'maybe if people spoke clearer English, we wouldn't have so many bugs in our code.' Santos Decl. ¶ 14; Martinez Decl. ¶ 10. Plaintiff reported these comments to Human Resources in October 2022. Santos Decl. ¶ 16; Ex. B (HR Complaint).</w:t>
      </w:r>
    </w:p>
    <w:p>
      <w:pPr>
        <w:spacing w:line="480" w:lineRule="auto"/>
        <w:ind w:firstLine="720"/>
      </w:pPr>
      <w:r>
        <w:t>On January 15, 2023, Plaintiff was informed that her position was being eliminated as part of a 'reduction in force.' Santos Decl. ¶ 20. However, the evidence shows that Plaintiff was the only senior engineer terminated. Three junior engineers hired within the previous two years—all under age 35—were retained. Ex. C (Termination Records); Ex. D (Employee Roster). Moreover, Defendant hired two new software engineers within 60 days of Plaintiff's termination. Ex. E (Hiring Records).</w:t>
      </w:r>
    </w:p>
    <w:p/>
    <w:p>
      <w:pPr>
        <w:jc w:val="center"/>
      </w:pPr>
      <w:r>
        <w:rPr>
          <w:b/>
        </w:rPr>
        <w:t>III. LEGAL STANDARD</w:t>
      </w:r>
    </w:p>
    <w:p>
      <w:pPr>
        <w:spacing w:line="480" w:lineRule="auto"/>
        <w:ind w:firstLine="720"/>
      </w:pPr>
      <w:r>
        <w:t>Summary judgment is appropriate only where 'there is no genuine dispute as to any material fact and the movant is entitled to judgment as a matter of law.' Fed. R. Civ. P. 56(a). The Court must view the evidence in the light most favorable to the nonmoving party and draw all reasonable inferences in her favor. Scott v. Harris, 550 U.S. 372, 378 (2007).</w:t>
      </w:r>
    </w:p>
    <w:p>
      <w:pPr>
        <w:spacing w:line="480" w:lineRule="auto"/>
        <w:ind w:firstLine="720"/>
      </w:pPr>
      <w:r>
        <w:t>In employment discrimination cases, 'courts should exercise particular caution before granting summary judgment, because the ultimate question is one that can only be resolved through a searching inquiry—one that is most appropriately conducted by a factfinder, upon a full record.' Schnidrig v. Columbia Mach., Inc., 80 F.3d 1406, 1410 (9th Cir. 1996).</w:t>
      </w:r>
    </w:p>
    <w:p>
      <w:pPr>
        <w:spacing w:line="480" w:lineRule="auto"/>
        <w:ind w:firstLine="720"/>
      </w:pPr>
      <w:r>
        <w:t>Under the burden-shifting framework of McDonnell Douglas Corp. v. Green, 411 U.S. 792 (1973), once a plaintiff establishes a prima facie case of discrimination, the burden shifts to the defendant to articulate a legitimate, non-discriminatory reason for the adverse action. If the defendant does so, the burden shifts back to the plaintiff to show that the stated reason is pretextual. Villiarimo v. Aloha Island Air, Inc., 281 F.3d 1054, 1062 (9th Cir. 2002).</w:t>
      </w:r>
    </w:p>
    <w:p/>
    <w:p>
      <w:pPr>
        <w:jc w:val="center"/>
      </w:pPr>
      <w:r>
        <w:rPr>
          <w:b/>
        </w:rPr>
        <w:t>IV. ARGUMENT</w:t>
      </w:r>
    </w:p>
    <w:p>
      <w:pPr>
        <w:spacing w:line="480" w:lineRule="auto"/>
        <w:ind w:firstLine="720"/>
      </w:pPr>
      <w:r>
        <w:t>A. Plaintiff Has Established a Prima Facie Case of Discrimination</w:t>
      </w:r>
    </w:p>
    <w:p>
      <w:pPr>
        <w:spacing w:line="480" w:lineRule="auto"/>
        <w:ind w:firstLine="720"/>
      </w:pPr>
      <w:r>
        <w:t>To establish a prima facie case of discrimination, Plaintiff must show: (1) she belongs to a protected class; (2) she was performing her job satisfactorily; (3) she suffered an adverse employment action; and (4) similarly situated employees outside her protected class were treated more favorably. Hawn v. Exec. Jet Mgmt., Inc., 615 F.3d 1151, 1156 (9th Cir. 2010).</w:t>
      </w:r>
    </w:p>
    <w:p>
      <w:pPr>
        <w:spacing w:line="480" w:lineRule="auto"/>
        <w:ind w:firstLine="720"/>
      </w:pPr>
      <w:r>
        <w:t>Each element is satisfied here. Plaintiff, a 52-year-old Latina woman, belongs to protected classes under both Title VII (national origin) and the ADEA (age over 40). Her consistent 'Exceeds Expectations' and 'Outstanding' performance ratings establish satisfactory job performance. Her termination is clearly an adverse employment action. And the retention of younger, less experienced engineers while Plaintiff was terminated satisfies the fourth element.</w:t>
      </w:r>
    </w:p>
    <w:p>
      <w:pPr>
        <w:spacing w:line="480" w:lineRule="auto"/>
        <w:ind w:firstLine="720"/>
      </w:pPr>
      <w:r>
        <w:t>B. Defendant's Stated Reason Is Pretextual</w:t>
      </w:r>
    </w:p>
    <w:p>
      <w:pPr>
        <w:spacing w:line="480" w:lineRule="auto"/>
        <w:ind w:firstLine="720"/>
      </w:pPr>
      <w:r>
        <w:t>Defendant claims Plaintiff was terminated as part of a legitimate reduction in force. However, pretext can be shown through evidence that the employer's explanation is 'unworthy of credence' or that 'a discriminatory reason more likely motivated the employer.' Texas Dep't of Cmty. Affairs v. Burdine, 450 U.S. 248, 256 (1981).</w:t>
      </w:r>
    </w:p>
    <w:p>
      <w:pPr>
        <w:spacing w:line="480" w:lineRule="auto"/>
        <w:ind w:firstLine="720"/>
      </w:pPr>
      <w:r>
        <w:t>Multiple facts support a finding of pretext here. First, the temporal proximity between Plaintiff's HR complaint in October 2022 and her termination in January 2023 supports an inference of retaliation. See Yartzoff v. Thomas, 809 F.2d 1371, 1376 (9th Cir. 1987) (proximity in time can support inference of causation).</w:t>
      </w:r>
    </w:p>
    <w:p>
      <w:pPr>
        <w:spacing w:line="480" w:lineRule="auto"/>
        <w:ind w:firstLine="720"/>
      </w:pPr>
      <w:r>
        <w:t>Second, Defendant's claim of a 'reduction in force' is undermined by the fact that it hired two new software engineers within 60 days of Plaintiff's termination. See Nidds v. Schindler Elevator Corp., 113 F.3d 912, 918 (9th Cir. 1997) (hiring after RIF supports inference of pretext).</w:t>
      </w:r>
    </w:p>
    <w:p>
      <w:pPr>
        <w:spacing w:line="480" w:lineRule="auto"/>
        <w:ind w:firstLine="720"/>
      </w:pPr>
      <w:r>
        <w:t>Third, Thompson's documented discriminatory comments—calling Plaintiff 'the old guard,' questioning whether she could 'keep up with younger engineers,' and making derogatory comments about her accent—constitute direct evidence of discriminatory animus. See Godwin v. Hunt Wesson, Inc., 150 F.3d 1217, 1221 (9th Cir. 1998) (discriminatory statements by decisionmakers are probative of discriminatory intent).</w:t>
      </w:r>
    </w:p>
    <w:p>
      <w:pPr>
        <w:spacing w:line="480" w:lineRule="auto"/>
        <w:ind w:firstLine="720"/>
      </w:pPr>
      <w:r>
        <w:t>Fourth, the fact that Plaintiff was the only senior engineer terminated while less experienced, younger engineers were retained raises a strong inference of discrimination. See Reeves v. Sanderson Plumbing Prods., Inc., 530 U.S. 133, 147 (2000) (comparative evidence is relevant to showing pretext).</w:t>
      </w:r>
    </w:p>
    <w:p/>
    <w:p>
      <w:pPr>
        <w:jc w:val="center"/>
      </w:pPr>
      <w:r>
        <w:rPr>
          <w:b/>
        </w:rPr>
        <w:t>V. CONCLUSION</w:t>
      </w:r>
    </w:p>
    <w:p>
      <w:pPr>
        <w:spacing w:line="480" w:lineRule="auto"/>
        <w:ind w:firstLine="720"/>
      </w:pPr>
      <w:r>
        <w:t>The evidence creates genuine disputes of material fact regarding whether Defendant's stated reason for Plaintiff's termination was pretextual and whether discriminatory animus motivated the decision. These disputes must be resolved by a jury.</w:t>
      </w:r>
    </w:p>
    <w:p>
      <w:pPr>
        <w:spacing w:line="480" w:lineRule="auto"/>
        <w:ind w:firstLine="720"/>
      </w:pPr>
      <w:r>
        <w:t>For the foregoing reasons, Plaintiff respectfully requests that this Court deny Defendant's Motion for Summary Judgment.</w:t>
      </w:r>
    </w:p>
    <w:p>
      <w:pPr>
        <w:spacing w:line="480" w:lineRule="auto"/>
        <w:ind w:firstLine="720"/>
      </w:pPr>
      <w:r>
        <w:t>DATED: March 1, 2024</w:t>
      </w:r>
    </w:p>
    <w:p>
      <w:pPr>
        <w:spacing w:line="480" w:lineRule="auto"/>
        <w:ind w:firstLine="720"/>
      </w:pPr>
      <w:r>
        <w:t>Respectfully submitted,</w:t>
        <w:br/>
        <w:br/>
        <w:t>JOHNSON &amp; PARK LLP</w:t>
        <w:br/>
        <w:br/>
        <w:t>/s/ David Park</w:t>
        <w:br/>
        <w:t>David Park (SBN 234567)</w:t>
        <w:br/>
        <w:t>Counsel for Plaintiff Maria Santos</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