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UNITED STATES DISTRICT COURT</w:t>
        <w:br/>
        <w:t>NORTHERN DISTRICT OF CALIFORNIA</w:t>
      </w:r>
    </w:p>
    <w:p/>
    <w:p>
      <w:r>
        <w:rPr>
          <w:b/>
        </w:rPr>
        <w:t>NEXGEN PHARMACEUTICALS, INC., Plaintiff,</w:t>
        <w:br/>
        <w:t>v.</w:t>
        <w:br/>
        <w:t>DR. JAMES CHEN and BIOTECH SOLUTIONS LLC, Defendants.</w:t>
      </w:r>
      <w:r>
        <w:br/>
        <w:br/>
        <w:t>Case No. 3:24-cv-02468-EMC</w:t>
      </w:r>
      <w:r>
        <w:br/>
        <w:br/>
        <w:t>PLAINTIFF'S MOTION FOR PRELIMINARY INJUNCTION</w:t>
      </w:r>
    </w:p>
    <w:p>
      <w:r>
        <w:t>__________________________________________________</w:t>
      </w:r>
    </w:p>
    <w:p/>
    <w:p>
      <w:pPr>
        <w:jc w:val="center"/>
      </w:pPr>
      <w:r>
        <w:rPr>
          <w:b/>
        </w:rPr>
        <w:t>I. INTRODUCTION</w:t>
      </w:r>
    </w:p>
    <w:p>
      <w:pPr>
        <w:spacing w:line="480" w:lineRule="auto"/>
        <w:ind w:firstLine="720"/>
      </w:pPr>
      <w:r>
        <w:t>Plaintiff NexGen Pharmaceuticals, Inc. moves for a preliminary injunction to prevent Defendants Dr. James Chen and BioTech Solutions LLC from using, disclosing, or otherwise exploiting NexGen's trade secrets and confidential information. Dr. Chen, NexGen's former Director of Research, left NexGen to join competitor BioTech Solutions, taking with him proprietary research data, formulations, and clinical trial results that NexGen spent over $50 million and five years developing.</w:t>
      </w:r>
    </w:p>
    <w:p>
      <w:pPr>
        <w:spacing w:line="480" w:lineRule="auto"/>
        <w:ind w:firstLine="720"/>
      </w:pPr>
      <w:r>
        <w:t>Without immediate injunctive relief, NexGen will suffer irreparable harm as Defendants exploit NexGen's trade secrets to bring a competing drug to market, destroying NexGen's competitive advantage and causing harm that cannot be remedied by monetary damages alone.</w:t>
      </w:r>
    </w:p>
    <w:p/>
    <w:p>
      <w:pPr>
        <w:jc w:val="center"/>
      </w:pPr>
      <w:r>
        <w:rPr>
          <w:b/>
        </w:rPr>
        <w:t>II. STATEMENT OF FACTS</w:t>
      </w:r>
    </w:p>
    <w:p>
      <w:pPr>
        <w:spacing w:line="480" w:lineRule="auto"/>
        <w:ind w:firstLine="720"/>
      </w:pPr>
      <w:r>
        <w:t>NexGen Pharmaceuticals is a biopharmaceutical company specializing in novel cancer treatments. Declaration of CEO Robert Martinez ("Martinez Decl.") ¶ 3. Since 2019, NexGen has invested over $50 million in developing NGX-401, a groundbreaking immunotherapy treatment for non-small cell lung cancer. Martinez Decl. ¶ 5.</w:t>
      </w:r>
    </w:p>
    <w:p>
      <w:pPr>
        <w:spacing w:line="480" w:lineRule="auto"/>
        <w:ind w:firstLine="720"/>
      </w:pPr>
      <w:r>
        <w:t>Dr. James Chen joined NexGen in 2020 as Director of Research, overseeing the NGX-401 development program. Martinez Decl. ¶ 8. As a condition of his employment, Dr. Chen signed a Confidentiality and Non-Disclosure Agreement ("NDA") prohibiting disclosure of NexGen's confidential information and trade secrets. Ex. A (NDA). He also signed an agreement assigning all inventions to NexGen. Ex. B (Invention Assignment Agreement).</w:t>
      </w:r>
    </w:p>
    <w:p>
      <w:pPr>
        <w:spacing w:line="480" w:lineRule="auto"/>
        <w:ind w:firstLine="720"/>
      </w:pPr>
      <w:r>
        <w:t>During his tenure, Dr. Chen had access to NexGen's most sensitive trade secrets, including: (1) the proprietary formulation of NGX-401; (2) clinical trial protocols and results; (3) manufacturing processes; and (4) regulatory submission strategies. Martinez Decl. ¶ 12.</w:t>
      </w:r>
    </w:p>
    <w:p>
      <w:pPr>
        <w:spacing w:line="480" w:lineRule="auto"/>
        <w:ind w:firstLine="720"/>
      </w:pPr>
      <w:r>
        <w:t>On August 1, 2024, Dr. Chen abruptly resigned from NexGen. Martinez Decl. ¶ 15. Two days later, BioTech Solutions announced that Dr. Chen had joined as their Chief Scientific Officer and that the company was 'accelerating development of a novel immunotherapy for lung cancer.' Ex. C (BioTech Press Release).</w:t>
      </w:r>
    </w:p>
    <w:p>
      <w:pPr>
        <w:spacing w:line="480" w:lineRule="auto"/>
        <w:ind w:firstLine="720"/>
      </w:pPr>
      <w:r>
        <w:t>Forensic analysis of Dr. Chen's NexGen-issued laptop revealed that in the two weeks before his resignation, he copied over 10,000 files to an external hard drive, including the complete NGX-401 formulation data, clinical trial results, and regulatory submission drafts. Declaration of IT Director Sarah Kim ("Kim Decl.") ¶¶ 8-12; Ex. D (Forensic Report).</w:t>
      </w:r>
    </w:p>
    <w:p/>
    <w:p>
      <w:pPr>
        <w:jc w:val="center"/>
      </w:pPr>
      <w:r>
        <w:rPr>
          <w:b/>
        </w:rPr>
        <w:t>III. LEGAL STANDARD</w:t>
      </w:r>
    </w:p>
    <w:p>
      <w:pPr>
        <w:spacing w:line="480" w:lineRule="auto"/>
        <w:ind w:firstLine="720"/>
      </w:pPr>
      <w:r>
        <w:t>To obtain a preliminary injunction, the moving party must establish: (1) likelihood of success on the merits; (2) likelihood of irreparable harm in the absence of preliminary relief; (3) that the balance of equities tips in the movant's favor; and (4) that an injunction is in the public interest. Winter v. Natural Res. Def. Council, Inc., 555 U.S. 7, 20 (2008).</w:t>
      </w:r>
    </w:p>
    <w:p>
      <w:pPr>
        <w:spacing w:line="480" w:lineRule="auto"/>
        <w:ind w:firstLine="720"/>
      </w:pPr>
      <w:r>
        <w:t>In the Ninth Circuit, courts apply a 'sliding scale' approach, under which 'serious questions going to the merits and a balance of hardships that tips sharply towards the plaintiff can support issuance of a preliminary injunction, so long as the plaintiff also shows that there is a likelihood of irreparable injury and that the injunction is in the public interest.' Alliance for the Wild Rockies v. Cottrell, 632 F.3d 1127, 1135 (9th Cir. 2011).</w:t>
      </w:r>
    </w:p>
    <w:p>
      <w:pPr>
        <w:spacing w:line="480" w:lineRule="auto"/>
        <w:ind w:firstLine="720"/>
      </w:pPr>
      <w:r>
        <w:t>Preliminary injunctions are 'an extraordinary remedy that may only be awarded upon a clear showing that the plaintiff is entitled to such relief.' Winter, 555 U.S. at 22.</w:t>
      </w:r>
    </w:p>
    <w:p/>
    <w:p>
      <w:pPr>
        <w:jc w:val="center"/>
      </w:pPr>
      <w:r>
        <w:rPr>
          <w:b/>
        </w:rPr>
        <w:t>IV. ARGUMENT</w:t>
      </w:r>
    </w:p>
    <w:p>
      <w:pPr>
        <w:spacing w:line="480" w:lineRule="auto"/>
        <w:ind w:firstLine="720"/>
      </w:pPr>
      <w:r>
        <w:t>A. NexGen Is Likely to Succeed on the Merits of Its Trade Secret Claims</w:t>
      </w:r>
    </w:p>
    <w:p>
      <w:pPr>
        <w:spacing w:line="480" w:lineRule="auto"/>
        <w:ind w:firstLine="720"/>
      </w:pPr>
      <w:r>
        <w:t>Under the Defend Trade Secrets Act ("DTSA"), 18 U.S.C. § 1836, a plaintiff must show: (1) the existence of a trade secret; (2) misappropriation of the trade secret; and (3) the trade secret was used in interstate commerce. InteliClear, LLC v. ETC Global Holdings, Inc., 978 F.3d 653, 657-58 (9th Cir. 2020).</w:t>
      </w:r>
    </w:p>
    <w:p>
      <w:pPr>
        <w:spacing w:line="480" w:lineRule="auto"/>
        <w:ind w:firstLine="720"/>
      </w:pPr>
      <w:r>
        <w:t>NexGen's NGX-401 formulation, clinical data, and manufacturing processes constitute trade secrets under the DTSA. Trade secret protection extends to information that: (1) derives independent economic value from not being generally known; and (2) is subject to reasonable efforts to maintain its secrecy. 18 U.S.C. § 1839(3). NexGen's $50 million investment and five years of research demonstrate the substantial independent value of this information. Martinez Decl. ¶ 20. NexGen maintained secrecy through NDAs, access controls, and security protocols. Kim Decl. ¶¶ 15-18.</w:t>
      </w:r>
    </w:p>
    <w:p>
      <w:pPr>
        <w:spacing w:line="480" w:lineRule="auto"/>
        <w:ind w:firstLine="720"/>
      </w:pPr>
      <w:r>
        <w:t>The evidence of misappropriation is overwhelming. Dr. Chen copied 10,000 confidential files to an external drive immediately before joining a direct competitor—the very definition of misappropriation under 18 U.S.C. § 1839(5). See Waymo LLC v. Uber Techs., Inc., 870 F.3d 1350, 1361 (Fed. Cir. 2017) (downloading files before departure supports misappropriation claim).</w:t>
      </w:r>
    </w:p>
    <w:p>
      <w:pPr>
        <w:spacing w:line="480" w:lineRule="auto"/>
        <w:ind w:firstLine="720"/>
      </w:pPr>
      <w:r>
        <w:t>B. NexGen Will Suffer Irreparable Harm Absent an Injunction</w:t>
      </w:r>
    </w:p>
    <w:p>
      <w:pPr>
        <w:spacing w:line="480" w:lineRule="auto"/>
        <w:ind w:firstLine="720"/>
      </w:pPr>
      <w:r>
        <w:t>Trade secret misappropriation 'typically results in irreparable harm' because 'trade secrets, once exposed, are gone forever.' Faiveley Transp. Malmo AB v. Wabtec Corp., 559 F.3d 110, 118 (2d Cir. 2009); see also Apple Inc. v. Samsung Elecs. Co., 735 F.3d 1352, 1360 (Fed. Cir. 2013) (loss of competitive advantage constitutes irreparable harm).</w:t>
      </w:r>
    </w:p>
    <w:p>
      <w:pPr>
        <w:spacing w:line="480" w:lineRule="auto"/>
        <w:ind w:firstLine="720"/>
      </w:pPr>
      <w:r>
        <w:t>If Defendants are permitted to use NexGen's trade secrets, NexGen will lose its first-mover advantage in the lung cancer immunotherapy market, a loss that cannot be quantified or remedied through damages. Martinez Decl. ¶ 25. Moreover, once the trade secrets are disclosed or used, they lose their protected status permanently. Id. ¶ 26.</w:t>
      </w:r>
    </w:p>
    <w:p>
      <w:pPr>
        <w:spacing w:line="480" w:lineRule="auto"/>
        <w:ind w:firstLine="720"/>
      </w:pPr>
      <w:r>
        <w:t>C. The Balance of Equities Favors NexGen</w:t>
      </w:r>
    </w:p>
    <w:p>
      <w:pPr>
        <w:spacing w:line="480" w:lineRule="auto"/>
        <w:ind w:firstLine="720"/>
      </w:pPr>
      <w:r>
        <w:t>The balance of equities strongly favors NexGen. NexGen seeks only to protect information it developed through years of research and tens of millions of dollars in investment. Defendants, by contrast, seek to profit from information they acquired through breach of contract and breach of duty.</w:t>
      </w:r>
    </w:p>
    <w:p>
      <w:pPr>
        <w:spacing w:line="480" w:lineRule="auto"/>
        <w:ind w:firstLine="720"/>
      </w:pPr>
      <w:r>
        <w:t>An injunction will not prevent Defendants from competing—it will only prevent them from competing unfairly using NexGen's stolen trade secrets. See FTC v. Actavis, Inc., 570 U.S. 136, 153 (2013) (legitimate competition is encouraged; unfair competition is not).</w:t>
      </w:r>
    </w:p>
    <w:p>
      <w:pPr>
        <w:spacing w:line="480" w:lineRule="auto"/>
        <w:ind w:firstLine="720"/>
      </w:pPr>
      <w:r>
        <w:t>D. An Injunction Serves the Public Interest</w:t>
      </w:r>
    </w:p>
    <w:p>
      <w:pPr>
        <w:spacing w:line="480" w:lineRule="auto"/>
        <w:ind w:firstLine="720"/>
      </w:pPr>
      <w:r>
        <w:t>The public interest favors protecting trade secrets and enforcing confidentiality agreements. Ruckelshaus v. Monsanto Co., 467 U.S. 986, 1012 (1984) (trade secret protection serves important public interests). Permitting the misappropriation of trade secrets undermines incentives for innovation and investment in research and development.</w:t>
      </w:r>
    </w:p>
    <w:p/>
    <w:p>
      <w:pPr>
        <w:jc w:val="center"/>
      </w:pPr>
      <w:r>
        <w:rPr>
          <w:b/>
        </w:rPr>
        <w:t>V. CONCLUSION</w:t>
      </w:r>
    </w:p>
    <w:p>
      <w:pPr>
        <w:spacing w:line="480" w:lineRule="auto"/>
        <w:ind w:firstLine="720"/>
      </w:pPr>
      <w:r>
        <w:t>For the foregoing reasons, NexGen respectfully requests that this Court enter a preliminary injunction: (1) prohibiting Defendants from using, disclosing, or otherwise exploiting any NexGen trade secrets or confidential information; (2) requiring Defendants to return all NexGen materials in their possession; and (3) prohibiting Dr. Chen from working on any lung cancer immunotherapy projects at BioTech Solutions for the duration of this litigation.</w:t>
      </w:r>
    </w:p>
    <w:p>
      <w:pPr>
        <w:spacing w:line="480" w:lineRule="auto"/>
        <w:ind w:firstLine="720"/>
      </w:pPr>
      <w:r>
        <w:t>DATED: September 15, 2024</w:t>
      </w:r>
    </w:p>
    <w:p>
      <w:pPr>
        <w:spacing w:line="480" w:lineRule="auto"/>
        <w:ind w:firstLine="720"/>
      </w:pPr>
      <w:r>
        <w:t>Respectfully submitted,</w:t>
        <w:br/>
        <w:br/>
        <w:t>MORGAN LEWIS LLP</w:t>
        <w:br/>
        <w:br/>
        <w:t>/s/ Jennifer Adams</w:t>
        <w:br/>
        <w:t>Jennifer Adams (SBN 345678)</w:t>
        <w:br/>
        <w:t>Counsel for Plaintiff NexGen Pharmaceuticals, Inc.</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