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90f4529fd32e8533d38430ad207f1e026db902c"/>
    <w:p>
      <w:pPr>
        <w:pStyle w:val="Heading1"/>
      </w:pPr>
      <w:r>
        <w:t xml:space="preserve">Convention de mise à disposition d’emplacement — automate en libre-service</w:t>
      </w:r>
    </w:p>
    <w:p>
      <w:pPr>
        <w:pStyle w:val="BlockText"/>
      </w:pPr>
      <w:r>
        <w:rPr>
          <w:bCs/>
          <w:b/>
        </w:rPr>
        <w:t xml:space="preserve">PROJET — version 0.1 du 28/10/2026 — NON VALIDÉ JURIDIQUEMENT.</w:t>
      </w:r>
      <w:r>
        <w:t xml:space="preserve"> </w:t>
      </w:r>
      <w:r>
        <w:t xml:space="preserve">À faire relire par un avocat luxembourgeois avant toute signature.</w:t>
      </w:r>
      <w:r>
        <w:t xml:space="preserve"> </w:t>
      </w:r>
      <w:r>
        <w:rPr>
          <w:bCs/>
          <w:b/>
        </w:rPr>
        <w:t xml:space="preserve">Point juridique majeur [À VÉRIFIER]</w:t>
      </w:r>
      <w:r>
        <w:t xml:space="preserve"> </w:t>
      </w:r>
      <w:r>
        <w:t xml:space="preserve">: selon sa rédaction et son exécution, cette convention</w:t>
      </w:r>
      <w:r>
        <w:t xml:space="preserve"> </w:t>
      </w:r>
      <w:r>
        <w:t xml:space="preserve">pourrait être requalifiée en</w:t>
      </w:r>
      <w:r>
        <w:t xml:space="preserve"> </w:t>
      </w:r>
      <w:r>
        <w:rPr>
          <w:bCs/>
          <w:b/>
        </w:rPr>
        <w:t xml:space="preserve">bail commercial</w:t>
      </w:r>
      <w:r>
        <w:t xml:space="preserve"> </w:t>
      </w:r>
      <w:r>
        <w:t xml:space="preserve">(loi luxembourgeoise du 3 février 2018), avec</w:t>
      </w:r>
      <w:r>
        <w:t xml:space="preserve"> </w:t>
      </w:r>
      <w:r>
        <w:t xml:space="preserve">des règles impératives sur la durée, le renouvellement et la résiliation. Le juriste doit</w:t>
      </w:r>
      <w:r>
        <w:t xml:space="preserve"> </w:t>
      </w:r>
      <w:r>
        <w:t xml:space="preserve">confirmer la qualification et adapter le texte.</w:t>
      </w:r>
      <w:r>
        <w:t xml:space="preserve"> </w:t>
      </w:r>
      <w:r>
        <w:t xml:space="preserve">Remplacer chaque</w:t>
      </w:r>
      <w:r>
        <w:t xml:space="preserve"> </w:t>
      </w:r>
      <w:r>
        <w:rPr>
          <w:rStyle w:val="VerbatimChar"/>
        </w:rPr>
        <w:t xml:space="preserve">[…]</w:t>
      </w:r>
      <w:r>
        <w:t xml:space="preserve"> </w:t>
      </w:r>
      <w:r>
        <w:t xml:space="preserve">et choisir</w:t>
      </w:r>
      <w:r>
        <w:t xml:space="preserve"> </w:t>
      </w:r>
      <w:r>
        <w:rPr>
          <w:bCs/>
          <w:b/>
        </w:rPr>
        <w:t xml:space="preserve">une seule</w:t>
      </w:r>
      <w:r>
        <w:t xml:space="preserve"> </w:t>
      </w:r>
      <w:r>
        <w:t xml:space="preserve">option là où plusieurs sont proposées.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Entre</w:t>
      </w:r>
    </w:p>
    <w:p>
      <w:pPr>
        <w:pStyle w:val="BodyText"/>
      </w:pPr>
      <w:r>
        <w:rPr>
          <w:bCs/>
          <w:b/>
        </w:rPr>
        <w:t xml:space="preserve">[Raison sociale du propriétaire / exploitant du site]</w:t>
      </w:r>
      <w:r>
        <w:t xml:space="preserve">, [forme juridique], [adresse du siège],</w:t>
      </w:r>
      <w:r>
        <w:t xml:space="preserve"> </w:t>
      </w:r>
      <w:r>
        <w:t xml:space="preserve">RCS Luxembourg n° [à compléter], représentée par [nom, fonction], ci-après le</w:t>
      </w:r>
      <w:r>
        <w:t xml:space="preserve"> </w:t>
      </w:r>
      <w:r>
        <w:rPr>
          <w:bCs/>
          <w:b/>
        </w:rPr>
        <w:t xml:space="preserve">« Propriétaire »</w:t>
      </w:r>
      <w:r>
        <w:t xml:space="preserve">,</w:t>
      </w:r>
    </w:p>
    <w:p>
      <w:pPr>
        <w:pStyle w:val="BodyText"/>
      </w:pPr>
      <w:r>
        <w:rPr>
          <w:bCs/>
          <w:b/>
        </w:rPr>
        <w:t xml:space="preserve">et</w:t>
      </w:r>
    </w:p>
    <w:p>
      <w:pPr>
        <w:pStyle w:val="BodyText"/>
      </w:pPr>
      <w:r>
        <w:rPr>
          <w:bCs/>
          <w:b/>
        </w:rPr>
        <w:t xml:space="preserve">AutomateLux S.à r.l.-S</w:t>
      </w:r>
      <w:r>
        <w:t xml:space="preserve">, au capital de 500 €, 150, route de Fischbach, L-7447 Lintgen,</w:t>
      </w:r>
      <w:r>
        <w:t xml:space="preserve"> </w:t>
      </w:r>
      <w:r>
        <w:t xml:space="preserve">RCS Luxembourg n° [à compléter], autorisation d’établissement n° 10194043/0, représentée par</w:t>
      </w:r>
      <w:r>
        <w:t xml:space="preserve"> </w:t>
      </w:r>
      <w:r>
        <w:t xml:space="preserve">M. Nilton Soares, gérant, ci-après l’</w:t>
      </w:r>
      <w:r>
        <w:rPr>
          <w:bCs/>
          <w:b/>
        </w:rPr>
        <w:t xml:space="preserve">« Exploitant 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article-1-objet"/>
    <w:p>
      <w:pPr>
        <w:pStyle w:val="Heading2"/>
      </w:pPr>
      <w:r>
        <w:t xml:space="preserve">Article 1 — Objet</w:t>
      </w:r>
    </w:p>
    <w:p>
      <w:pPr>
        <w:pStyle w:val="FirstParagraph"/>
      </w:pPr>
      <w:r>
        <w:t xml:space="preserve">Le Propriétaire met à la disposition de l’Exploitant un emplacement pour y installer et exploiter,</w:t>
      </w:r>
      <w:r>
        <w:t xml:space="preserve"> </w:t>
      </w:r>
      <w:r>
        <w:t xml:space="preserve">à ses frais et à ses risques,</w:t>
      </w:r>
      <w:r>
        <w:t xml:space="preserve"> </w:t>
      </w:r>
      <w:r>
        <w:rPr>
          <w:bCs/>
          <w:b/>
        </w:rPr>
        <w:t xml:space="preserve">[type d’automate : station de lavage / aspirateur / lave-tapis /</w:t>
      </w:r>
      <w:r>
        <w:rPr>
          <w:bCs/>
          <w:b/>
        </w:rPr>
        <w:t xml:space="preserve"> </w:t>
      </w:r>
      <w:r>
        <w:rPr>
          <w:bCs/>
          <w:b/>
        </w:rPr>
        <w:t xml:space="preserve">distributeur de boissons / autre]</w:t>
      </w:r>
      <w:r>
        <w:t xml:space="preserve"> </w:t>
      </w:r>
      <w:r>
        <w:t xml:space="preserve">(« l’Automate »).</w:t>
      </w:r>
    </w:p>
    <w:bookmarkEnd w:id="20"/>
    <w:bookmarkStart w:id="21" w:name="article-2-emplacement"/>
    <w:p>
      <w:pPr>
        <w:pStyle w:val="Heading2"/>
      </w:pPr>
      <w:r>
        <w:t xml:space="preserve">Article 2 — Emplacement</w:t>
      </w:r>
    </w:p>
    <w:p>
      <w:pPr>
        <w:numPr>
          <w:ilvl w:val="0"/>
          <w:numId w:val="1001"/>
        </w:numPr>
        <w:pStyle w:val="Compact"/>
      </w:pPr>
      <w:r>
        <w:t xml:space="preserve">Adresse du site : [adresse complète].</w:t>
      </w:r>
    </w:p>
    <w:p>
      <w:pPr>
        <w:numPr>
          <w:ilvl w:val="0"/>
          <w:numId w:val="1001"/>
        </w:numPr>
        <w:pStyle w:val="Compact"/>
      </w:pPr>
      <w:r>
        <w:t xml:space="preserve">Emplacement exact : [description + surface en m²], tel que délimité sur le</w:t>
      </w:r>
      <w:r>
        <w:t xml:space="preserve"> </w:t>
      </w:r>
      <w:r>
        <w:rPr>
          <w:bCs/>
          <w:b/>
        </w:rPr>
        <w:t xml:space="preserve">plan en annexe 1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Accès : l’Exploitant et ses prestataires accèdent à l’emplacement [7 j/7, de … h à … h] pour</w:t>
      </w:r>
      <w:r>
        <w:t xml:space="preserve"> </w:t>
      </w:r>
      <w:r>
        <w:t xml:space="preserve">l’installation, la collecte, l’entretien et les réparations.</w:t>
      </w:r>
    </w:p>
    <w:p>
      <w:pPr>
        <w:numPr>
          <w:ilvl w:val="0"/>
          <w:numId w:val="1001"/>
        </w:numPr>
        <w:pStyle w:val="Compact"/>
      </w:pPr>
      <w:r>
        <w:t xml:space="preserve">L’emplacement est accessible au public pendant les horaires suivants : [horaires].</w:t>
      </w:r>
    </w:p>
    <w:bookmarkEnd w:id="21"/>
    <w:bookmarkStart w:id="22" w:name="article-3-conditions-suspensives"/>
    <w:p>
      <w:pPr>
        <w:pStyle w:val="Heading2"/>
      </w:pPr>
      <w:r>
        <w:t xml:space="preserve">Article 3 — Conditions suspensives</w:t>
      </w:r>
    </w:p>
    <w:p>
      <w:pPr>
        <w:pStyle w:val="FirstParagraph"/>
      </w:pPr>
      <w:r>
        <w:t xml:space="preserve">La convention ne produit ses effets que si, au plus tard le [date] :</w:t>
      </w:r>
      <w:r>
        <w:t xml:space="preserve"> </w:t>
      </w:r>
      <w:r>
        <w:t xml:space="preserve">1. l’Exploitant a obtenu toutes les autorisations nécessaires (commune, permis de construire</w:t>
      </w:r>
      <w:r>
        <w:t xml:space="preserve"> </w:t>
      </w:r>
      <w:r>
        <w:t xml:space="preserve">éventuel, Administration de l’environnement, autorisations spécifiques à l’Automate) ;</w:t>
      </w:r>
      <w:r>
        <w:t xml:space="preserve"> </w:t>
      </w:r>
      <w:r>
        <w:t xml:space="preserve">2. le raccordement à l’électricité {SI LAVAGE} et à l’eau, ainsi que l’évacuation des eaux usées</w:t>
      </w:r>
      <w:r>
        <w:t xml:space="preserve"> </w:t>
      </w:r>
      <w:r>
        <w:t xml:space="preserve">par un séparateur d’hydrocarbures {/SI} sont techniquement possibles à un coût total inférieur à</w:t>
      </w:r>
      <w:r>
        <w:t xml:space="preserve"> </w:t>
      </w:r>
      <w:r>
        <w:t xml:space="preserve">[montant] € ;</w:t>
      </w:r>
      <w:r>
        <w:t xml:space="preserve"> </w:t>
      </w:r>
      <w:r>
        <w:t xml:space="preserve">3. le comptage de fréquentation réalisé par l’Exploitant sur le site atteint au moins [nombre]</w:t>
      </w:r>
      <w:r>
        <w:t xml:space="preserve"> </w:t>
      </w:r>
      <w:r>
        <w:t xml:space="preserve">[véhicules / passages] par jour.</w:t>
      </w:r>
    </w:p>
    <w:p>
      <w:pPr>
        <w:pStyle w:val="BodyText"/>
      </w:pPr>
      <w:r>
        <w:t xml:space="preserve">Si une condition n’est pas remplie, chaque partie peut mettre fin à la convention sans indemnité.</w:t>
      </w:r>
    </w:p>
    <w:bookmarkEnd w:id="22"/>
    <w:bookmarkStart w:id="23" w:name="X5e2130d51dc00a36677677ff713e8965c199249"/>
    <w:p>
      <w:pPr>
        <w:pStyle w:val="Heading2"/>
      </w:pPr>
      <w:r>
        <w:t xml:space="preserve">Article 4 — Installation et propriété de l’Automate</w:t>
      </w:r>
    </w:p>
    <w:p>
      <w:pPr>
        <w:numPr>
          <w:ilvl w:val="0"/>
          <w:numId w:val="1002"/>
        </w:numPr>
        <w:pStyle w:val="Compact"/>
      </w:pPr>
      <w:r>
        <w:t xml:space="preserve">L’Exploitant installe l’Automate à ses frais, dans les règles de l’art et conformément aux</w:t>
      </w:r>
      <w:r>
        <w:t xml:space="preserve"> </w:t>
      </w:r>
      <w:r>
        <w:t xml:space="preserve">autorisations obtenues. Le projet d’installation est soumis au Propriétaire avant les travaux.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L’Automate, ses équipements et ses recettes restent la propriété exclusive de l’Exploitant.</w:t>
      </w:r>
      <w:r>
        <w:t xml:space="preserve"> </w:t>
      </w:r>
      <w:r>
        <w:t xml:space="preserve">Ils ne deviennent jamais la propriété du Propriétaire, même s’ils sont fixés au sol ou</w:t>
      </w:r>
      <w:r>
        <w:t xml:space="preserve"> </w:t>
      </w:r>
      <w:r>
        <w:t xml:space="preserve">raccordés aux réseaux. Le Propriétaire s’interdit de les céder, de les donner en garantie ou</w:t>
      </w:r>
      <w:r>
        <w:t xml:space="preserve"> </w:t>
      </w:r>
      <w:r>
        <w:t xml:space="preserve">de laisser un tiers les saisir comme s’ils lui appartenaient, et informe immédiatement</w:t>
      </w:r>
      <w:r>
        <w:t xml:space="preserve"> </w:t>
      </w:r>
      <w:r>
        <w:t xml:space="preserve">l’Exploitant de toute tentative en ce sens.</w:t>
      </w:r>
    </w:p>
    <w:bookmarkEnd w:id="23"/>
    <w:bookmarkStart w:id="24" w:name="article-5-contrepartie-financière"/>
    <w:p>
      <w:pPr>
        <w:pStyle w:val="Heading2"/>
      </w:pPr>
      <w:r>
        <w:t xml:space="preserve">Article 5 — Contrepartie financière</w:t>
      </w:r>
    </w:p>
    <w:p>
      <w:pPr>
        <w:pStyle w:val="FirstParagraph"/>
      </w:pPr>
      <w:r>
        <w:rPr>
          <w:bCs/>
          <w:b/>
        </w:rPr>
        <w:t xml:space="preserve">Choisir une seule option 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Option A — Redevance fixe</w:t>
      </w:r>
      <w:r>
        <w:t xml:space="preserve"> </w:t>
      </w:r>
      <w:r>
        <w:t xml:space="preserve">: [montant] € par mois, payable [d’avance / à terme échu]</w:t>
      </w:r>
      <w:r>
        <w:t xml:space="preserve"> </w:t>
      </w:r>
      <w:r>
        <w:t xml:space="preserve">le [jour] de chaque mois.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Option B — Pourcentage du chiffre d’affaires</w:t>
      </w:r>
      <w:r>
        <w:t xml:space="preserve"> </w:t>
      </w:r>
      <w:r>
        <w:t xml:space="preserve">: [15 à 25] % du chiffre d’affaires mensuel</w:t>
      </w:r>
      <w:r>
        <w:t xml:space="preserve"> </w:t>
      </w:r>
      <w:r>
        <w:t xml:space="preserve">réalisé par l’Automate (montants encaissés, hors remboursements aux utilisateurs), versé au plus</w:t>
      </w:r>
      <w:r>
        <w:t xml:space="preserve"> </w:t>
      </w:r>
      <w:r>
        <w:t xml:space="preserve">tard le [10] du mois suivant.</w:t>
      </w:r>
      <w:r>
        <w:t xml:space="preserve"> </w:t>
      </w:r>
      <w:r>
        <w:rPr>
          <w:iCs/>
          <w:i/>
        </w:rPr>
        <w:t xml:space="preserve">(Option recommandée au démarrage : elle aligne les intérêts des</w:t>
      </w:r>
      <w:r>
        <w:rPr>
          <w:iCs/>
          <w:i/>
        </w:rPr>
        <w:t xml:space="preserve"> </w:t>
      </w:r>
      <w:r>
        <w:rPr>
          <w:iCs/>
          <w:i/>
        </w:rPr>
        <w:t xml:space="preserve">deux parties et limite le risque si la fréquentation est inférieure aux prévisions.)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Option C — Mixte</w:t>
      </w:r>
      <w:r>
        <w:t xml:space="preserve"> </w:t>
      </w:r>
      <w:r>
        <w:t xml:space="preserve">: [montant] € par mois minimum, plus [pourcentage] % du chiffre d’affaires</w:t>
      </w:r>
      <w:r>
        <w:t xml:space="preserve"> </w:t>
      </w:r>
      <w:r>
        <w:t xml:space="preserve">mensuel au-delà de [seuil] €.</w:t>
      </w:r>
    </w:p>
    <w:p>
      <w:pPr>
        <w:pStyle w:val="FirstParagraph"/>
      </w:pPr>
      <w:r>
        <w:t xml:space="preserve">Pour les options B et C, l’Exploitant remet chaque mois au Propriétaire un relevé du chiffre</w:t>
      </w:r>
      <w:r>
        <w:t xml:space="preserve"> </w:t>
      </w:r>
      <w:r>
        <w:t xml:space="preserve">d’affaires, issu du système de paiement et de télégestion de l’Automate. Le Propriétaire peut</w:t>
      </w:r>
      <w:r>
        <w:t xml:space="preserve"> </w:t>
      </w:r>
      <w:r>
        <w:t xml:space="preserve">demander, une fois par an, la consultation des données sources.</w:t>
      </w:r>
    </w:p>
    <w:p>
      <w:pPr>
        <w:pStyle w:val="BodyText"/>
      </w:pPr>
      <w:r>
        <w:t xml:space="preserve">TVA : [le cas échéant, selon le régime de chaque partie —</w:t>
      </w:r>
      <w:r>
        <w:t xml:space="preserve"> </w:t>
      </w:r>
      <w:r>
        <w:rPr>
          <w:bCs/>
          <w:b/>
        </w:rPr>
        <w:t xml:space="preserve">À VÉRIFIER</w:t>
      </w:r>
      <w:r>
        <w:t xml:space="preserve"> </w:t>
      </w:r>
      <w:r>
        <w:t xml:space="preserve">: la redevance peut être</w:t>
      </w:r>
      <w:r>
        <w:t xml:space="preserve"> </w:t>
      </w:r>
      <w:r>
        <w:t xml:space="preserve">soumise à TVA si le Propriétaire est assujetti].</w:t>
      </w:r>
    </w:p>
    <w:bookmarkEnd w:id="24"/>
    <w:bookmarkStart w:id="25" w:name="article-6-eau-électricité-et-charges"/>
    <w:p>
      <w:pPr>
        <w:pStyle w:val="Heading2"/>
      </w:pPr>
      <w:r>
        <w:t xml:space="preserve">Article 6 — Eau, électricité et charges</w:t>
      </w:r>
    </w:p>
    <w:p>
      <w:pPr>
        <w:pStyle w:val="FirstParagraph"/>
      </w:pPr>
      <w:r>
        <w:rPr>
          <w:bCs/>
          <w:b/>
        </w:rPr>
        <w:t xml:space="preserve">Choisir une seule option 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Option A</w:t>
      </w:r>
      <w:r>
        <w:t xml:space="preserve"> </w:t>
      </w:r>
      <w:r>
        <w:t xml:space="preserve">: l’Exploitant installe des compteurs séparés et paie directement ses consommations.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Option B</w:t>
      </w:r>
      <w:r>
        <w:t xml:space="preserve"> </w:t>
      </w:r>
      <w:r>
        <w:t xml:space="preserve">: le Propriétaire fournit l’eau et l’électricité, mesurées par des sous-compteurs ;</w:t>
      </w:r>
      <w:r>
        <w:t xml:space="preserve"> </w:t>
      </w:r>
      <w:r>
        <w:t xml:space="preserve">l’Exploitant les rembourse chaque mois au prix coûtant, sur justificatif.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Option C</w:t>
      </w:r>
      <w:r>
        <w:t xml:space="preserve"> </w:t>
      </w:r>
      <w:r>
        <w:t xml:space="preserve">: les consommations sont incluses dans la contrepartie de l’article 5.</w:t>
      </w:r>
    </w:p>
    <w:bookmarkEnd w:id="25"/>
    <w:bookmarkStart w:id="26" w:name="article-7-exploitation-et-entretien"/>
    <w:p>
      <w:pPr>
        <w:pStyle w:val="Heading2"/>
      </w:pPr>
      <w:r>
        <w:t xml:space="preserve">Article 7 — Exploitation et entretien</w:t>
      </w:r>
    </w:p>
    <w:p>
      <w:pPr>
        <w:numPr>
          <w:ilvl w:val="0"/>
          <w:numId w:val="1005"/>
        </w:numPr>
        <w:pStyle w:val="Compact"/>
      </w:pPr>
      <w:r>
        <w:t xml:space="preserve">L’Exploitant exploite l’Automate sous sa seule responsabilité : fixation des prix, encaissement,</w:t>
      </w:r>
      <w:r>
        <w:t xml:space="preserve"> </w:t>
      </w:r>
      <w:r>
        <w:t xml:space="preserve">entretien, réparations, consommables, nettoyage de l’Automate et de ses abords immédiats.</w:t>
      </w:r>
    </w:p>
    <w:p>
      <w:pPr>
        <w:numPr>
          <w:ilvl w:val="0"/>
          <w:numId w:val="1005"/>
        </w:numPr>
        <w:pStyle w:val="Compact"/>
      </w:pPr>
      <w:r>
        <w:t xml:space="preserve">L’Exploitant respecte la réglementation applicable à l’Automate, notamment</w:t>
      </w:r>
      <w:r>
        <w:t xml:space="preserve"> </w:t>
      </w:r>
      <w:r>
        <w:t xml:space="preserve">{SI LAVAGE} environnementale (eaux usées, produits) {/SI}</w:t>
      </w:r>
      <w:r>
        <w:t xml:space="preserve"> </w:t>
      </w:r>
      <w:r>
        <w:t xml:space="preserve">{SI ALIMENTAIRE} d’hygiène alimentaire (HACCP, contrôles de l’ALVA) {/SI}.</w:t>
      </w:r>
    </w:p>
    <w:p>
      <w:pPr>
        <w:numPr>
          <w:ilvl w:val="0"/>
          <w:numId w:val="1005"/>
        </w:numPr>
        <w:pStyle w:val="Compact"/>
      </w:pPr>
      <w:r>
        <w:t xml:space="preserve">Le Propriétaire n’intervient pas sur l’Automate. Il prévient l’Exploitant au plus vite de toute</w:t>
      </w:r>
      <w:r>
        <w:t xml:space="preserve"> </w:t>
      </w:r>
      <w:r>
        <w:t xml:space="preserve">panne, dégradation ou incident constaté, au numéro ou à l’adresse affichés sur l’Automate.</w:t>
      </w:r>
    </w:p>
    <w:bookmarkEnd w:id="26"/>
    <w:bookmarkStart w:id="27" w:name="article-8-vidéosurveillance"/>
    <w:p>
      <w:pPr>
        <w:pStyle w:val="Heading2"/>
      </w:pPr>
      <w:r>
        <w:t xml:space="preserve">Article 8 — Vidéosurveillance</w:t>
      </w:r>
    </w:p>
    <w:p>
      <w:pPr>
        <w:pStyle w:val="FirstParagraph"/>
      </w:pPr>
      <w:r>
        <w:t xml:space="preserve">Si l’Exploitant installe une caméra pour protéger l’Automate :</w:t>
      </w:r>
      <w:r>
        <w:t xml:space="preserve"> </w:t>
      </w:r>
      <w:r>
        <w:t xml:space="preserve">1. elle ne filme que l’Automate et ses abords immédiats, jamais la voie publique au-delà du</w:t>
      </w:r>
      <w:r>
        <w:t xml:space="preserve"> </w:t>
      </w:r>
      <w:r>
        <w:t xml:space="preserve">strict nécessaire ni les autres activités du site ;</w:t>
      </w:r>
      <w:r>
        <w:t xml:space="preserve"> </w:t>
      </w:r>
      <w:r>
        <w:t xml:space="preserve">2. l’Exploitant est responsable du traitement au sens du RGPD, affiche l’information obligatoire</w:t>
      </w:r>
      <w:r>
        <w:t xml:space="preserve"> </w:t>
      </w:r>
      <w:r>
        <w:t xml:space="preserve">et respecte les durées de conservation recommandées par la CNPD.</w:t>
      </w:r>
      <w:r>
        <w:t xml:space="preserve"> </w:t>
      </w:r>
      <w:r>
        <w:rPr>
          <w:bCs/>
          <w:b/>
        </w:rPr>
        <w:t xml:space="preserve">[À VÉRIFIER : règles de la</w:t>
      </w:r>
      <w:r>
        <w:rPr>
          <w:bCs/>
          <w:b/>
        </w:rPr>
        <w:t xml:space="preserve"> </w:t>
      </w:r>
      <w:r>
        <w:rPr>
          <w:bCs/>
          <w:b/>
        </w:rPr>
        <w:t xml:space="preserve">CNPD sur la vidéosurveillance.]</w:t>
      </w:r>
    </w:p>
    <w:bookmarkEnd w:id="27"/>
    <w:bookmarkStart w:id="28" w:name="article-9-assurances-et-responsabilité"/>
    <w:p>
      <w:pPr>
        <w:pStyle w:val="Heading2"/>
      </w:pPr>
      <w:r>
        <w:t xml:space="preserve">Article 9 — Assurances et responsabilité</w:t>
      </w:r>
    </w:p>
    <w:p>
      <w:pPr>
        <w:numPr>
          <w:ilvl w:val="0"/>
          <w:numId w:val="1006"/>
        </w:numPr>
        <w:pStyle w:val="Compact"/>
      </w:pPr>
      <w:r>
        <w:t xml:space="preserve">L’Exploitant souscrit et maintient : une</w:t>
      </w:r>
      <w:r>
        <w:t xml:space="preserve"> </w:t>
      </w:r>
      <w:r>
        <w:rPr>
          <w:bCs/>
          <w:b/>
        </w:rPr>
        <w:t xml:space="preserve">responsabilité civile exploitation</w:t>
      </w:r>
      <w:r>
        <w:t xml:space="preserve">, une assurance</w:t>
      </w:r>
      <w:r>
        <w:t xml:space="preserve"> </w:t>
      </w:r>
      <w:r>
        <w:rPr>
          <w:bCs/>
          <w:b/>
        </w:rPr>
        <w:t xml:space="preserve">bris de machine</w:t>
      </w:r>
      <w:r>
        <w:t xml:space="preserve"> </w:t>
      </w:r>
      <w:r>
        <w:t xml:space="preserve">et une</w:t>
      </w:r>
      <w:r>
        <w:t xml:space="preserve"> </w:t>
      </w:r>
      <w:r>
        <w:rPr>
          <w:bCs/>
          <w:b/>
        </w:rPr>
        <w:t xml:space="preserve">protection juridique</w:t>
      </w:r>
      <w:r>
        <w:t xml:space="preserve">. Il remet une attestation au Propriétaire</w:t>
      </w:r>
      <w:r>
        <w:t xml:space="preserve"> </w:t>
      </w:r>
      <w:r>
        <w:t xml:space="preserve">à la signature puis chaque année.</w:t>
      </w:r>
    </w:p>
    <w:p>
      <w:pPr>
        <w:numPr>
          <w:ilvl w:val="0"/>
          <w:numId w:val="1006"/>
        </w:numPr>
        <w:pStyle w:val="Compact"/>
      </w:pPr>
      <w:r>
        <w:t xml:space="preserve">L’Exploitant est responsable des dommages causés par l’Automate ou son exploitation aux</w:t>
      </w:r>
      <w:r>
        <w:t xml:space="preserve"> </w:t>
      </w:r>
      <w:r>
        <w:t xml:space="preserve">utilisateurs, aux tiers et au site.</w:t>
      </w:r>
    </w:p>
    <w:p>
      <w:pPr>
        <w:numPr>
          <w:ilvl w:val="0"/>
          <w:numId w:val="1006"/>
        </w:numPr>
        <w:pStyle w:val="Compact"/>
      </w:pPr>
      <w:r>
        <w:t xml:space="preserve">Le Propriétaire est responsable des dommages causés par le site lui-même (sol, accès, éclairage</w:t>
      </w:r>
      <w:r>
        <w:t xml:space="preserve"> </w:t>
      </w:r>
      <w:r>
        <w:t xml:space="preserve">général) et par ses propres activités.</w:t>
      </w:r>
    </w:p>
    <w:p>
      <w:pPr>
        <w:numPr>
          <w:ilvl w:val="0"/>
          <w:numId w:val="1006"/>
        </w:numPr>
        <w:pStyle w:val="Compact"/>
      </w:pPr>
      <w:r>
        <w:t xml:space="preserve">Le vandalisme et le vol visant l’Automate sont à la charge de l’Exploitant, sauf faute du Propriétaire.</w:t>
      </w:r>
    </w:p>
    <w:bookmarkEnd w:id="28"/>
    <w:bookmarkStart w:id="29" w:name="article-10-exclusivité"/>
    <w:p>
      <w:pPr>
        <w:pStyle w:val="Heading2"/>
      </w:pPr>
      <w:r>
        <w:t xml:space="preserve">Article 10 — Exclusivité</w:t>
      </w:r>
    </w:p>
    <w:p>
      <w:pPr>
        <w:pStyle w:val="FirstParagraph"/>
      </w:pPr>
      <w:r>
        <w:rPr>
          <w:bCs/>
          <w:b/>
        </w:rPr>
        <w:t xml:space="preserve">[Optionnel — à négocier]</w:t>
      </w:r>
      <w:r>
        <w:t xml:space="preserve"> </w:t>
      </w:r>
      <w:r>
        <w:t xml:space="preserve">Pendant la durée de la convention, le Propriétaire s’interdit</w:t>
      </w:r>
      <w:r>
        <w:t xml:space="preserve"> </w:t>
      </w:r>
      <w:r>
        <w:t xml:space="preserve">d’autoriser sur le site l’installation d’un automate concurrent offrant [le même service].</w:t>
      </w:r>
    </w:p>
    <w:bookmarkEnd w:id="29"/>
    <w:bookmarkStart w:id="30" w:name="article-11-durée"/>
    <w:p>
      <w:pPr>
        <w:pStyle w:val="Heading2"/>
      </w:pPr>
      <w:r>
        <w:t xml:space="preserve">Article 11 — Durée</w:t>
      </w:r>
    </w:p>
    <w:p>
      <w:pPr>
        <w:numPr>
          <w:ilvl w:val="0"/>
          <w:numId w:val="1007"/>
        </w:numPr>
        <w:pStyle w:val="Compact"/>
      </w:pPr>
      <w:r>
        <w:t xml:space="preserve">La convention est conclue pour</w:t>
      </w:r>
      <w:r>
        <w:t xml:space="preserve"> </w:t>
      </w:r>
      <w:r>
        <w:rPr>
          <w:bCs/>
          <w:b/>
        </w:rPr>
        <w:t xml:space="preserve">[3 / 5] ans</w:t>
      </w:r>
      <w:r>
        <w:t xml:space="preserve"> </w:t>
      </w:r>
      <w:r>
        <w:t xml:space="preserve">à compter de la mise en service de l’Automate,</w:t>
      </w:r>
      <w:r>
        <w:t xml:space="preserve"> </w:t>
      </w:r>
      <w:r>
        <w:t xml:space="preserve">pour permettre l’amortissement de l’investissement.</w:t>
      </w:r>
    </w:p>
    <w:p>
      <w:pPr>
        <w:numPr>
          <w:ilvl w:val="0"/>
          <w:numId w:val="1007"/>
        </w:numPr>
        <w:pStyle w:val="Compact"/>
      </w:pPr>
      <w:r>
        <w:t xml:space="preserve">Elle se renouvelle ensuite par périodes de [1] an, sauf résiliation par lettre recommandée</w:t>
      </w:r>
      <w:r>
        <w:t xml:space="preserve"> </w:t>
      </w:r>
      <w:r>
        <w:t xml:space="preserve">[6] mois avant l’échéance.</w:t>
      </w:r>
    </w:p>
    <w:p>
      <w:pPr>
        <w:pStyle w:val="FirstParagraph"/>
      </w:pPr>
      <w:r>
        <w:rPr>
          <w:bCs/>
          <w:b/>
        </w:rPr>
        <w:t xml:space="preserve">[À VÉRIFIER avec le juriste : compatibilité de ces durées avec le régime du bail commercial</w:t>
      </w:r>
      <w:r>
        <w:rPr>
          <w:bCs/>
          <w:b/>
        </w:rPr>
        <w:t xml:space="preserve"> </w:t>
      </w:r>
      <w:r>
        <w:rPr>
          <w:bCs/>
          <w:b/>
        </w:rPr>
        <w:t xml:space="preserve">si la convention est requalifiée.]</w:t>
      </w:r>
    </w:p>
    <w:bookmarkEnd w:id="30"/>
    <w:bookmarkStart w:id="31" w:name="article-12-résiliation-anticipée"/>
    <w:p>
      <w:pPr>
        <w:pStyle w:val="Heading2"/>
      </w:pPr>
      <w:r>
        <w:t xml:space="preserve">Article 12 — Résiliation anticipée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Pour manquement</w:t>
      </w:r>
      <w:r>
        <w:t xml:space="preserve"> </w:t>
      </w:r>
      <w:r>
        <w:t xml:space="preserve">: chaque partie peut résilier en cas de manquement grave de l’autre partie,</w:t>
      </w:r>
      <w:r>
        <w:t xml:space="preserve"> </w:t>
      </w:r>
      <w:r>
        <w:t xml:space="preserve">non corrigé [30] jours après une mise en demeure par lettre recommandée.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Clause de sortie de l’Exploitant</w:t>
      </w:r>
      <w:r>
        <w:t xml:space="preserve"> </w:t>
      </w:r>
      <w:r>
        <w:t xml:space="preserve">: si le chiffre d’affaires moyen de l’Automate reste</w:t>
      </w:r>
      <w:r>
        <w:t xml:space="preserve"> </w:t>
      </w:r>
      <w:r>
        <w:t xml:space="preserve">inférieur à [montant] € par mois pendant [6] mois consécutifs, l’Exploitant peut résilier avec</w:t>
      </w:r>
      <w:r>
        <w:t xml:space="preserve"> </w:t>
      </w:r>
      <w:r>
        <w:t xml:space="preserve">un préavis de [3] mois, sans indemnité.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Perte d’autorisation</w:t>
      </w:r>
      <w:r>
        <w:t xml:space="preserve"> </w:t>
      </w:r>
      <w:r>
        <w:t xml:space="preserve">: la convention prend fin de plein droit si une autorisation</w:t>
      </w:r>
      <w:r>
        <w:t xml:space="preserve"> </w:t>
      </w:r>
      <w:r>
        <w:t xml:space="preserve">indispensable à l’exploitation est retirée ou refusée.</w:t>
      </w:r>
    </w:p>
    <w:bookmarkEnd w:id="31"/>
    <w:bookmarkStart w:id="32" w:name="article-13-fin-de-la-convention"/>
    <w:p>
      <w:pPr>
        <w:pStyle w:val="Heading2"/>
      </w:pPr>
      <w:r>
        <w:t xml:space="preserve">Article 13 — Fin de la convention</w:t>
      </w:r>
    </w:p>
    <w:p>
      <w:pPr>
        <w:pStyle w:val="FirstParagraph"/>
      </w:pPr>
      <w:r>
        <w:t xml:space="preserve">À la fin de la convention, quelle qu’en soit la cause :</w:t>
      </w:r>
      <w:r>
        <w:t xml:space="preserve"> </w:t>
      </w:r>
      <w:r>
        <w:t xml:space="preserve">1. l’Exploitant retire l’Automate et ses équipements dans un délai de [60] jours ;</w:t>
      </w:r>
      <w:r>
        <w:t xml:space="preserve"> </w:t>
      </w:r>
      <w:r>
        <w:t xml:space="preserve">2. il remet l’emplacement en état, sauf l’usure normale et sauf accord écrit du Propriétaire pour</w:t>
      </w:r>
      <w:r>
        <w:t xml:space="preserve"> </w:t>
      </w:r>
      <w:r>
        <w:t xml:space="preserve">conserver certains aménagements (dalle, raccordements) ;</w:t>
      </w:r>
      <w:r>
        <w:t xml:space="preserve"> </w:t>
      </w:r>
      <w:r>
        <w:t xml:space="preserve">3. aucune indemnité n’est due pour les aménagements laissés avec l’accord du Propriétaire.</w:t>
      </w:r>
    </w:p>
    <w:bookmarkEnd w:id="32"/>
    <w:bookmarkStart w:id="33" w:name="article-14-cession"/>
    <w:p>
      <w:pPr>
        <w:pStyle w:val="Heading2"/>
      </w:pPr>
      <w:r>
        <w:t xml:space="preserve">Article 14 — Cession</w:t>
      </w:r>
    </w:p>
    <w:p>
      <w:pPr>
        <w:pStyle w:val="FirstParagraph"/>
      </w:pPr>
      <w:r>
        <w:t xml:space="preserve">L’Exploitant peut céder la convention à une société qu’il contrôle, ou à l’acquéreur de l’Automate,</w:t>
      </w:r>
      <w:r>
        <w:t xml:space="preserve"> </w:t>
      </w:r>
      <w:r>
        <w:t xml:space="preserve">après en avoir informé le Propriétaire par écrit. Toute autre cession nécessite l’accord écrit du</w:t>
      </w:r>
      <w:r>
        <w:t xml:space="preserve"> </w:t>
      </w:r>
      <w:r>
        <w:t xml:space="preserve">Propriétaire, qui ne peut le refuser sans motif légitime.</w:t>
      </w:r>
    </w:p>
    <w:bookmarkEnd w:id="33"/>
    <w:bookmarkStart w:id="34" w:name="article-15-confidentialité"/>
    <w:p>
      <w:pPr>
        <w:pStyle w:val="Heading2"/>
      </w:pPr>
      <w:r>
        <w:t xml:space="preserve">Article 15 — Confidentialité</w:t>
      </w:r>
    </w:p>
    <w:p>
      <w:pPr>
        <w:pStyle w:val="FirstParagraph"/>
      </w:pPr>
      <w:r>
        <w:t xml:space="preserve">Les chiffres d’affaires et les conditions financières de la présente convention sont confidentiels.</w:t>
      </w:r>
    </w:p>
    <w:bookmarkEnd w:id="34"/>
    <w:bookmarkStart w:id="35" w:name="article-16-droit-applicable-et-litiges"/>
    <w:p>
      <w:pPr>
        <w:pStyle w:val="Heading2"/>
      </w:pPr>
      <w:r>
        <w:t xml:space="preserve">Article 16 — Droit applicable et litiges</w:t>
      </w:r>
    </w:p>
    <w:p>
      <w:pPr>
        <w:pStyle w:val="FirstParagraph"/>
      </w:pPr>
      <w:r>
        <w:t xml:space="preserve">Droit luxembourgeois. Les parties recherchent d’abord une solution amiable. À défaut, les tribunaux</w:t>
      </w:r>
      <w:r>
        <w:t xml:space="preserve"> </w:t>
      </w:r>
      <w:r>
        <w:t xml:space="preserve">de Luxembourg-Ville sont seuls compétents.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Fait à [lieu], le [date], en deux exemplaires.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Pour le Propriétaire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 AutomateLux S.à r.l.-S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[Nom, fonction]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Nilton Soares, gérant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:</w:t>
            </w:r>
          </w:p>
        </w:tc>
      </w:tr>
    </w:tbl>
    <w:p>
      <w:pPr>
        <w:pStyle w:val="BodyText"/>
      </w:pPr>
      <w:r>
        <w:rPr>
          <w:bCs/>
          <w:b/>
        </w:rPr>
        <w:t xml:space="preserve">Annexe 1</w:t>
      </w:r>
      <w:r>
        <w:t xml:space="preserve"> </w:t>
      </w:r>
      <w:r>
        <w:t xml:space="preserve">: plan de l’emplacement.</w:t>
      </w:r>
      <w:r>
        <w:t xml:space="preserve"> </w:t>
      </w:r>
      <w:r>
        <w:rPr>
          <w:bCs/>
          <w:b/>
        </w:rPr>
        <w:t xml:space="preserve">Annexe 2</w:t>
      </w:r>
      <w:r>
        <w:t xml:space="preserve"> </w:t>
      </w:r>
      <w:r>
        <w:t xml:space="preserve">: projet d’installation (Automate, raccordements, signalétique).</w:t>
      </w:r>
      <w:r>
        <w:t xml:space="preserve"> </w:t>
      </w:r>
      <w:r>
        <w:rPr>
          <w:bCs/>
          <w:b/>
        </w:rPr>
        <w:t xml:space="preserve">Annexe 3</w:t>
      </w:r>
      <w:r>
        <w:t xml:space="preserve"> </w:t>
      </w:r>
      <w:r>
        <w:t xml:space="preserve">: attestations d’assurance de l’Exploitant.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L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fr-LU</dc:language>
  <cp:keywords/>
  <dcterms:created xsi:type="dcterms:W3CDTF">2026-10-28T22:59:27Z</dcterms:created>
  <dcterms:modified xsi:type="dcterms:W3CDTF">2026-10-28T22:59:27Z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