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617b0106cef26df83821305fe08430d24115dd8"/>
    <w:p>
      <w:pPr>
        <w:pStyle w:val="Heading1"/>
      </w:pPr>
      <w:r>
        <w:t xml:space="preserve">Contrat de sous-traitance de données personnelles (article 28 RGPD)</w:t>
      </w:r>
    </w:p>
    <w:p>
      <w:pPr>
        <w:pStyle w:val="BlockText"/>
      </w:pPr>
      <w:r>
        <w:rPr>
          <w:bCs/>
          <w:b/>
        </w:rPr>
        <w:t xml:space="preserve">PROJET — version 0.2 du 28/10/2026 — NON VALIDÉ JURIDIQUEMENT.</w:t>
      </w:r>
      <w:r>
        <w:t xml:space="preserve"> </w:t>
      </w:r>
      <w:r>
        <w:t xml:space="preserve">À faire relire par un avocat ou un juriste RGPD luxembourgeois avant toute signature.</w:t>
      </w:r>
      <w:r>
        <w:t xml:space="preserve"> </w:t>
      </w:r>
      <w:r>
        <w:t xml:space="preserve">Les passages</w:t>
      </w:r>
      <w:r>
        <w:t xml:space="preserve"> </w:t>
      </w:r>
      <w:r>
        <w:rPr>
          <w:rStyle w:val="VerbatimChar"/>
        </w:rPr>
        <w:t xml:space="preserve">[à compléter]</w:t>
      </w:r>
      <w:r>
        <w:t xml:space="preserve">,</w:t>
      </w:r>
      <w:r>
        <w:t xml:space="preserve"> </w:t>
      </w:r>
      <w:r>
        <w:rPr>
          <w:rStyle w:val="VerbatimChar"/>
        </w:rPr>
        <w:t xml:space="preserve">[À DÉCIDER]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[À VÉRIFIER]</w:t>
      </w:r>
      <w:r>
        <w:t xml:space="preserve"> </w:t>
      </w:r>
      <w:r>
        <w:t xml:space="preserve">doivent être résolus avant usage.</w:t>
      </w:r>
    </w:p>
    <w:p>
      <w:pPr>
        <w:pStyle w:val="BlockText"/>
      </w:pPr>
      <w:r>
        <w:rPr>
          <w:bCs/>
          <w:b/>
        </w:rPr>
        <w:t xml:space="preserve">Changements par rapport à la v0.1</w:t>
      </w:r>
      <w:r>
        <w:t xml:space="preserve"> </w:t>
      </w:r>
      <w:r>
        <w:t xml:space="preserve">: corrections issues de l’analyse du 28/10/2026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contrats/analyses/analyse-dpa-v0.1-hugo-salard.md</w:t>
      </w:r>
      <w:r>
        <w:t xml:space="preserve">) et de la vérification des prestataires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contrats/analyses/verification-prestataires-2026-10-28.md</w:t>
      </w:r>
      <w:r>
        <w:t xml:space="preserve">) : interdiction des usages propres et</w:t>
      </w:r>
      <w:r>
        <w:t xml:space="preserve"> </w:t>
      </w:r>
      <w:r>
        <w:t xml:space="preserve">de l’entraînement de modèles (art. 4), révélations spontanées et option santé (art. 2 et 10),</w:t>
      </w:r>
      <w:r>
        <w:t xml:space="preserve"> </w:t>
      </w:r>
      <w:r>
        <w:t xml:space="preserve">transferts par prestataire avec analyse d’impact (art. 7), demandes des autorités (art. 8),</w:t>
      </w:r>
      <w:r>
        <w:t xml:space="preserve"> </w:t>
      </w:r>
      <w:r>
        <w:t xml:space="preserve">articulation avec les CGV (art. 9), annexe 1 complétée.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Entre</w:t>
      </w:r>
    </w:p>
    <w:p>
      <w:pPr>
        <w:pStyle w:val="BodyText"/>
      </w:pPr>
      <w:r>
        <w:rPr>
          <w:bCs/>
          <w:b/>
        </w:rPr>
        <w:t xml:space="preserve">[Raison sociale du client]</w:t>
      </w:r>
      <w:r>
        <w:t xml:space="preserve">, [forme juridique], dont le siège est situé [adresse],</w:t>
      </w:r>
      <w:r>
        <w:t xml:space="preserve"> </w:t>
      </w:r>
      <w:r>
        <w:t xml:space="preserve">immatriculée au RCS Luxembourg sous le n° [à compléter], représentée par [nom, fonction],</w:t>
      </w:r>
      <w:r>
        <w:t xml:space="preserve"> </w:t>
      </w:r>
      <w:r>
        <w:t xml:space="preserve">ci-après le</w:t>
      </w:r>
      <w:r>
        <w:t xml:space="preserve"> </w:t>
      </w:r>
      <w:r>
        <w:rPr>
          <w:bCs/>
          <w:b/>
        </w:rPr>
        <w:t xml:space="preserve">« Responsable du traitement »</w:t>
      </w:r>
      <w:r>
        <w:t xml:space="preserve"> </w:t>
      </w:r>
      <w:r>
        <w:t xml:space="preserve">ou le</w:t>
      </w:r>
      <w:r>
        <w:t xml:space="preserve"> </w:t>
      </w:r>
      <w:r>
        <w:rPr>
          <w:bCs/>
          <w:b/>
        </w:rPr>
        <w:t xml:space="preserve">« Client »</w:t>
      </w:r>
      <w:r>
        <w:t xml:space="preserve">,</w:t>
      </w:r>
    </w:p>
    <w:p>
      <w:pPr>
        <w:pStyle w:val="BodyText"/>
      </w:pPr>
      <w:r>
        <w:rPr>
          <w:bCs/>
          <w:b/>
        </w:rPr>
        <w:t xml:space="preserve">et</w:t>
      </w:r>
    </w:p>
    <w:p>
      <w:pPr>
        <w:pStyle w:val="BodyText"/>
      </w:pPr>
      <w:r>
        <w:rPr>
          <w:bCs/>
          <w:b/>
        </w:rPr>
        <w:t xml:space="preserve">AutomateLux S.à r.l.-S</w:t>
      </w:r>
      <w:r>
        <w:t xml:space="preserve">, au capital de 500 €, dont le siège est situé 150, route de Fischbach,</w:t>
      </w:r>
      <w:r>
        <w:t xml:space="preserve"> </w:t>
      </w:r>
      <w:r>
        <w:t xml:space="preserve">L-7447 Lintgen, immatriculée au RCS Luxembourg sous le n° [à compléter], titulaire de</w:t>
      </w:r>
      <w:r>
        <w:t xml:space="preserve"> </w:t>
      </w:r>
      <w:r>
        <w:t xml:space="preserve">l’autorisation d’établissement n° 10194043/0, représentée par M. Nilton Soares, gérant,</w:t>
      </w:r>
      <w:r>
        <w:t xml:space="preserve"> </w:t>
      </w:r>
      <w:r>
        <w:t xml:space="preserve">ci-après le</w:t>
      </w:r>
      <w:r>
        <w:t xml:space="preserve"> </w:t>
      </w:r>
      <w:r>
        <w:rPr>
          <w:bCs/>
          <w:b/>
        </w:rPr>
        <w:t xml:space="preserve">« Sous-traitant »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« AutomateLux »</w:t>
      </w:r>
      <w:r>
        <w:t xml:space="preserve">.</w:t>
      </w:r>
    </w:p>
    <w:p>
      <w:pPr>
        <w:pStyle w:val="BodyText"/>
      </w:pPr>
      <w:r>
        <w:t xml:space="preserve">Ce contrat complète le contrat de prestation (proposition commerciale signée et conditions</w:t>
      </w:r>
      <w:r>
        <w:t xml:space="preserve"> </w:t>
      </w:r>
      <w:r>
        <w:t xml:space="preserve">générales de vente d’AutomateLux, ci-après le « Contrat principal »). En cas de contradiction</w:t>
      </w:r>
      <w:r>
        <w:t xml:space="preserve"> </w:t>
      </w:r>
      <w:r>
        <w:t xml:space="preserve">sur la protection des données, le présent contrat prévaut.</w:t>
      </w:r>
    </w:p>
    <w:p>
      <w:r>
        <w:pict>
          <v:rect style="width:0;height:1.5pt" o:hralign="center" o:hrstd="t" o:hr="t"/>
        </w:pict>
      </w:r>
    </w:p>
    <w:bookmarkStart w:id="20" w:name="article-1-objet"/>
    <w:p>
      <w:pPr>
        <w:pStyle w:val="Heading2"/>
      </w:pPr>
      <w:r>
        <w:t xml:space="preserve">Article 1 — Objet</w:t>
      </w:r>
    </w:p>
    <w:p>
      <w:pPr>
        <w:pStyle w:val="FirstParagraph"/>
      </w:pPr>
      <w:r>
        <w:t xml:space="preserve">Le Client confie à AutomateLux la mise en place et l’exploitation d’un assistant téléphonique</w:t>
      </w:r>
      <w:r>
        <w:t xml:space="preserve"> </w:t>
      </w:r>
      <w:r>
        <w:t xml:space="preserve">automatisé (« l’Assistant ») et des automatisations associées, décrits dans le Contrat principal.</w:t>
      </w:r>
      <w:r>
        <w:t xml:space="preserve"> </w:t>
      </w:r>
      <w:r>
        <w:t xml:space="preserve">Pour exécuter ce service, AutomateLux traite des données personnelles</w:t>
      </w:r>
      <w:r>
        <w:t xml:space="preserve"> </w:t>
      </w:r>
      <w:r>
        <w:rPr>
          <w:bCs/>
          <w:b/>
        </w:rPr>
        <w:t xml:space="preserve">pour le compte et sur</w:t>
      </w:r>
      <w:r>
        <w:rPr>
          <w:bCs/>
          <w:b/>
        </w:rPr>
        <w:t xml:space="preserve"> </w:t>
      </w:r>
      <w:r>
        <w:rPr>
          <w:bCs/>
          <w:b/>
        </w:rPr>
        <w:t xml:space="preserve">instruction du Client</w:t>
      </w:r>
      <w:r>
        <w:t xml:space="preserve">, au sens de l’article 28 du Règlement (UE) 2016/679 (« RGPD »).</w:t>
      </w:r>
    </w:p>
    <w:bookmarkEnd w:id="20"/>
    <w:bookmarkStart w:id="21" w:name="article-2-description-du-traitement"/>
    <w:p>
      <w:pPr>
        <w:pStyle w:val="Heading2"/>
      </w:pPr>
      <w:r>
        <w:t xml:space="preserve">Article 2 — Description du traitement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Nature des opérations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Réception et prise en charge des appels entrants ; reconnaissance vocale et transcription ; génération de réponses ; enregistrement des rendez-vous ; envoi de rappels ; journalisation technique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Répondre aux appels du Client lorsqu’il n’est pas disponible, prendre et gérer les rendez-vous, envoyer des rappels aux personnes qui l’ont accepté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Personnes concernées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Personnes qui appellent le Client (clients et prospects du Client)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Catégories de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Numéro de téléphone ; nom et prénom communiqués ; date, heure et objet du rendez-vous ; contenu de la conversation (transcription) ; enregistrement audio de l’appel</w:t>
            </w:r>
            <w:r>
              <w:t xml:space="preserve"> </w:t>
            </w:r>
            <w:r>
              <w:rPr>
                <w:bCs/>
                <w:b/>
              </w:rPr>
              <w:t xml:space="preserve">[À DÉCIDER : activé ou non — recommandation : non]</w:t>
            </w:r>
            <w:r>
              <w:t xml:space="preserve"> </w:t>
            </w:r>
            <w:r>
              <w:t xml:space="preserve">; adresse e-mail si communiquée pour un rappel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Données sensibles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L’Assistant n’est pas configuré pour demander de données sensibles (art. 9 RGPD). Pour les</w:t>
            </w:r>
            <w:r>
              <w:t xml:space="preserve"> </w:t>
            </w:r>
            <w:r>
              <w:rPr>
                <w:bCs/>
                <w:b/>
              </w:rPr>
              <w:t xml:space="preserve">révélations spontanées</w:t>
            </w:r>
            <w:r>
              <w:t xml:space="preserve"> </w:t>
            </w:r>
            <w:r>
              <w:t xml:space="preserve">d’un appelant, voir l’article 2.2. Pour les clients du secteur de la santé, voir l’article 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Durée du traitement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Durée du Contrat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Durée de conservation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Transcriptions : [30] jours dans le stockage désigné à l’annexe 2, puis suppression automatique. Enregistrements audio (si activés) : [30] jours. Données de rendez-vous : dans les outils du Client, selon ses règles. Journaux techniques : [90] jours.</w:t>
            </w:r>
            <w:r>
              <w:t xml:space="preserve"> </w:t>
            </w:r>
            <w:r>
              <w:rPr>
                <w:bCs/>
                <w:b/>
              </w:rPr>
              <w:t xml:space="preserve">[Durées à valider]</w:t>
            </w:r>
          </w:p>
        </w:tc>
      </w:tr>
    </w:tbl>
    <w:p>
      <w:pPr>
        <w:pStyle w:val="BodyText"/>
      </w:pPr>
      <w:r>
        <w:rPr>
          <w:bCs/>
          <w:b/>
        </w:rPr>
        <w:t xml:space="preserve">2.2 Révélations spontanées.</w:t>
      </w:r>
      <w:r>
        <w:t xml:space="preserve"> </w:t>
      </w:r>
      <w:r>
        <w:t xml:space="preserve">Si un appelant communique de lui-même une donnée sensible, AutomateLux</w:t>
      </w:r>
      <w:r>
        <w:t xml:space="preserve"> </w:t>
      </w:r>
      <w:r>
        <w:t xml:space="preserve">ne l’utilise que dans la mesure strictement nécessaire à la prise du rendez-vous, ne la reporte pas</w:t>
      </w:r>
      <w:r>
        <w:t xml:space="preserve"> </w:t>
      </w:r>
      <w:r>
        <w:t xml:space="preserve">dans les champs du rendez-vous au-delà de ce besoin, et la supprime avec la transcription au terme</w:t>
      </w:r>
      <w:r>
        <w:t xml:space="preserve"> </w:t>
      </w:r>
      <w:r>
        <w:t xml:space="preserve">de la durée de conservation.</w:t>
      </w:r>
    </w:p>
    <w:bookmarkEnd w:id="21"/>
    <w:bookmarkStart w:id="22" w:name="article-3-obligations-dautomatelux"/>
    <w:p>
      <w:pPr>
        <w:pStyle w:val="Heading2"/>
      </w:pPr>
      <w:r>
        <w:t xml:space="preserve">Article 3 — Obligations d’AutomateLux</w:t>
      </w:r>
    </w:p>
    <w:p>
      <w:pPr>
        <w:pStyle w:val="FirstParagraph"/>
      </w:pPr>
      <w:r>
        <w:t xml:space="preserve">AutomateLux s’engage à 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Instructions</w:t>
      </w:r>
      <w:r>
        <w:t xml:space="preserve"> </w:t>
      </w:r>
      <w:r>
        <w:t xml:space="preserve">: ne traiter les données que sur instruction documentée du Client, y compris</w:t>
      </w:r>
      <w:r>
        <w:t xml:space="preserve"> </w:t>
      </w:r>
      <w:r>
        <w:t xml:space="preserve">pour les transferts hors de l’Union européenne. Le Contrat principal et le présent contrat</w:t>
      </w:r>
      <w:r>
        <w:t xml:space="preserve"> </w:t>
      </w:r>
      <w:r>
        <w:t xml:space="preserve">constituent ces instructions. Si une instruction lui paraît contraire au RGPD, AutomateLux</w:t>
      </w:r>
      <w:r>
        <w:t xml:space="preserve"> </w:t>
      </w:r>
      <w:r>
        <w:t xml:space="preserve">en informe immédiatement le Client.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Confidentialité</w:t>
      </w:r>
      <w:r>
        <w:t xml:space="preserve"> </w:t>
      </w:r>
      <w:r>
        <w:t xml:space="preserve">: garantir que toute personne autorisée à traiter les données est soumise</w:t>
      </w:r>
      <w:r>
        <w:t xml:space="preserve"> </w:t>
      </w:r>
      <w:r>
        <w:t xml:space="preserve">à une obligation de confidentialité.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Sécurité</w:t>
      </w:r>
      <w:r>
        <w:t xml:space="preserve"> </w:t>
      </w:r>
      <w:r>
        <w:t xml:space="preserve">: mettre en œuvre les mesures de l’</w:t>
      </w:r>
      <w:r>
        <w:rPr>
          <w:bCs/>
          <w:b/>
        </w:rPr>
        <w:t xml:space="preserve">Annexe 2</w:t>
      </w:r>
      <w:r>
        <w:t xml:space="preserve"> </w:t>
      </w:r>
      <w:r>
        <w:t xml:space="preserve">(article 32 RGPD).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Sous-traitants ultérieurs</w:t>
      </w:r>
      <w:r>
        <w:t xml:space="preserve"> </w:t>
      </w:r>
      <w:r>
        <w:t xml:space="preserve">: respecter l’article 6.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Droits des personnes</w:t>
      </w:r>
      <w:r>
        <w:t xml:space="preserve"> </w:t>
      </w:r>
      <w:r>
        <w:t xml:space="preserve">: aider le Client, dans la mesure du possible, à répondre aux demandes</w:t>
      </w:r>
      <w:r>
        <w:t xml:space="preserve"> </w:t>
      </w:r>
      <w:r>
        <w:t xml:space="preserve">d’accès, de rectification, d’effacement, de limitation, d’opposition et de portabilité. Toute</w:t>
      </w:r>
      <w:r>
        <w:t xml:space="preserve"> </w:t>
      </w:r>
      <w:r>
        <w:t xml:space="preserve">demande reçue directement par AutomateLux est transmise au Client sous [3] jours ouvrés.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Violations de données</w:t>
      </w:r>
      <w:r>
        <w:t xml:space="preserve"> </w:t>
      </w:r>
      <w:r>
        <w:t xml:space="preserve">: notifier au Client toute violation de données personnelles</w:t>
      </w:r>
      <w:r>
        <w:t xml:space="preserve"> </w:t>
      </w:r>
      <w:r>
        <w:rPr>
          <w:bCs/>
          <w:b/>
        </w:rPr>
        <w:t xml:space="preserve">sans</w:t>
      </w:r>
      <w:r>
        <w:rPr>
          <w:bCs/>
          <w:b/>
        </w:rPr>
        <w:t xml:space="preserve"> </w:t>
      </w:r>
      <w:r>
        <w:rPr>
          <w:bCs/>
          <w:b/>
        </w:rPr>
        <w:t xml:space="preserve">délai injustifié et au plus tard [48] heures</w:t>
      </w:r>
      <w:r>
        <w:t xml:space="preserve"> </w:t>
      </w:r>
      <w:r>
        <w:t xml:space="preserve">après en avoir pris connaissance, avec les</w:t>
      </w:r>
      <w:r>
        <w:t xml:space="preserve"> </w:t>
      </w:r>
      <w:r>
        <w:t xml:space="preserve">informations disponibles (nature, catégories et nombre approximatif de personnes et de</w:t>
      </w:r>
      <w:r>
        <w:t xml:space="preserve"> </w:t>
      </w:r>
      <w:r>
        <w:t xml:space="preserve">données concernées, conséquences probables, mesures prises ou proposées), puis compléter ces</w:t>
      </w:r>
      <w:r>
        <w:t xml:space="preserve"> </w:t>
      </w:r>
      <w:r>
        <w:t xml:space="preserve">informations au fur et à mesure.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Assistance</w:t>
      </w:r>
      <w:r>
        <w:t xml:space="preserve"> </w:t>
      </w:r>
      <w:r>
        <w:t xml:space="preserve">: aider le Client à respecter ses obligations de sécurité, de notification à</w:t>
      </w:r>
      <w:r>
        <w:t xml:space="preserve"> </w:t>
      </w:r>
      <w:r>
        <w:t xml:space="preserve">la CNPD, d’information des personnes et, le cas échéant, d’analyse d’impact (articles 32 à 36).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 du contrat</w:t>
      </w:r>
      <w:r>
        <w:t xml:space="preserve"> </w:t>
      </w:r>
      <w:r>
        <w:t xml:space="preserve">: au choix du Client, restituer ou supprimer les données dans les [30] jours</w:t>
      </w:r>
      <w:r>
        <w:t xml:space="preserve"> </w:t>
      </w:r>
      <w:r>
        <w:t xml:space="preserve">suivant la fin du Contrat principal, y compris chez les sous-traitants ultérieurs, sauf obligation</w:t>
      </w:r>
      <w:r>
        <w:t xml:space="preserve"> </w:t>
      </w:r>
      <w:r>
        <w:t xml:space="preserve">légale de conservation. AutomateLux confirme la suppression par écrit.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Audit</w:t>
      </w:r>
      <w:r>
        <w:t xml:space="preserve"> </w:t>
      </w:r>
      <w:r>
        <w:t xml:space="preserve">: mettre à la disposition du Client les informations nécessaires pour démontrer le</w:t>
      </w:r>
      <w:r>
        <w:t xml:space="preserve"> </w:t>
      </w:r>
      <w:r>
        <w:t xml:space="preserve">respect du présent contrat, et permettre des audits par le Client ou un auditeur mandaté,</w:t>
      </w:r>
      <w:r>
        <w:t xml:space="preserve"> </w:t>
      </w:r>
      <w:r>
        <w:t xml:space="preserve">sur préavis écrit de [30] jours, au maximum une fois par an sauf violation avérée, aux frais</w:t>
      </w:r>
      <w:r>
        <w:t xml:space="preserve"> </w:t>
      </w:r>
      <w:r>
        <w:t xml:space="preserve">du Client.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Registre</w:t>
      </w:r>
      <w:r>
        <w:t xml:space="preserve"> </w:t>
      </w:r>
      <w:r>
        <w:t xml:space="preserve">: tenir le registre des activités de traitement effectuées pour le compte du</w:t>
      </w:r>
      <w:r>
        <w:t xml:space="preserve"> </w:t>
      </w:r>
      <w:r>
        <w:t xml:space="preserve">Client (article 30.2 RGPD).</w:t>
      </w:r>
    </w:p>
    <w:bookmarkEnd w:id="22"/>
    <w:bookmarkStart w:id="23" w:name="Xbeb24bf0332641f46609d492a50e95a504e1108"/>
    <w:p>
      <w:pPr>
        <w:pStyle w:val="Heading2"/>
      </w:pPr>
      <w:r>
        <w:t xml:space="preserve">Article 4 — Interdiction des usages propres et de l’entraînement de modèles</w:t>
      </w:r>
    </w:p>
    <w:p>
      <w:pPr>
        <w:numPr>
          <w:ilvl w:val="0"/>
          <w:numId w:val="1002"/>
        </w:numPr>
        <w:pStyle w:val="Compact"/>
      </w:pPr>
      <w:r>
        <w:t xml:space="preserve">AutomateLux ne traite pas les données du Client pour ses propres finalités. Elle ne les vend</w:t>
      </w:r>
      <w:r>
        <w:t xml:space="preserve"> </w:t>
      </w:r>
      <w:r>
        <w:t xml:space="preserve">pas, ne les loue pas, ne les utilise pas à des fins publicitaires ou de prospection.</w:t>
      </w:r>
    </w:p>
    <w:p>
      <w:pPr>
        <w:numPr>
          <w:ilvl w:val="0"/>
          <w:numId w:val="1002"/>
        </w:numPr>
        <w:pStyle w:val="Compact"/>
      </w:pPr>
      <w:r>
        <w:t xml:space="preserve">AutomateLux</w:t>
      </w:r>
      <w:r>
        <w:t xml:space="preserve"> </w:t>
      </w:r>
      <w:r>
        <w:rPr>
          <w:bCs/>
          <w:b/>
        </w:rPr>
        <w:t xml:space="preserve">n’utilise pas les données du Client pour entraîner, ajuster ou améliorer un modèle</w:t>
      </w:r>
      <w:r>
        <w:rPr>
          <w:bCs/>
          <w:b/>
        </w:rPr>
        <w:t xml:space="preserve"> </w:t>
      </w:r>
      <w:r>
        <w:rPr>
          <w:bCs/>
          <w:b/>
        </w:rPr>
        <w:t xml:space="preserve">d’intelligence artificielle</w:t>
      </w:r>
      <w:r>
        <w:t xml:space="preserve">, ni ne l’autorise.</w:t>
      </w:r>
    </w:p>
    <w:p>
      <w:pPr>
        <w:numPr>
          <w:ilvl w:val="0"/>
          <w:numId w:val="1002"/>
        </w:numPr>
        <w:pStyle w:val="Compact"/>
      </w:pPr>
      <w:r>
        <w:t xml:space="preserve">Pour chaque sous-traitant ultérieur, AutomateLux choisit les réglages qui excluent l’utilisation</w:t>
      </w:r>
      <w:r>
        <w:t xml:space="preserve"> </w:t>
      </w:r>
      <w:r>
        <w:t xml:space="preserve">des données pour l’entraînement lorsque ce réglage existe, et documente à l’annexe 1 la position</w:t>
      </w:r>
      <w:r>
        <w:t xml:space="preserve"> </w:t>
      </w:r>
      <w:r>
        <w:t xml:space="preserve">de chaque prestataire.</w:t>
      </w:r>
      <w:r>
        <w:t xml:space="preserve"> </w:t>
      </w:r>
      <w:r>
        <w:rPr>
          <w:bCs/>
          <w:b/>
        </w:rPr>
        <w:t xml:space="preserve">Lorsque cette position n’a pas pu être confirmée, l’annexe 1 l’indique</w:t>
      </w:r>
      <w:r>
        <w:rPr>
          <w:bCs/>
          <w:b/>
        </w:rPr>
        <w:t xml:space="preserve"> </w:t>
      </w:r>
      <w:r>
        <w:rPr>
          <w:bCs/>
          <w:b/>
        </w:rPr>
        <w:t xml:space="preserve">expressément</w:t>
      </w:r>
      <w:r>
        <w:t xml:space="preserve"> </w:t>
      </w:r>
      <w:r>
        <w:t xml:space="preserve">; AutomateLux s’engage à la confirmer ou à remplacer le prestataire dans un délai</w:t>
      </w:r>
      <w:r>
        <w:t xml:space="preserve"> </w:t>
      </w:r>
      <w:r>
        <w:t xml:space="preserve">de [90] jours.</w:t>
      </w:r>
    </w:p>
    <w:p>
      <w:pPr>
        <w:numPr>
          <w:ilvl w:val="0"/>
          <w:numId w:val="1002"/>
        </w:numPr>
        <w:pStyle w:val="Compact"/>
      </w:pPr>
      <w:r>
        <w:t xml:space="preserve">AutomateLux active les options de non-conservation proposées par ses prestataires lorsqu’elles</w:t>
      </w:r>
      <w:r>
        <w:t xml:space="preserve"> </w:t>
      </w:r>
      <w:r>
        <w:t xml:space="preserve">sont compatibles avec le service (notamment l’option « Zero Data Retention » de la plateforme</w:t>
      </w:r>
      <w:r>
        <w:t xml:space="preserve"> </w:t>
      </w:r>
      <w:r>
        <w:t xml:space="preserve">vocale, voir annexe 2).</w:t>
      </w:r>
    </w:p>
    <w:bookmarkEnd w:id="23"/>
    <w:bookmarkStart w:id="24" w:name="article-5-obligations-du-client"/>
    <w:p>
      <w:pPr>
        <w:pStyle w:val="Heading2"/>
      </w:pPr>
      <w:r>
        <w:t xml:space="preserve">Article 5 — Obligations du Client</w:t>
      </w:r>
    </w:p>
    <w:p>
      <w:pPr>
        <w:pStyle w:val="FirstParagraph"/>
      </w:pPr>
      <w:r>
        <w:t xml:space="preserve">Le Client, en tant que responsable du traitement, s’engage à :</w:t>
      </w:r>
    </w:p>
    <w:p>
      <w:pPr>
        <w:numPr>
          <w:ilvl w:val="0"/>
          <w:numId w:val="1003"/>
        </w:numPr>
        <w:pStyle w:val="Compact"/>
      </w:pPr>
      <w:r>
        <w:t xml:space="preserve">disposer d’une base légale pour chaque traitement confié 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informer les personnes qui l’appellent</w:t>
      </w:r>
      <w:r>
        <w:t xml:space="preserve"> </w:t>
      </w:r>
      <w:r>
        <w:t xml:space="preserve">(articles 13 et 14 RGPD) : le message d’accueil de</w:t>
      </w:r>
      <w:r>
        <w:t xml:space="preserve"> </w:t>
      </w:r>
      <w:r>
        <w:t xml:space="preserve">l’Assistant indique qu’il s’agit d’un assistant automatisé, si l’appel est transcrit ou</w:t>
      </w:r>
      <w:r>
        <w:t xml:space="preserve"> </w:t>
      </w:r>
      <w:r>
        <w:t xml:space="preserve">enregistré, et où trouver la notice d’information du Client (modèle fourni par AutomateLux) ;</w:t>
      </w:r>
    </w:p>
    <w:p>
      <w:pPr>
        <w:numPr>
          <w:ilvl w:val="0"/>
          <w:numId w:val="1003"/>
        </w:numPr>
        <w:pStyle w:val="Compact"/>
      </w:pPr>
      <w:r>
        <w:t xml:space="preserve">recueillir et conserver le</w:t>
      </w:r>
      <w:r>
        <w:t xml:space="preserve"> </w:t>
      </w:r>
      <w:r>
        <w:rPr>
          <w:bCs/>
          <w:b/>
        </w:rPr>
        <w:t xml:space="preserve">consentement</w:t>
      </w:r>
      <w:r>
        <w:t xml:space="preserve"> </w:t>
      </w:r>
      <w:r>
        <w:t xml:space="preserve">des personnes avant l’envoi de rappels, lorsque ce</w:t>
      </w:r>
      <w:r>
        <w:t xml:space="preserve"> </w:t>
      </w:r>
      <w:r>
        <w:t xml:space="preserve">consentement est requis ;</w:t>
      </w:r>
    </w:p>
    <w:p>
      <w:pPr>
        <w:numPr>
          <w:ilvl w:val="0"/>
          <w:numId w:val="1003"/>
        </w:numPr>
        <w:pStyle w:val="Compact"/>
      </w:pPr>
      <w:r>
        <w:t xml:space="preserve">ne pas demander à AutomateLux de configurer l’Assistant pour collecter des données sensibles,</w:t>
      </w:r>
      <w:r>
        <w:t xml:space="preserve"> </w:t>
      </w:r>
      <w:r>
        <w:t xml:space="preserve">sauf dans le cadre de l’article 10 ;</w:t>
      </w:r>
    </w:p>
    <w:p>
      <w:pPr>
        <w:numPr>
          <w:ilvl w:val="0"/>
          <w:numId w:val="1003"/>
        </w:numPr>
        <w:pStyle w:val="Compact"/>
      </w:pPr>
      <w:r>
        <w:t xml:space="preserve">documenter par écrit toute instruction supplémentaire.</w:t>
      </w:r>
    </w:p>
    <w:bookmarkEnd w:id="24"/>
    <w:bookmarkStart w:id="25" w:name="article-6-sous-traitants-ultérieurs"/>
    <w:p>
      <w:pPr>
        <w:pStyle w:val="Heading2"/>
      </w:pPr>
      <w:r>
        <w:t xml:space="preserve">Article 6 — Sous-traitants ultérieurs</w:t>
      </w:r>
    </w:p>
    <w:p>
      <w:pPr>
        <w:numPr>
          <w:ilvl w:val="0"/>
          <w:numId w:val="1004"/>
        </w:numPr>
        <w:pStyle w:val="Compact"/>
      </w:pPr>
      <w:r>
        <w:t xml:space="preserve">Le Client autorise de manière générale AutomateLux à recourir aux sous-traitants ultérieurs</w:t>
      </w:r>
      <w:r>
        <w:t xml:space="preserve"> </w:t>
      </w:r>
      <w:r>
        <w:t xml:space="preserve">listés en</w:t>
      </w:r>
      <w:r>
        <w:t xml:space="preserve"> </w:t>
      </w:r>
      <w:r>
        <w:rPr>
          <w:bCs/>
          <w:b/>
        </w:rPr>
        <w:t xml:space="preserve">Annexe 1</w:t>
      </w:r>
      <w:r>
        <w:t xml:space="preserve">, avec leur identité, leur localisation, le lien contractuel et la</w:t>
      </w:r>
      <w:r>
        <w:t xml:space="preserve"> </w:t>
      </w:r>
      <w:r>
        <w:t xml:space="preserve">garantie de transfert.</w:t>
      </w:r>
    </w:p>
    <w:p>
      <w:pPr>
        <w:numPr>
          <w:ilvl w:val="0"/>
          <w:numId w:val="1004"/>
        </w:numPr>
        <w:pStyle w:val="Compact"/>
      </w:pPr>
      <w:r>
        <w:t xml:space="preserve">AutomateLux informe le Client par écrit, au moins [30] jours à l’avance, de tout ajout ou</w:t>
      </w:r>
      <w:r>
        <w:t xml:space="preserve"> </w:t>
      </w:r>
      <w:r>
        <w:t xml:space="preserve">remplacement.</w:t>
      </w:r>
      <w:r>
        <w:t xml:space="preserve"> </w:t>
      </w:r>
      <w:r>
        <w:rPr>
          <w:bCs/>
          <w:b/>
        </w:rPr>
        <w:t xml:space="preserve">Aucun nouveau sous-traitant ne traite les données avant la fin de ce délai.</w:t>
      </w:r>
      <w:r>
        <w:t xml:space="preserve"> </w:t>
      </w:r>
      <w:r>
        <w:t xml:space="preserve">Le Client peut s’y opposer pour un motif légitime lié à la protection des données. À défaut</w:t>
      </w:r>
      <w:r>
        <w:t xml:space="preserve"> </w:t>
      </w:r>
      <w:r>
        <w:t xml:space="preserve">d’accord, chaque partie peut résilier le Contrat principal sans pénalité, et les sommes payées</w:t>
      </w:r>
      <w:r>
        <w:t xml:space="preserve"> </w:t>
      </w:r>
      <w:r>
        <w:t xml:space="preserve">d’avance pour la période non exécutée sont remboursées.</w:t>
      </w:r>
    </w:p>
    <w:p>
      <w:pPr>
        <w:numPr>
          <w:ilvl w:val="0"/>
          <w:numId w:val="1004"/>
        </w:numPr>
        <w:pStyle w:val="Compact"/>
      </w:pPr>
      <w:r>
        <w:t xml:space="preserve">AutomateLux impose à chaque sous-traitant ultérieur des obligations de protection au moins</w:t>
      </w:r>
      <w:r>
        <w:t xml:space="preserve"> </w:t>
      </w:r>
      <w:r>
        <w:t xml:space="preserve">équivalentes à celles du présent contrat (ou, pour les prestataires qui imposent leurs propres</w:t>
      </w:r>
      <w:r>
        <w:t xml:space="preserve"> </w:t>
      </w:r>
      <w:r>
        <w:t xml:space="preserve">conditions, s’assure que ces conditions offrent des garanties équivalentes), et reste</w:t>
      </w:r>
      <w:r>
        <w:t xml:space="preserve"> </w:t>
      </w:r>
      <w:r>
        <w:t xml:space="preserve">responsable envers le Client de leur respect.</w:t>
      </w:r>
    </w:p>
    <w:bookmarkEnd w:id="25"/>
    <w:bookmarkStart w:id="26" w:name="X33cbd4e73c0c4ab4f3279966e70f62475948fc7"/>
    <w:p>
      <w:pPr>
        <w:pStyle w:val="Heading2"/>
      </w:pPr>
      <w:r>
        <w:t xml:space="preserve">Article 7 — Transferts hors de l’Union européenne</w:t>
      </w:r>
    </w:p>
    <w:p>
      <w:pPr>
        <w:numPr>
          <w:ilvl w:val="0"/>
          <w:numId w:val="1005"/>
        </w:numPr>
        <w:pStyle w:val="Compact"/>
      </w:pPr>
      <w:r>
        <w:t xml:space="preserve">Les transferts vers un pays hors de l’Espace économique européen ne sont effectués que vers les</w:t>
      </w:r>
      <w:r>
        <w:t xml:space="preserve"> </w:t>
      </w:r>
      <w:r>
        <w:t xml:space="preserve">prestataires de l’annexe 1, et uniquement sur la base indiquée pour chacun :</w:t>
      </w:r>
    </w:p>
    <w:p>
      <w:pPr>
        <w:numPr>
          <w:ilvl w:val="1"/>
          <w:numId w:val="1006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décision d’adéquation EU-U.S. Data Privacy Framework</w:t>
      </w:r>
      <w:r>
        <w:t xml:space="preserve">, lorsque le prestataire figure</w:t>
      </w:r>
      <w:r>
        <w:t xml:space="preserve"> </w:t>
      </w:r>
      <w:r>
        <w:t xml:space="preserve">comme certifié et actif sur le registre officiel (dataprivacyframework.gov) ; ou</w:t>
      </w:r>
    </w:p>
    <w:p>
      <w:pPr>
        <w:numPr>
          <w:ilvl w:val="1"/>
          <w:numId w:val="1006"/>
        </w:numPr>
        <w:pStyle w:val="Compact"/>
      </w:pPr>
      <w:r>
        <w:t xml:space="preserve">les</w:t>
      </w:r>
      <w:r>
        <w:t xml:space="preserve"> </w:t>
      </w:r>
      <w:r>
        <w:rPr>
          <w:bCs/>
          <w:b/>
        </w:rPr>
        <w:t xml:space="preserve">clauses contractuelles types</w:t>
      </w:r>
      <w:r>
        <w:t xml:space="preserve"> </w:t>
      </w:r>
      <w:r>
        <w:t xml:space="preserve">de la Commission européenne (décision 2021/914), intégrées</w:t>
      </w:r>
      <w:r>
        <w:t xml:space="preserve"> </w:t>
      </w:r>
      <w:r>
        <w:t xml:space="preserve">au contrat du prestataire, avec le module applicable.</w:t>
      </w:r>
    </w:p>
    <w:p>
      <w:pPr>
        <w:numPr>
          <w:ilvl w:val="0"/>
          <w:numId w:val="1005"/>
        </w:numPr>
        <w:pStyle w:val="Compact"/>
      </w:pPr>
      <w:r>
        <w:t xml:space="preserve">Pour chaque transfert fondé sur les clauses contractuelles types, AutomateLux réalise et tient à</w:t>
      </w:r>
      <w:r>
        <w:t xml:space="preserve"> </w:t>
      </w:r>
      <w:r>
        <w:t xml:space="preserve">la disposition du Client une</w:t>
      </w:r>
      <w:r>
        <w:t xml:space="preserve"> </w:t>
      </w:r>
      <w:r>
        <w:rPr>
          <w:bCs/>
          <w:b/>
        </w:rPr>
        <w:t xml:space="preserve">analyse d’impact du transfert</w:t>
      </w:r>
      <w:r>
        <w:t xml:space="preserve"> </w:t>
      </w:r>
      <w:r>
        <w:t xml:space="preserve">(évaluation de la législation du</w:t>
      </w:r>
      <w:r>
        <w:t xml:space="preserve"> </w:t>
      </w:r>
      <w:r>
        <w:t xml:space="preserve">pays de destination et des mesures complémentaires).</w:t>
      </w:r>
    </w:p>
    <w:p>
      <w:pPr>
        <w:numPr>
          <w:ilvl w:val="0"/>
          <w:numId w:val="1005"/>
        </w:numPr>
        <w:pStyle w:val="Compact"/>
      </w:pPr>
      <w:r>
        <w:t xml:space="preserve">AutomateLux</w:t>
      </w:r>
      <w:r>
        <w:t xml:space="preserve"> </w:t>
      </w:r>
      <w:r>
        <w:rPr>
          <w:bCs/>
          <w:b/>
        </w:rPr>
        <w:t xml:space="preserve">vérifie au moins une fois par an</w:t>
      </w:r>
      <w:r>
        <w:t xml:space="preserve"> </w:t>
      </w:r>
      <w:r>
        <w:t xml:space="preserve">la certification des prestataires fondés sur le</w:t>
      </w:r>
      <w:r>
        <w:t xml:space="preserve"> </w:t>
      </w:r>
      <w:r>
        <w:t xml:space="preserve">Data Privacy Framework et met l’annexe 1 à jour.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 une base de transfert disparaît</w:t>
      </w:r>
      <w:r>
        <w:t xml:space="preserve"> </w:t>
      </w:r>
      <w:r>
        <w:t xml:space="preserve">(retrait de certification, invalidation de la décision</w:t>
      </w:r>
      <w:r>
        <w:t xml:space="preserve"> </w:t>
      </w:r>
      <w:r>
        <w:t xml:space="preserve">d’adéquation, suspension des clauses), AutomateLux en informe le Client sans délai et, dans un</w:t>
      </w:r>
      <w:r>
        <w:t xml:space="preserve"> </w:t>
      </w:r>
      <w:r>
        <w:t xml:space="preserve">délai de [30] jours, soit met en place une autre base valable, soit cesse le transfert concerné,</w:t>
      </w:r>
      <w:r>
        <w:t xml:space="preserve"> </w:t>
      </w:r>
      <w:r>
        <w:t xml:space="preserve">au besoin en remplaçant le prestataire.</w:t>
      </w:r>
    </w:p>
    <w:bookmarkEnd w:id="26"/>
    <w:bookmarkStart w:id="27" w:name="article-8-demandes-daccès-des-autorités"/>
    <w:p>
      <w:pPr>
        <w:pStyle w:val="Heading2"/>
      </w:pPr>
      <w:r>
        <w:t xml:space="preserve">Article 8 — Demandes d’accès des autorités</w:t>
      </w:r>
    </w:p>
    <w:p>
      <w:pPr>
        <w:numPr>
          <w:ilvl w:val="0"/>
          <w:numId w:val="1007"/>
        </w:numPr>
        <w:pStyle w:val="Compact"/>
      </w:pPr>
      <w:r>
        <w:t xml:space="preserve">Si AutomateLux ou un sous-traitant ultérieur reçoit d’une autorité publique, notamment d’un pays</w:t>
      </w:r>
      <w:r>
        <w:t xml:space="preserve"> </w:t>
      </w:r>
      <w:r>
        <w:t xml:space="preserve">tiers, une demande d’accès aux données du Client, AutomateLux, sauf interdiction légale :</w:t>
      </w:r>
      <w:r>
        <w:t xml:space="preserve"> </w:t>
      </w:r>
      <w:r>
        <w:t xml:space="preserve">informe le Client sans délai, vérifie la légalité de la demande, la conteste lorsqu’il existe des</w:t>
      </w:r>
      <w:r>
        <w:t xml:space="preserve"> </w:t>
      </w:r>
      <w:r>
        <w:t xml:space="preserve">motifs sérieux, et ne communique que le minimum de données strictement requis.</w:t>
      </w:r>
    </w:p>
    <w:p>
      <w:pPr>
        <w:numPr>
          <w:ilvl w:val="0"/>
          <w:numId w:val="1007"/>
        </w:numPr>
        <w:pStyle w:val="Compact"/>
      </w:pPr>
      <w:r>
        <w:t xml:space="preserve">Lorsque la loi lui interdit d’informer le Client, AutomateLux s’efforce d’obtenir la levée de</w:t>
      </w:r>
      <w:r>
        <w:t xml:space="preserve"> </w:t>
      </w:r>
      <w:r>
        <w:t xml:space="preserve">cette interdiction et documente sa démarche.</w:t>
      </w:r>
    </w:p>
    <w:p>
      <w:pPr>
        <w:numPr>
          <w:ilvl w:val="0"/>
          <w:numId w:val="1007"/>
        </w:numPr>
        <w:pStyle w:val="Compact"/>
      </w:pPr>
      <w:r>
        <w:t xml:space="preserve">AutomateLux impose ou vérifie des engagements équivalents chez ses sous-traitants ultérieurs</w:t>
      </w:r>
      <w:r>
        <w:t xml:space="preserve"> </w:t>
      </w:r>
      <w:r>
        <w:t xml:space="preserve">établis hors de l’EEE.</w:t>
      </w:r>
      <w:r>
        <w:t xml:space="preserve"> </w:t>
      </w:r>
      <w:r>
        <w:rPr>
          <w:bCs/>
          <w:b/>
        </w:rPr>
        <w:t xml:space="preserve">[À VÉRIFIER : ce que les DPA de Vapi, OpenAI, Airtable et du</w:t>
      </w:r>
      <w:r>
        <w:rPr>
          <w:bCs/>
          <w:b/>
        </w:rPr>
        <w:t xml:space="preserve"> </w:t>
      </w:r>
      <w:r>
        <w:rPr>
          <w:bCs/>
          <w:b/>
        </w:rPr>
        <w:t xml:space="preserve">fournisseur de transcription prévoient déjà sur ce point.]</w:t>
      </w:r>
    </w:p>
    <w:bookmarkEnd w:id="27"/>
    <w:bookmarkStart w:id="28" w:name="article-9-responsabilité"/>
    <w:p>
      <w:pPr>
        <w:pStyle w:val="Heading2"/>
      </w:pPr>
      <w:r>
        <w:t xml:space="preserve">Article 9 — Responsabilité</w:t>
      </w:r>
    </w:p>
    <w:p>
      <w:pPr>
        <w:numPr>
          <w:ilvl w:val="0"/>
          <w:numId w:val="1008"/>
        </w:numPr>
        <w:pStyle w:val="Compact"/>
      </w:pPr>
      <w:r>
        <w:t xml:space="preserve">Chaque partie est responsable des dommages causés par sa propre violation du RGPD ou du présent</w:t>
      </w:r>
      <w:r>
        <w:t xml:space="preserve"> </w:t>
      </w:r>
      <w:r>
        <w:t xml:space="preserve">contrat, conformément à l’article 82 RGPD.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Par dérogation à l’article 11 des conditions générales de vente d’AutomateLux</w:t>
      </w:r>
      <w:r>
        <w:t xml:space="preserve">, la</w:t>
      </w:r>
      <w:r>
        <w:t xml:space="preserve"> </w:t>
      </w:r>
      <w:r>
        <w:t xml:space="preserve">responsabilité d’AutomateLux au titre du présent contrat n’est pas soumise au plafond général</w:t>
      </w:r>
      <w:r>
        <w:t xml:space="preserve"> </w:t>
      </w:r>
      <w:r>
        <w:t xml:space="preserve">des CGV. Elle est limitée à</w:t>
      </w:r>
      <w:r>
        <w:t xml:space="preserve"> </w:t>
      </w:r>
      <w:r>
        <w:rPr>
          <w:bCs/>
          <w:b/>
        </w:rPr>
        <w:t xml:space="preserve">[À DÉCIDER : montant ou formule, par exemple un multiple des</w:t>
      </w:r>
      <w:r>
        <w:rPr>
          <w:bCs/>
          <w:b/>
        </w:rPr>
        <w:t xml:space="preserve"> </w:t>
      </w:r>
      <w:r>
        <w:rPr>
          <w:bCs/>
          <w:b/>
        </w:rPr>
        <w:t xml:space="preserve">sommes payées sur 12 mois, ou le montant couvert par l’assurance]</w:t>
      </w:r>
      <w:r>
        <w:t xml:space="preserve">, sauf faute lourde ou</w:t>
      </w:r>
      <w:r>
        <w:t xml:space="preserve"> </w:t>
      </w:r>
      <w:r>
        <w:t xml:space="preserve">intentionnelle.</w:t>
      </w:r>
    </w:p>
    <w:p>
      <w:pPr>
        <w:numPr>
          <w:ilvl w:val="0"/>
          <w:numId w:val="1008"/>
        </w:numPr>
        <w:pStyle w:val="Compact"/>
      </w:pPr>
      <w:r>
        <w:t xml:space="preserve">AutomateLux maintient une assurance responsabilité civile professionnelle</w:t>
      </w:r>
      <w:r>
        <w:t xml:space="preserve"> </w:t>
      </w:r>
      <w:r>
        <w:rPr>
          <w:bCs/>
          <w:b/>
        </w:rPr>
        <w:t xml:space="preserve">[À DÉCIDER : et une</w:t>
      </w:r>
      <w:r>
        <w:rPr>
          <w:bCs/>
          <w:b/>
        </w:rPr>
        <w:t xml:space="preserve"> </w:t>
      </w:r>
      <w:r>
        <w:rPr>
          <w:bCs/>
          <w:b/>
        </w:rPr>
        <w:t xml:space="preserve">assurance cyber]</w:t>
      </w:r>
      <w:r>
        <w:t xml:space="preserve"> </w:t>
      </w:r>
      <w:r>
        <w:t xml:space="preserve">couvrant les traitements prévus par le présent contrat, et en remet une</w:t>
      </w:r>
      <w:r>
        <w:t xml:space="preserve"> </w:t>
      </w:r>
      <w:r>
        <w:t xml:space="preserve">attestation au Client sur demande.</w:t>
      </w:r>
    </w:p>
    <w:bookmarkEnd w:id="28"/>
    <w:bookmarkStart w:id="29" w:name="article-10-option-secteur-santé"/>
    <w:p>
      <w:pPr>
        <w:pStyle w:val="Heading2"/>
      </w:pPr>
      <w:r>
        <w:t xml:space="preserve">Article 10 — Option « secteur santé »</w:t>
      </w:r>
    </w:p>
    <w:p>
      <w:pPr>
        <w:pStyle w:val="FirstParagraph"/>
      </w:pPr>
      <w:r>
        <w:rPr>
          <w:bCs/>
          <w:b/>
        </w:rPr>
        <w:t xml:space="preserve">Cette option n’est pas disponible tant qu’elle n’a pas été validée par un juriste.</w:t>
      </w:r>
      <w:r>
        <w:t xml:space="preserve"> </w:t>
      </w:r>
      <w:r>
        <w:t xml:space="preserve">Lorsque le</w:t>
      </w:r>
      <w:r>
        <w:t xml:space="preserve"> </w:t>
      </w:r>
      <w:r>
        <w:t xml:space="preserve">Client est un professionnel de santé humaine (cabinet médical, dentaire, paramédical), le motif</w:t>
      </w:r>
      <w:r>
        <w:t xml:space="preserve"> </w:t>
      </w:r>
      <w:r>
        <w:t xml:space="preserve">du rendez-vous peut constituer une donnée de santé. Avant toute mise en service, les parties</w:t>
      </w:r>
      <w:r>
        <w:t xml:space="preserve"> </w:t>
      </w:r>
      <w:r>
        <w:t xml:space="preserve">conviennent par écrit : de la base légale applicable au titre de l’article 9.2 du RGPD ; de la</w:t>
      </w:r>
      <w:r>
        <w:t xml:space="preserve"> </w:t>
      </w:r>
      <w:r>
        <w:t xml:space="preserve">désactivation de l’enregistrement audio ; d’une durée de conservation réduite des transcriptions ;</w:t>
      </w:r>
      <w:r>
        <w:t xml:space="preserve"> </w:t>
      </w:r>
      <w:r>
        <w:t xml:space="preserve">de la nécessité d’une analyse d’impact (article 35) ; et de prestataires adaptés.</w:t>
      </w:r>
      <w:r>
        <w:t xml:space="preserve"> </w:t>
      </w:r>
      <w:r>
        <w:rPr>
          <w:iCs/>
          <w:i/>
        </w:rPr>
        <w:t xml:space="preserve">Les cabinets vétérinaires ne sont pas concernés par cet article : la santé d’un animal n’est pas</w:t>
      </w:r>
      <w:r>
        <w:rPr>
          <w:iCs/>
          <w:i/>
        </w:rPr>
        <w:t xml:space="preserve"> </w:t>
      </w:r>
      <w:r>
        <w:rPr>
          <w:iCs/>
          <w:i/>
        </w:rPr>
        <w:t xml:space="preserve">une donnée de santé au sens du RGPD.</w:t>
      </w:r>
    </w:p>
    <w:bookmarkEnd w:id="29"/>
    <w:bookmarkStart w:id="30" w:name="article-11-durée"/>
    <w:p>
      <w:pPr>
        <w:pStyle w:val="Heading2"/>
      </w:pPr>
      <w:r>
        <w:t xml:space="preserve">Article 11 — Durée</w:t>
      </w:r>
    </w:p>
    <w:p>
      <w:pPr>
        <w:pStyle w:val="FirstParagraph"/>
      </w:pPr>
      <w:r>
        <w:t xml:space="preserve">Le présent contrat entre en vigueur à sa signature et prend fin à l’expiration du Contrat</w:t>
      </w:r>
      <w:r>
        <w:t xml:space="preserve"> </w:t>
      </w:r>
      <w:r>
        <w:t xml:space="preserve">principal. Les obligations de l’article 3.8 (restitution et suppression), de confidentialité et</w:t>
      </w:r>
      <w:r>
        <w:t xml:space="preserve"> </w:t>
      </w:r>
      <w:r>
        <w:t xml:space="preserve">de l’article 9 survivent à cette fin.</w:t>
      </w:r>
    </w:p>
    <w:bookmarkEnd w:id="30"/>
    <w:bookmarkStart w:id="31" w:name="article-12-droit-applicable"/>
    <w:p>
      <w:pPr>
        <w:pStyle w:val="Heading2"/>
      </w:pPr>
      <w:r>
        <w:t xml:space="preserve">Article 12 — Droit applicable</w:t>
      </w:r>
    </w:p>
    <w:p>
      <w:pPr>
        <w:pStyle w:val="FirstParagraph"/>
      </w:pPr>
      <w:r>
        <w:t xml:space="preserve">Droit luxembourgeois. Tribunaux compétents : ceux de Luxembourg-Ville.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Fait à [lieu], le [date], en deux exemplaires.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Pour le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 AutomateLux S.à r.l.-S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[Nom, fonction]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Nilton Soares, gérant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Signature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: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annexe-1-sous-traitants-ultérieurs"/>
    <w:p>
      <w:pPr>
        <w:pStyle w:val="Heading2"/>
      </w:pPr>
      <w:r>
        <w:t xml:space="preserve">Annexe 1 — Sous-traitants ultérieurs</w:t>
      </w:r>
    </w:p>
    <w:p>
      <w:pPr>
        <w:pStyle w:val="FirstParagraph"/>
      </w:pPr>
      <w:r>
        <w:t xml:space="preserve">Vérifications du 28/10/2026 : registre officiel du Data Privacy Framework et documentation publique</w:t>
      </w:r>
      <w:r>
        <w:t xml:space="preserve"> </w:t>
      </w:r>
      <w:r>
        <w:t xml:space="preserve">des prestataires. Les conditions réellement attachées aux comptes d’AutomateLux restent à confirmer</w:t>
      </w:r>
      <w:r>
        <w:t xml:space="preserve"> </w:t>
      </w:r>
      <w:r>
        <w:t xml:space="preserve">(colonne « Lien contractuel »).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Prestataire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contractuel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Lieu de traitement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Garantie de transfert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Entraînement de modèles sur les données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Superpowered Inc. (</w:t>
            </w:r>
            <w:r>
              <w:rPr>
                <w:bCs/>
                <w:b/>
              </w:rPr>
              <w:t xml:space="preserve">Vapi</w:t>
            </w:r>
            <w:r>
              <w:t xml:space="preserve">), États-Unis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Plateforme de l’agent vocal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— DPA intégré aux conditions d’utilisation de Vapi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États-Unis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Clauses contractuelles types + analyse d’impact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confirmé</w:t>
            </w:r>
            <w:r>
              <w:t xml:space="preserve"> </w:t>
            </w:r>
            <w:r>
              <w:t xml:space="preserve">— à confirmer (art. 4.3)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OpenAI Ireland Ltd</w:t>
            </w:r>
            <w:r>
              <w:t xml:space="preserve">, Irlande (clé API d’AutomateLux)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Génération des réponses (modèle GPT-4.1)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— DPA OpenAI</w:t>
            </w:r>
            <w:r>
              <w:t xml:space="preserve"> </w:t>
            </w:r>
            <w:r>
              <w:rPr>
                <w:bCs/>
                <w:b/>
              </w:rPr>
              <w:t xml:space="preserve">[à confirmer : accepté dans le compte]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États-Unis (traitement par OpenAI OpCo, LLC)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Clauses contractuelles types + analyse d’impact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</w:t>
            </w:r>
            <w:r>
              <w:t xml:space="preserve"> </w:t>
            </w:r>
            <w:r>
              <w:t xml:space="preserve">par défaut pour l’API (documentation OpenAI)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ElevenLabs</w:t>
            </w:r>
            <w:r>
              <w:t xml:space="preserve"> </w:t>
            </w:r>
            <w:r>
              <w:t xml:space="preserve">(clé API d’AutomateLux)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Synthèse vocale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— DPA ElevenLabs</w:t>
            </w:r>
            <w:r>
              <w:t xml:space="preserve"> </w:t>
            </w:r>
            <w:r>
              <w:rPr>
                <w:bCs/>
                <w:b/>
              </w:rPr>
              <w:t xml:space="preserve">[à confirmer selon l’offre]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États-Unis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Privacy Framework</w:t>
            </w:r>
            <w:r>
              <w:t xml:space="preserve"> </w:t>
            </w:r>
            <w:r>
              <w:t xml:space="preserve">— certification active vérifiée le 28/10/2026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confirmé</w:t>
            </w:r>
            <w:r>
              <w:t xml:space="preserve"> </w:t>
            </w:r>
            <w:r>
              <w:t xml:space="preserve">— à confirmer (art. 4.3)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[Fournisseur de transcription — à confirmer dans le compte Vapi]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Reconnaissance vocale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[Direct (clé API d’AutomateLux) / via Vapi — à confirmer]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compléter]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compléter — ex. Deepgram : non certifié DPF, clauses contractuelles types à vérifier]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confirmé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[Opérateur téléphonique — à confirmer]</w:t>
            </w:r>
            <w:r>
              <w:t xml:space="preserve"> </w:t>
            </w:r>
            <w:r>
              <w:t xml:space="preserve">(ex. Twilio Inc.)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Numéro et acheminement des appels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confirmer]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compléter]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Twilio :</w:t>
            </w:r>
            <w:r>
              <w:t xml:space="preserve"> </w:t>
            </w:r>
            <w:r>
              <w:rPr>
                <w:bCs/>
                <w:b/>
              </w:rPr>
              <w:t xml:space="preserve">Data Privacy Framework</w:t>
            </w:r>
            <w:r>
              <w:t xml:space="preserve"> </w:t>
            </w:r>
            <w:r>
              <w:t xml:space="preserve">— certification active vérifiée le 28/10/2026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Sans objet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Celonis (Make.com)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Automatisations (webhooks)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— DPA Make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Union européenne (région EU1)</w:t>
            </w:r>
            <w:r>
              <w:t xml:space="preserve"> </w:t>
            </w:r>
            <w:r>
              <w:rPr>
                <w:bCs/>
                <w:b/>
              </w:rPr>
              <w:t xml:space="preserve">[à confirmer]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Hébergement UE ; Celonis Inc. certifiée DPF (vérifié le 28/10/2026)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confirmé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Formagrid Inc. (</w:t>
            </w:r>
            <w:r>
              <w:rPr>
                <w:bCs/>
                <w:b/>
              </w:rPr>
              <w:t xml:space="preserve">Airtable</w:t>
            </w:r>
            <w:r>
              <w:t xml:space="preserve">), États-Unis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Stockage des rendez-vous et journaux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— DPA Airtable</w:t>
            </w:r>
            <w:r>
              <w:t xml:space="preserve"> </w:t>
            </w:r>
            <w:r>
              <w:rPr>
                <w:bCs/>
                <w:b/>
              </w:rPr>
              <w:t xml:space="preserve">[à confirmer selon l’offre]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États-Unis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Clauses contractuelles types + analyse d’impact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confirmé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Brevo</w:t>
            </w:r>
            <w:r>
              <w:t xml:space="preserve"> </w:t>
            </w:r>
            <w:r>
              <w:t xml:space="preserve">(Sendinblue SAS), 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Envoi des rappels par e-mail /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— DPA Brevo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Union européenne</w:t>
            </w:r>
            <w:r>
              <w:t xml:space="preserve"> </w:t>
            </w:r>
            <w:r>
              <w:rPr>
                <w:bCs/>
                <w:b/>
              </w:rPr>
              <w:t xml:space="preserve">[à confirmer]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Sans objet si 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confirmé</w:t>
            </w:r>
          </w:p>
        </w:tc>
      </w:tr>
    </w:tbl>
    <w:bookmarkEnd w:id="32"/>
    <w:bookmarkStart w:id="33" w:name="X52bda3efff63b67e3d2891a1efa55aad59e9984"/>
    <w:p>
      <w:pPr>
        <w:pStyle w:val="Heading2"/>
      </w:pPr>
      <w:r>
        <w:t xml:space="preserve">Annexe 2 — Mesures de sécurité (article 32 RGPD)</w:t>
      </w:r>
    </w:p>
    <w:p>
      <w:pPr>
        <w:pStyle w:val="BlockText"/>
      </w:pPr>
      <w:r>
        <w:t xml:space="preserve">Ne laisser dans cette liste que ce qui est</w:t>
      </w:r>
      <w:r>
        <w:t xml:space="preserve"> </w:t>
      </w:r>
      <w:r>
        <w:rPr>
          <w:bCs/>
          <w:b/>
        </w:rPr>
        <w:t xml:space="preserve">réellement en place</w:t>
      </w:r>
      <w:r>
        <w:t xml:space="preserve"> </w:t>
      </w:r>
      <w:r>
        <w:t xml:space="preserve">à la date de signature.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Zero Data Retention activé sur la plateforme vocale (Vapi)</w:t>
      </w:r>
      <w:r>
        <w:t xml:space="preserve"> </w:t>
      </w:r>
      <w:r>
        <w:t xml:space="preserve">: aucun enregistrement, transcription</w:t>
      </w:r>
      <w:r>
        <w:t xml:space="preserve"> </w:t>
      </w:r>
      <w:r>
        <w:t xml:space="preserve">ni résumé n’est conservé par Vapi après l’appel ; seules des métadonnées techniques et de</w:t>
      </w:r>
      <w:r>
        <w:t xml:space="preserve"> </w:t>
      </w:r>
      <w:r>
        <w:t xml:space="preserve">facturation sont conservées.</w:t>
      </w:r>
    </w:p>
    <w:p>
      <w:pPr>
        <w:numPr>
          <w:ilvl w:val="0"/>
          <w:numId w:val="1009"/>
        </w:numPr>
        <w:pStyle w:val="Compact"/>
      </w:pPr>
      <w:r>
        <w:t xml:space="preserve">Transcriptions conservées uniquement dans le stockage désigné par AutomateLux :</w:t>
      </w:r>
      <w:r>
        <w:t xml:space="preserve"> </w:t>
      </w:r>
      <w:r>
        <w:rPr>
          <w:bCs/>
          <w:b/>
        </w:rPr>
        <w:t xml:space="preserve">[à compléter : prestataire et pays — recommandation : stockage situé dans l’UE]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Accès aux comptes des prestataires protégés par mot de passe unique et authentification à deux facteurs.</w:t>
      </w:r>
    </w:p>
    <w:p>
      <w:pPr>
        <w:numPr>
          <w:ilvl w:val="0"/>
          <w:numId w:val="1009"/>
        </w:numPr>
        <w:pStyle w:val="Compact"/>
      </w:pPr>
      <w:r>
        <w:t xml:space="preserve">Accès limité au gérant d’AutomateLux ; aucun partage d’identifiants.</w:t>
      </w:r>
    </w:p>
    <w:p>
      <w:pPr>
        <w:numPr>
          <w:ilvl w:val="0"/>
          <w:numId w:val="1009"/>
        </w:numPr>
        <w:pStyle w:val="Compact"/>
      </w:pPr>
      <w:r>
        <w:t xml:space="preserve">Chiffrement des échanges (HTTPS/TLS) entre les services.</w:t>
      </w:r>
    </w:p>
    <w:p>
      <w:pPr>
        <w:numPr>
          <w:ilvl w:val="0"/>
          <w:numId w:val="1009"/>
        </w:numPr>
        <w:pStyle w:val="Compact"/>
      </w:pPr>
      <w:r>
        <w:t xml:space="preserve">Clés d’API conservées hors des documents partagés, renouvelées en cas de doute.</w:t>
      </w:r>
    </w:p>
    <w:p>
      <w:pPr>
        <w:numPr>
          <w:ilvl w:val="0"/>
          <w:numId w:val="1009"/>
        </w:numPr>
        <w:pStyle w:val="Compact"/>
      </w:pPr>
      <w:r>
        <w:t xml:space="preserve">Suppression automatique des transcriptions et enregistrements au terme de la durée de l’article 2.</w:t>
      </w:r>
    </w:p>
    <w:p>
      <w:pPr>
        <w:numPr>
          <w:ilvl w:val="0"/>
          <w:numId w:val="1009"/>
        </w:numPr>
        <w:pStyle w:val="Compact"/>
      </w:pPr>
      <w:r>
        <w:t xml:space="preserve">Un espace de données séparé par client.</w:t>
      </w:r>
    </w:p>
    <w:p>
      <w:pPr>
        <w:numPr>
          <w:ilvl w:val="0"/>
          <w:numId w:val="1009"/>
        </w:numPr>
        <w:pStyle w:val="Compact"/>
      </w:pPr>
      <w:r>
        <w:t xml:space="preserve">Procédure de notification des violations : voir article 3.6.</w:t>
      </w:r>
    </w:p>
    <w:p>
      <w:pPr>
        <w:numPr>
          <w:ilvl w:val="0"/>
          <w:numId w:val="1009"/>
        </w:numPr>
        <w:pStyle w:val="Compact"/>
      </w:pPr>
      <w:r>
        <w:t xml:space="preserve">Retour automatique des appels vers la messagerie habituelle du Client en cas de panne.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L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fr-LU</dc:language>
  <cp:keywords/>
  <dcterms:created xsi:type="dcterms:W3CDTF">2026-10-28T23:30:57Z</dcterms:created>
  <dcterms:modified xsi:type="dcterms:W3CDTF">2026-10-28T23:30:57Z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