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nalyse-dpa-automatelux-s.à-r.l.-s"/>
    <w:p>
      <w:pPr>
        <w:pStyle w:val="Heading1"/>
      </w:pPr>
      <w:r>
        <w:t xml:space="preserve">ANALYSE DPA — AutomateLux S.à r.l.-S</w:t>
      </w:r>
    </w:p>
    <w:p>
      <w:pPr>
        <w:pStyle w:val="FirstParagraph"/>
      </w:pPr>
      <w:r>
        <w:rPr>
          <w:bCs/>
          <w:b/>
        </w:rPr>
        <w:t xml:space="preserve">Date de l’analyse :</w:t>
      </w:r>
      <w:r>
        <w:t xml:space="preserve"> </w:t>
      </w:r>
      <w:r>
        <w:t xml:space="preserve">28/10/2026</w:t>
      </w:r>
      <w:r>
        <w:t xml:space="preserve"> </w:t>
      </w:r>
      <w:r>
        <w:rPr>
          <w:bCs/>
          <w:b/>
        </w:rPr>
        <w:t xml:space="preserve">Analysé par :</w:t>
      </w:r>
      <w:r>
        <w:t xml:space="preserve"> </w:t>
      </w:r>
      <w:r>
        <w:t xml:space="preserve">Le praticien (nom non communiqué) assisté par IA — méthode : skill</w:t>
      </w:r>
      <w:r>
        <w:t xml:space="preserve"> </w:t>
      </w:r>
      <w:r>
        <w:rPr>
          <w:rStyle w:val="VerbatimChar"/>
        </w:rPr>
        <w:t xml:space="preserve">analyse-dpa-fournisseur-hugo-salard</w:t>
      </w:r>
      <w:r>
        <w:t xml:space="preserve"> </w:t>
      </w:r>
      <w:r>
        <w:t xml:space="preserve">(version 2026-05-05)</w:t>
      </w:r>
      <w:r>
        <w:t xml:space="preserve"> </w:t>
      </w:r>
      <w:r>
        <w:rPr>
          <w:bCs/>
          <w:b/>
        </w:rPr>
        <w:t xml:space="preserve">Référence DPA :</w:t>
      </w:r>
      <w:r>
        <w:t xml:space="preserve"> </w:t>
      </w:r>
      <w:r>
        <w:t xml:space="preserve">« Contrat de sous-traitance de données personnelles (article 28 RGPD) » —</w:t>
      </w:r>
      <w:r>
        <w:t xml:space="preserve"> </w:t>
      </w:r>
      <w:r>
        <w:rPr>
          <w:bCs/>
          <w:b/>
        </w:rPr>
        <w:t xml:space="preserve">PROJET v0.1 du 28/10/2026</w:t>
      </w:r>
      <w:r>
        <w:t xml:space="preserve">, non validé juridiquement (</w:t>
      </w:r>
      <w:r>
        <w:rPr>
          <w:rStyle w:val="VerbatimChar"/>
        </w:rPr>
        <w:t xml:space="preserve">contrats/contrat-sous-traitance-rgpd.md</w:t>
      </w:r>
      <w:r>
        <w:t xml:space="preserve">, 9 articles + Annexe 1 « Sous-traitants ultérieurs » + Annexe 2 « Mesures de sécurité », en français)</w:t>
      </w:r>
      <w:r>
        <w:t xml:space="preserve"> </w:t>
      </w:r>
      <w:r>
        <w:rPr>
          <w:bCs/>
          <w:b/>
        </w:rPr>
        <w:t xml:space="preserve">Point de vue retenu :</w:t>
      </w:r>
      <w:r>
        <w:t xml:space="preserve"> </w:t>
      </w:r>
      <w:r>
        <w:t xml:space="preserve">celui d’un client responsable du traitement (salon de coiffure, restaurant, cabinet ; à terme dentiste ou vétérinaire) qui reçoit ce projet d’AutomateLux, sous-traitant. Droit applicable : luxembourgeois ; autorité de contrôle : CNPD.</w:t>
      </w:r>
    </w:p>
    <w:p>
      <w:pPr>
        <w:pStyle w:val="BlockText"/>
      </w:pPr>
      <w:r>
        <w:rPr>
          <w:bCs/>
          <w:b/>
        </w:rPr>
        <w:t xml:space="preserve">Important</w:t>
      </w:r>
      <w:r>
        <w:t xml:space="preserve"> </w:t>
      </w:r>
      <w:r>
        <w:t xml:space="preserve">: ce skill produit une analyse technique de conformité, pas un conseil juridique. L’auteur n’est pas avocat. Le praticien valide tous les statuts attribués (🟢/🟡/🔴) et les remédiations proposées avant toute utilisation. La décision finale (acceptable / à modifier / à rejeter) appartient toujours au praticien et à son client responsable du traitement.</w:t>
      </w:r>
    </w:p>
    <w:p>
      <w:pPr>
        <w:pStyle w:val="BlockText"/>
      </w:pPr>
      <w:r>
        <w:t xml:space="preserve">⚠️ Ce DPA contient des données personnelles identifiantes (nom et fonction du gérant signataire d’AutomateLux, n° d’autorisation d’établissement). Recommandation : anonymiser ces données avant archivage du rapport.</w:t>
      </w:r>
    </w:p>
    <w:p>
      <w:pPr>
        <w:pStyle w:val="BlockText"/>
      </w:pPr>
      <w:r>
        <w:rPr>
          <w:bCs/>
          <w:b/>
        </w:rPr>
        <w:t xml:space="preserve">Limites de l’analyse.</w:t>
      </w:r>
      <w:r>
        <w:t xml:space="preserve"> </w:t>
      </w:r>
      <w:r>
        <w:t xml:space="preserve">(1) Les champs</w:t>
      </w:r>
      <w:r>
        <w:t xml:space="preserve"> </w:t>
      </w:r>
      <w:r>
        <w:rPr>
          <w:rStyle w:val="VerbatimChar"/>
        </w:rPr>
        <w:t xml:space="preserve">[à compléter]</w:t>
      </w:r>
      <w:r>
        <w:t xml:space="preserve"> </w:t>
      </w:r>
      <w:r>
        <w:t xml:space="preserve">et</w:t>
      </w:r>
      <w:r>
        <w:t xml:space="preserve"> </w:t>
      </w:r>
      <w:r>
        <w:rPr>
          <w:rStyle w:val="VerbatimChar"/>
        </w:rPr>
        <w:t xml:space="preserve">[À VÉRIFIER]</w:t>
      </w:r>
      <w:r>
        <w:t xml:space="preserve"> </w:t>
      </w:r>
      <w:r>
        <w:t xml:space="preserve">sont connus comme ouverts : ils sont signalés, mais l’analyse porte sur ce que le texte dit ou omet. (2) L’Annexe 1 est présentée par le document lui-même comme reposant sur des « hypothèses, pas des faits vérifiés » : aucune clause qui en dépend ne peut être 🟢. (3) Les conditions contractuelles des prestataires (Vapi, OpenAI, ElevenLabs, Airtable, Make.com, Brevo) n’ont pas été consultées : rien n’est affirmé sur leurs localisations, certifications ou politiques d’entraînement. (4) Le skill s’appuie en partie sur des sources françaises (CNIL, ANSSI, vocabulaire des procédures collectives françaises) : elles ont été transposées ou signalées pour le Luxembourg (CNPD, droit luxembourgeois de l’insolvabilité). (5) Le contrat principal (CGV v0.1) a été lu uniquement pour l’articulation de la responsabilité.</w:t>
      </w:r>
    </w:p>
    <w:p>
      <w:r>
        <w:pict>
          <v:rect style="width:0;height:1.5pt" o:hralign="center" o:hrstd="t" o:hr="t"/>
        </w:pict>
      </w:r>
    </w:p>
    <w:bookmarkStart w:id="20" w:name="synthèse-exécutive"/>
    <w:p>
      <w:pPr>
        <w:pStyle w:val="Heading2"/>
      </w:pPr>
      <w:r>
        <w:t xml:space="preserve">SYNTHÈSE EXÉCUTIVE</w:t>
      </w:r>
    </w:p>
    <w:p>
      <w:pPr>
        <w:pStyle w:val="FirstParagraph"/>
      </w:pPr>
      <w:r>
        <w:t xml:space="preserve">Le projet v0.1 couvre la structure de l’article 28§3 RGPD (instructions avec alerte, confidentialité, sous-traitants ultérieurs avec opposition, notification de violation sous 48 h, restitution et suppression sous 30 jours, audit) : sur le papier, sa base est meilleure que celle de nombreux DPA de fournisseurs SaaS. Trois points empêchent toutefois la signature en l’état : (1) les transferts vers des prestataires probablement établis aux États-Unis (Vapi, OpenAI, Airtable) n’ont aucun mécanisme confirmé ni évaluation d’impact (TIA) ; (2) aucune clause n’interdit l’utilisation des données des appelants à d’autres fins, en particulier pour entraîner des modèles d’IA, alors que toute la chaîne repose sur des fournisseurs d’IA ; (3) l’Annexe 1 est incomplète et la chaîne de sous-traitance (OpenAI et la transcription « via Vapi ») n’est pas transparente. Pour les clients du secteur santé (dentistes), l’absence de traitement des données de santé est un quatrième point bloquant.</w:t>
      </w:r>
      <w:r>
        <w:t xml:space="preserve"> </w:t>
      </w:r>
      <w:r>
        <w:rPr>
          <w:bCs/>
          <w:b/>
        </w:rPr>
        <w:t xml:space="preserve">Verdict : nécessite des modifications avant signature.</w:t>
      </w:r>
    </w:p>
    <w:p>
      <w:r>
        <w:pict>
          <v:rect style="width:0;height:1.5pt" o:hralign="center" o:hrstd="t" o:hr="t"/>
        </w:pict>
      </w:r>
    </w:p>
    <w:bookmarkEnd w:id="20"/>
    <w:bookmarkStart w:id="21" w:name="analyse-clause-par-clause"/>
    <w:p>
      <w:pPr>
        <w:pStyle w:val="Heading2"/>
      </w:pPr>
      <w:r>
        <w:t xml:space="preserve">ANALYSE CLAUSE PAR CLAUSE</w:t>
      </w:r>
    </w:p>
    <w:tbl>
      <w:tblPr>
        <w:tblStyle w:val="Table"/>
        <w:tblW w:type="pct" w:w="5000"/>
        <w:tblLook w:firstRow="1" w:lastRow="0" w:firstColumn="0" w:lastColumn="0" w:noHBand="0" w:noVBand="0" w:val="0020"/>
        <w:jc w:val="start"/>
      </w:tblPr>
      <w:tblGrid>
        <w:gridCol w:w="396"/>
        <w:gridCol w:w="1056"/>
        <w:gridCol w:w="1056"/>
        <w:gridCol w:w="1188"/>
        <w:gridCol w:w="2904"/>
        <w:gridCol w:w="1320"/>
      </w:tblGrid>
      <w:tr>
        <w:trPr>
          <w:tblHeader w:val="true"/>
        </w:trPr>
        <w:tc>
          <w:tcPr/>
          <w:p>
            <w:pPr>
              <w:pStyle w:val="Compact"/>
              <w:jc w:val="left"/>
            </w:pPr>
            <w:r>
              <w:t xml:space="preserve">#</w:t>
            </w:r>
          </w:p>
        </w:tc>
        <w:tc>
          <w:tcPr/>
          <w:p>
            <w:pPr>
              <w:pStyle w:val="Compact"/>
              <w:jc w:val="left"/>
            </w:pPr>
            <w:r>
              <w:t xml:space="preserve">Clause</w:t>
            </w:r>
          </w:p>
        </w:tc>
        <w:tc>
          <w:tcPr/>
          <w:p>
            <w:pPr>
              <w:pStyle w:val="Compact"/>
              <w:jc w:val="left"/>
            </w:pPr>
            <w:r>
              <w:t xml:space="preserve">Statut</w:t>
            </w:r>
          </w:p>
        </w:tc>
        <w:tc>
          <w:tcPr/>
          <w:p>
            <w:pPr>
              <w:pStyle w:val="Compact"/>
              <w:jc w:val="left"/>
            </w:pPr>
            <w:r>
              <w:t xml:space="preserve">Constat</w:t>
            </w:r>
          </w:p>
        </w:tc>
        <w:tc>
          <w:tcPr/>
          <w:p>
            <w:pPr>
              <w:pStyle w:val="Compact"/>
              <w:jc w:val="left"/>
            </w:pPr>
            <w:r>
              <w:t xml:space="preserve">Remédiation proposée</w:t>
            </w:r>
          </w:p>
        </w:tc>
        <w:tc>
          <w:tcPr/>
          <w:p>
            <w:pPr>
              <w:pStyle w:val="Compact"/>
              <w:jc w:val="left"/>
            </w:pPr>
            <w:r>
              <w:t xml:space="preserve">Priorité</w:t>
            </w:r>
          </w:p>
        </w:tc>
      </w:tr>
      <w:tr>
        <w:tc>
          <w:tcPr/>
          <w:p>
            <w:pPr>
              <w:pStyle w:val="Compact"/>
              <w:jc w:val="left"/>
            </w:pPr>
            <w:r>
              <w:t xml:space="preserve">1</w:t>
            </w:r>
          </w:p>
        </w:tc>
        <w:tc>
          <w:tcPr/>
          <w:p>
            <w:pPr>
              <w:pStyle w:val="Compact"/>
              <w:jc w:val="left"/>
            </w:pPr>
            <w:r>
              <w:t xml:space="preserve">Objet et durée</w:t>
            </w:r>
          </w:p>
        </w:tc>
        <w:tc>
          <w:tcPr/>
          <w:p>
            <w:pPr>
              <w:pStyle w:val="Compact"/>
              <w:jc w:val="left"/>
            </w:pPr>
            <w:r>
              <w:t xml:space="preserve">🟢</w:t>
            </w:r>
          </w:p>
        </w:tc>
        <w:tc>
          <w:tcPr/>
          <w:p>
            <w:pPr>
              <w:pStyle w:val="Compact"/>
              <w:jc w:val="left"/>
            </w:pPr>
            <w:r>
              <w:t xml:space="preserve">Objet : « la mise en place et l’exploitation d’un assistant téléphonique automatisé (« l’Assistant ») et des automatisations associées, décrits dans le Contrat principal » (art. 1). Durée : « Durée du Contrat principal » (art. 2) ; entrée en vigueur à la signature, fin à l’expiration du Contrat principal, avec survie des articles 3.8 et confidentialité (art. 8). Objet précis, durée définie et alignée. Les « automatisations associées » sont décrites par renvoi à la proposition commerciale signée : le client doit vérifier que celle-ci les liste.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Nature et finalité</w:t>
            </w:r>
          </w:p>
        </w:tc>
        <w:tc>
          <w:tcPr/>
          <w:p>
            <w:pPr>
              <w:pStyle w:val="Compact"/>
              <w:jc w:val="left"/>
            </w:pPr>
            <w:r>
              <w:t xml:space="preserve">🟡</w:t>
            </w:r>
          </w:p>
        </w:tc>
        <w:tc>
          <w:tcPr/>
          <w:p>
            <w:pPr>
              <w:pStyle w:val="Compact"/>
              <w:jc w:val="left"/>
            </w:pPr>
            <w:r>
              <w:t xml:space="preserve">Opérations listées (« réception et prise en charge des appels entrants ; reconnaissance vocale et transcription ; génération de réponses ; enregistrement des rendez-vous ; envoi de rappels ; journalisation technique ») et finalités spécifiques (art. 2). Mais : (1) aucune clause n’interdit expressément l’utilisation des données à d’autres fins, à des fins propres d’AutomateLux ou de ses sous-traitants ultérieurs ; (2) aucune exclusion de l’entraînement, de l’ajustement ou de l’amélioration de modèles d’IA, alors que la chaîne comprend Vapi, OpenAI (GPT-4.1), ElevenLabs et un service de transcription (Annexe 1) ; (3) la finalité de la « journalisation technique » n’est pas précisée. L’article 3.1 (« ne traiter les données que sur instruction documentée ») couvre ce point de façon implicite, sans le dire.</w:t>
            </w:r>
          </w:p>
        </w:tc>
        <w:tc>
          <w:tcPr/>
          <w:p>
            <w:pPr>
              <w:pStyle w:val="Compact"/>
              <w:jc w:val="left"/>
            </w:pPr>
            <w:r>
              <w:t xml:space="preserve">Ajouter à l’article 2 : « AutomateLux traite les données exclusivement pour les finalités décrites ci-dessus. Il s’interdit, et interdit contractuellement à ses sous-traitants ultérieurs, toute utilisation des données à leurs propres fins, notamment l’entraînement, l’ajustement ou l’amélioration de modèles d’intelligence artificielle, la création de profils, la constitution de jeux de données agrégés ou « anonymisés » et toute utilisation commerciale. Lorsqu’un sous-traitant ultérieur propose une option de non-conservation ou d’exclusion de l’entraînement, AutomateLux l’active et en justifie sur demande. La journalisation technique sert uniquement à la sécurité, au diagnostic des incidents et à la preuve de l’exécution du service. »</w:t>
            </w:r>
          </w:p>
        </w:tc>
        <w:tc>
          <w:tcPr/>
          <w:p>
            <w:pPr>
              <w:pStyle w:val="Compact"/>
              <w:jc w:val="left"/>
            </w:pPr>
            <w:r>
              <w:t xml:space="preserve">Haute</w:t>
            </w:r>
          </w:p>
        </w:tc>
      </w:tr>
      <w:tr>
        <w:tc>
          <w:tcPr/>
          <w:p>
            <w:pPr>
              <w:pStyle w:val="Compact"/>
              <w:jc w:val="left"/>
            </w:pPr>
            <w:r>
              <w:t xml:space="preserve">3</w:t>
            </w:r>
          </w:p>
        </w:tc>
        <w:tc>
          <w:tcPr/>
          <w:p>
            <w:pPr>
              <w:pStyle w:val="Compact"/>
              <w:jc w:val="left"/>
            </w:pPr>
            <w:r>
              <w:t xml:space="preserve">Types de données</w:t>
            </w:r>
          </w:p>
        </w:tc>
        <w:tc>
          <w:tcPr/>
          <w:p>
            <w:pPr>
              <w:pStyle w:val="Compact"/>
              <w:jc w:val="left"/>
            </w:pPr>
            <w:r>
              <w:t xml:space="preserve">🟡</w:t>
            </w:r>
          </w:p>
        </w:tc>
        <w:tc>
          <w:tcPr/>
          <w:p>
            <w:pPr>
              <w:pStyle w:val="Compact"/>
              <w:jc w:val="left"/>
            </w:pPr>
            <w:r>
              <w:t xml:space="preserve">Liste explicite (art. 2) : téléphone, nom et prénom, date, heure et objet du rendez-vous, transcription, enregistrement audio «</w:t>
            </w:r>
            <w:r>
              <w:t xml:space="preserve"> </w:t>
            </w:r>
            <w:r>
              <w:rPr>
                <w:bCs/>
                <w:b/>
              </w:rPr>
              <w:t xml:space="preserve">[si activé — à choisir]</w:t>
            </w:r>
            <w:r>
              <w:t xml:space="preserve"> </w:t>
            </w:r>
            <w:r>
              <w:t xml:space="preserve">», e-mail. Lacunes : (1) l’enregistrement audio n’est pas tranché (option par défaut inconnue) ; (2) les métadonnées d’appel (horodatage, durée, numéro appelé) et le contenu des journaux techniques ne sont pas décrits ; (3) données sensibles : « Aucune donnée sensible (art. 9 RGPD) n’est recherchée » avec un</w:t>
            </w:r>
            <w:r>
              <w:t xml:space="preserve"> </w:t>
            </w:r>
            <w:r>
              <w:rPr>
                <w:bCs/>
                <w:b/>
              </w:rPr>
              <w:t xml:space="preserve">[À VÉRIFIER]</w:t>
            </w:r>
            <w:r>
              <w:t xml:space="preserve"> </w:t>
            </w:r>
            <w:r>
              <w:t xml:space="preserve">pour la santé. Pour un dentiste ou un cabinet médical, l’objet du rendez-vous et la transcription révèlent presque toujours une information de santé : aucune garantie n’est prévue (base de l’art. 9§2, mesures renforcées, AIPD). Pour un vétérinaire, la santé de l’animal ne relève pas de l’art. 9 en tant que telle, mais une transcription peut contenir des informations sur le propriétaire. Pour les salons, la révélation fortuite (allergie, grossesse) reste possible. L’article 4.4, qui interdit au client de « configurer l’Assistant pour collecter des données sensibles », ne règle pas la révélation spontanée par l’appelant.</w:t>
            </w:r>
          </w:p>
        </w:tc>
        <w:tc>
          <w:tcPr/>
          <w:p>
            <w:pPr>
              <w:pStyle w:val="Compact"/>
              <w:jc w:val="left"/>
            </w:pPr>
            <w:r>
              <w:t xml:space="preserve">Remplacer la ligne « Données sensibles » par : « Données sensibles : l’Assistant n’est pas configuré pour collecter des données relevant de l’article 9 RGPD. Des informations de cette nature peuvent toutefois être communiquées spontanément par l’appelant. Elles sont alors traitées uniquement pour la prise du rendez-vous, ne sont pas reprises dans les champs structurés au-delà de l’objet strictement nécessaire, et sont supprimées avec la transcription dans le délai prévu.</w:t>
            </w:r>
            <w:r>
              <w:t xml:space="preserve"> </w:t>
            </w:r>
            <w:r>
              <w:rPr>
                <w:bCs/>
                <w:b/>
              </w:rPr>
              <w:t xml:space="preserve">Option secteur santé</w:t>
            </w:r>
            <w:r>
              <w:t xml:space="preserve"> </w:t>
            </w:r>
            <w:r>
              <w:t xml:space="preserve">: lorsque le Client est un professionnel de santé, les parties documentent avant la mise en service la base de traitement au titre de l’article 9§2 RGPD, les mesures renforcées (désactivation de l’enregistrement audio, purge accélérée des transcriptions, minimisation de l’objet du rendez-vous) et l’évaluation de la nécessité d’une analyse d’impact. » Préciser aussi : « Enregistrement audio : désactivé par défaut, activé uniquement sur instruction écrite du Client. Métadonnées : date, heure, durée de l’appel et numéro appelant. »</w:t>
            </w:r>
          </w:p>
        </w:tc>
        <w:tc>
          <w:tcPr/>
          <w:p>
            <w:pPr>
              <w:pStyle w:val="Compact"/>
              <w:jc w:val="left"/>
            </w:pPr>
            <w:r>
              <w:t xml:space="preserve">Moyenne (Haute pour les clients du secteur santé)</w:t>
            </w:r>
          </w:p>
        </w:tc>
      </w:tr>
      <w:tr>
        <w:tc>
          <w:tcPr/>
          <w:p>
            <w:pPr>
              <w:pStyle w:val="Compact"/>
              <w:jc w:val="left"/>
            </w:pPr>
            <w:r>
              <w:t xml:space="preserve">4</w:t>
            </w:r>
          </w:p>
        </w:tc>
        <w:tc>
          <w:tcPr/>
          <w:p>
            <w:pPr>
              <w:pStyle w:val="Compact"/>
              <w:jc w:val="left"/>
            </w:pPr>
            <w:r>
              <w:t xml:space="preserve">Catégories de personnes</w:t>
            </w:r>
          </w:p>
        </w:tc>
        <w:tc>
          <w:tcPr/>
          <w:p>
            <w:pPr>
              <w:pStyle w:val="Compact"/>
              <w:jc w:val="left"/>
            </w:pPr>
            <w:r>
              <w:t xml:space="preserve">🟡</w:t>
            </w:r>
          </w:p>
        </w:tc>
        <w:tc>
          <w:tcPr/>
          <w:p>
            <w:pPr>
              <w:pStyle w:val="Compact"/>
              <w:jc w:val="left"/>
            </w:pPr>
            <w:r>
              <w:t xml:space="preserve">« Personnes qui appellent le Client (clients et prospects du Client) » (art. 2). Catégories présentes, mais incomplètes : manquent les tiers mentionnés pendant l’appel (rendez-vous pris pour un enfant, un conjoint), les destinataires des rappels quand ce ne sont pas les appelants, le personnel du Client dont les noms ou agendas peuvent être traités, et les</w:t>
            </w:r>
            <w:r>
              <w:t xml:space="preserve"> </w:t>
            </w:r>
            <w:r>
              <w:rPr>
                <w:bCs/>
                <w:b/>
              </w:rPr>
              <w:t xml:space="preserve">mineurs</w:t>
            </w:r>
            <w:r>
              <w:t xml:space="preserve"> </w:t>
            </w:r>
            <w:r>
              <w:t xml:space="preserve">(un salon ou un dentiste reçoit des appels de mineurs ou pour des mineurs). Aucune garantie n’est prévue pour ces derniers.</w:t>
            </w:r>
          </w:p>
        </w:tc>
        <w:tc>
          <w:tcPr/>
          <w:p>
            <w:pPr>
              <w:pStyle w:val="Compact"/>
              <w:jc w:val="left"/>
            </w:pPr>
            <w:r>
              <w:t xml:space="preserve">Remplacer par : « Personnes qui appellent le Client (clients, prospects, y compris le cas échéant des mineurs) ; personnes pour le compte desquelles un rendez-vous est pris ; destinataires des rappels ; membres du personnel du Client dont le nom ou l’agenda est utilisé par l’Assistant. »</w:t>
            </w:r>
          </w:p>
        </w:tc>
        <w:tc>
          <w:tcPr/>
          <w:p>
            <w:pPr>
              <w:pStyle w:val="Compact"/>
              <w:jc w:val="left"/>
            </w:pPr>
            <w:r>
              <w:t xml:space="preserve">Basse</w:t>
            </w:r>
          </w:p>
        </w:tc>
      </w:tr>
      <w:tr>
        <w:tc>
          <w:tcPr/>
          <w:p>
            <w:pPr>
              <w:pStyle w:val="Compact"/>
              <w:jc w:val="left"/>
            </w:pPr>
            <w:r>
              <w:t xml:space="preserve">5</w:t>
            </w:r>
          </w:p>
        </w:tc>
        <w:tc>
          <w:tcPr/>
          <w:p>
            <w:pPr>
              <w:pStyle w:val="Compact"/>
              <w:jc w:val="left"/>
            </w:pPr>
            <w:r>
              <w:t xml:space="preserve">Instructions documentées</w:t>
            </w:r>
          </w:p>
        </w:tc>
        <w:tc>
          <w:tcPr/>
          <w:p>
            <w:pPr>
              <w:pStyle w:val="Compact"/>
              <w:jc w:val="left"/>
            </w:pPr>
            <w:r>
              <w:t xml:space="preserve">🟢</w:t>
            </w:r>
          </w:p>
        </w:tc>
        <w:tc>
          <w:tcPr/>
          <w:p>
            <w:pPr>
              <w:pStyle w:val="Compact"/>
              <w:jc w:val="left"/>
            </w:pPr>
            <w:r>
              <w:t xml:space="preserve">« ne traiter les données que sur instruction documentée du Client, y compris pour les transferts hors de l’Union européenne. Le Contrat principal et le présent contrat constituent ces instructions. Si une instruction lui paraît contraire au RGPD, AutomateLux en informe immédiatement le Client » (art. 3.1) ; le Client documente « par écrit toute instruction supplémentaire » (art. 4.5). Les quatre critères du seuil vert sont réunis : engagement, alerte, mécanisme complémentaire, transferts. La mention « sauf obligation au titre du droit de l’Union ou d’un État membre » de l’art. 28§3(a) est absente. Selon la grille du skill, elle est recommandée mais non strictement obligatoire.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Confidentialité</w:t>
            </w:r>
          </w:p>
        </w:tc>
        <w:tc>
          <w:tcPr/>
          <w:p>
            <w:pPr>
              <w:pStyle w:val="Compact"/>
              <w:jc w:val="left"/>
            </w:pPr>
            <w:r>
              <w:t xml:space="preserve">🟢</w:t>
            </w:r>
          </w:p>
        </w:tc>
        <w:tc>
          <w:tcPr/>
          <w:p>
            <w:pPr>
              <w:pStyle w:val="Compact"/>
              <w:jc w:val="left"/>
            </w:pPr>
            <w:r>
              <w:t xml:space="preserve">« garantir que toute personne autorisée à traiter les données est soumise à une obligation de confidentialité » (art. 3.2) ; survie de la confidentialité après la fin du contrat (art. 8) ; obligations « au moins équivalentes » imposées aux sous-traitants ultérieurs (art. 5.3). Conforme au seuil (obligation + survie).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Mesures de sécurité</w:t>
            </w:r>
          </w:p>
        </w:tc>
        <w:tc>
          <w:tcPr/>
          <w:p>
            <w:pPr>
              <w:pStyle w:val="Compact"/>
              <w:jc w:val="left"/>
            </w:pPr>
            <w:r>
              <w:t xml:space="preserve">🟡</w:t>
            </w:r>
          </w:p>
        </w:tc>
        <w:tc>
          <w:tcPr/>
          <w:p>
            <w:pPr>
              <w:pStyle w:val="Compact"/>
              <w:jc w:val="left"/>
            </w:pPr>
            <w:r>
              <w:t xml:space="preserve">Annexe 2 fournie et relativement concrète : authentification à deux facteurs, accès limité au gérant, TLS, gestion des clés d’API, purge automatique, « un espace de données séparé par client », repli sur la messagerie. L’annexe précise elle-même : « À adapter à ce qui est réellement en place ». Lacunes : aucun processus de revue ou de mise à jour ; aucun engagement sur le chiffrement au repos (dépend des prestataires) ; pas de journalisation des accès ; pas de sauvegarde ni de test de restauration ; pas de sécurisation des webhooks Make.com ; pas de mesure sur le poste de travail du gérant ; aucune référence aux certifications des sous-traitants ultérieurs (AutomateLux ne peut pas être certifiée elle-même, mais elle peut s’appuyer sur celles de ses prestataires). La ligne « Procédure de notification des violations : voir article 3.6 » est circulaire.</w:t>
            </w:r>
          </w:p>
        </w:tc>
        <w:tc>
          <w:tcPr/>
          <w:p>
            <w:pPr>
              <w:pStyle w:val="Compact"/>
              <w:jc w:val="left"/>
            </w:pPr>
            <w:r>
              <w:t xml:space="preserve">Ajouter à l’Annexe 2 : « (a) Chiffrement au repos assuré par les sous-traitants ultérieurs, dont les attestations de sécurité (ISO 27001, SOC 2 Type II ou équivalent) sont tenues à disposition du Client ; (b) authentification des webhooks (secret ou signature) et absence de données personnelles dans les URL ; (c) poste de travail du gérant chiffré, verrouillé et à jour ; gestionnaire de mots de passe ; (d) journalisation des accès aux comptes des prestataires lorsque l’outil le permet ; (e) procédure écrite de gestion des violations (détection, qualification, notification au Client sous 48 h, registre interne) ; (f) revue des présentes mesures au moins une fois par an et à chaque changement de sous-traitant ultérieur, avec communication de la version à jour au Client. »</w:t>
            </w:r>
          </w:p>
        </w:tc>
        <w:tc>
          <w:tcPr/>
          <w:p>
            <w:pPr>
              <w:pStyle w:val="Compact"/>
              <w:jc w:val="left"/>
            </w:pPr>
            <w:r>
              <w:t xml:space="preserve">Moyenne</w:t>
            </w:r>
          </w:p>
        </w:tc>
      </w:tr>
      <w:tr>
        <w:tc>
          <w:tcPr/>
          <w:p>
            <w:pPr>
              <w:pStyle w:val="Compact"/>
              <w:jc w:val="left"/>
            </w:pPr>
            <w:r>
              <w:t xml:space="preserve">8</w:t>
            </w:r>
          </w:p>
        </w:tc>
        <w:tc>
          <w:tcPr/>
          <w:p>
            <w:pPr>
              <w:pStyle w:val="Compact"/>
              <w:jc w:val="left"/>
            </w:pPr>
            <w:r>
              <w:t xml:space="preserve">Sous-traitants ultérieurs</w:t>
            </w:r>
          </w:p>
        </w:tc>
        <w:tc>
          <w:tcPr/>
          <w:p>
            <w:pPr>
              <w:pStyle w:val="Compact"/>
              <w:jc w:val="left"/>
            </w:pPr>
            <w:r>
              <w:t xml:space="preserve">🟡</w:t>
            </w:r>
          </w:p>
        </w:tc>
        <w:tc>
          <w:tcPr/>
          <w:p>
            <w:pPr>
              <w:pStyle w:val="Compact"/>
              <w:jc w:val="left"/>
            </w:pPr>
            <w:r>
              <w:t xml:space="preserve">Mécanisme bien construit (art. 5) : autorisation générale limitée à l’Annexe 1, information « au moins [30] jours à l’avance », opposition « pour un motif légitime lié à la protection des données », résiliation sans pénalité, obligations « au moins équivalentes », responsabilité maintenue. Mais</w:t>
            </w:r>
            <w:r>
              <w:t xml:space="preserve"> </w:t>
            </w:r>
            <w:r>
              <w:rPr>
                <w:bCs/>
                <w:b/>
              </w:rPr>
              <w:t xml:space="preserve">Annexe 1 incomplète — conformité à confirmer</w:t>
            </w:r>
            <w:r>
              <w:t xml:space="preserve"> </w:t>
            </w:r>
            <w:r>
              <w:t xml:space="preserve">: la transcription et l’opérateur téléphonique sont « [À compléter] », tous les lieux et garanties sont « [À VÉRIFIER] », et l’Annexe se déclare « hypothèses, pas des faits vérifiés ». L’identité complète (raison sociale, adresse, contact) n’est donnée pour aucun prestataire.</w:t>
            </w:r>
            <w:r>
              <w:t xml:space="preserve"> </w:t>
            </w:r>
            <w:r>
              <w:rPr>
                <w:bCs/>
                <w:b/>
              </w:rPr>
              <w:t xml:space="preserve">Clause ambiguë — interprétation à confirmer avec le fournisseur</w:t>
            </w:r>
            <w:r>
              <w:t xml:space="preserve"> </w:t>
            </w:r>
            <w:r>
              <w:t xml:space="preserve">: « OpenAI (modèle GPT-4.1, via Vapi) » et « Fournisseur de reconnaissance vocale (via Vapi) » ne disent pas si ces prestataires sont des sous-traitants directs d’AutomateLux ou des sous-traitants de second rang de Vapi. Le responsable du traitement doit pouvoir connaître toute la chaîne (avis EDPB 22/2024 du 7 oct. 2024, que le skill cite sous l’intitulé « lignes directrices EDPB 02/2024 » : référence à vérifier). Le texte ne dit pas non plus si AutomateLux peut déployer le changement pendant le délai d’opposition.</w:t>
            </w:r>
          </w:p>
        </w:tc>
        <w:tc>
          <w:tcPr/>
          <w:p>
            <w:pPr>
              <w:pStyle w:val="Compact"/>
              <w:jc w:val="left"/>
            </w:pPr>
            <w:r>
              <w:t xml:space="preserve">Compléter l’Annexe 1 avec, pour chaque prestataire : « raison sociale, adresse, contact protection des données, rôle, données transmises, lieu de traitement et d’hébergement, lien contractuel (direct avec AutomateLux ou sous-traitant de [X]), garantie de transfert, référence de son DPA ». Ajouter à l’article 5.2 : « Aucun nouveau sous-traitant ultérieur ne traite les données du Client avant l’expiration du délai d’opposition. AutomateLux communique au Client, sur simple demande, la liste à jour de l’ensemble de la chaîne de sous-traitance, y compris les sous-traitants de ses sous-traitants ultérieurs lorsqu’ils accèdent aux données du Client. »</w:t>
            </w:r>
          </w:p>
        </w:tc>
        <w:tc>
          <w:tcPr/>
          <w:p>
            <w:pPr>
              <w:pStyle w:val="Compact"/>
              <w:jc w:val="left"/>
            </w:pPr>
            <w:r>
              <w:t xml:space="preserve">Haute (bloquant tant que l’Annexe 1 n’est pas complétée)</w:t>
            </w:r>
          </w:p>
        </w:tc>
      </w:tr>
      <w:tr>
        <w:tc>
          <w:tcPr/>
          <w:p>
            <w:pPr>
              <w:pStyle w:val="Compact"/>
              <w:jc w:val="left"/>
            </w:pPr>
            <w:r>
              <w:t xml:space="preserve">9</w:t>
            </w:r>
          </w:p>
        </w:tc>
        <w:tc>
          <w:tcPr/>
          <w:p>
            <w:pPr>
              <w:pStyle w:val="Compact"/>
              <w:jc w:val="left"/>
            </w:pPr>
            <w:r>
              <w:t xml:space="preserve">Droits des personnes</w:t>
            </w:r>
          </w:p>
        </w:tc>
        <w:tc>
          <w:tcPr/>
          <w:p>
            <w:pPr>
              <w:pStyle w:val="Compact"/>
              <w:jc w:val="left"/>
            </w:pPr>
            <w:r>
              <w:t xml:space="preserve">🟡</w:t>
            </w:r>
          </w:p>
        </w:tc>
        <w:tc>
          <w:tcPr/>
          <w:p>
            <w:pPr>
              <w:pStyle w:val="Compact"/>
              <w:jc w:val="left"/>
            </w:pPr>
            <w:r>
              <w:t xml:space="preserve">« aider le Client, dans la mesure du possible, à répondre aux demandes d’accès, de rectification, d’effacement, de limitation, d’opposition et de portabilité » et transmission des demandes directes « sous [3] jours ouvrés » (art. 3.5). La formule « dans la mesure du possible » reprend l’art. 28§3(e) (« dans toute la mesure du possible ») et n’est donc pas en soi non conforme. Manquent : un délai de réponse de l’assistance (le client a un mois pour répondre, art. 12§3 RGPD), le coût éventuel, la manière concrète d’extraire une transcription ou un enregistrement avant sa purge à 30 jours, et la répercussion d’un effacement chez les sous-traitants ultérieurs.</w:t>
            </w:r>
          </w:p>
        </w:tc>
        <w:tc>
          <w:tcPr/>
          <w:p>
            <w:pPr>
              <w:pStyle w:val="Compact"/>
              <w:jc w:val="left"/>
            </w:pPr>
            <w:r>
              <w:t xml:space="preserve">Compléter l’art. 3.5 : « AutomateLux fournit les éléments nécessaires (extraction des transcriptions, enregistrements, données de rendez-vous et journaux concernant la personne) dans un délai de [5] jours ouvrés à compter de la demande du Client. Il répercute les demandes d’effacement et de rectification auprès des sous-traitants ultérieurs concernés. Cette assistance est incluse dans l’abonnement, sauf demandes manifestement excessives. AutomateLux ne répond pas directement à la personne concernée, sauf instruction du Client. »</w:t>
            </w:r>
          </w:p>
        </w:tc>
        <w:tc>
          <w:tcPr/>
          <w:p>
            <w:pPr>
              <w:pStyle w:val="Compact"/>
              <w:jc w:val="left"/>
            </w:pPr>
            <w:r>
              <w:t xml:space="preserve">Moyenne</w:t>
            </w:r>
          </w:p>
        </w:tc>
      </w:tr>
      <w:tr>
        <w:tc>
          <w:tcPr/>
          <w:p>
            <w:pPr>
              <w:pStyle w:val="Compact"/>
              <w:jc w:val="left"/>
            </w:pPr>
            <w:r>
              <w:t xml:space="preserve">10</w:t>
            </w:r>
          </w:p>
        </w:tc>
        <w:tc>
          <w:tcPr/>
          <w:p>
            <w:pPr>
              <w:pStyle w:val="Compact"/>
              <w:jc w:val="left"/>
            </w:pPr>
            <w:r>
              <w:t xml:space="preserve">Notification violations / AIPD</w:t>
            </w:r>
          </w:p>
        </w:tc>
        <w:tc>
          <w:tcPr/>
          <w:p>
            <w:pPr>
              <w:pStyle w:val="Compact"/>
              <w:jc w:val="left"/>
            </w:pPr>
            <w:r>
              <w:t xml:space="preserve">🟡</w:t>
            </w:r>
          </w:p>
        </w:tc>
        <w:tc>
          <w:tcPr/>
          <w:p>
            <w:pPr>
              <w:pStyle w:val="Compact"/>
              <w:jc w:val="left"/>
            </w:pPr>
            <w:r>
              <w:t xml:space="preserve">« sans délai injustifié et au plus tard [48] heures » avec contenu minimum : nature, catégories et nombre approximatif de personnes et de données, conséquences, mesures (art. 3.6). Assistance pour la sécurité, la notification à la CNPD, l’information des personnes et l’AIPD (« articles 32 à 36 », art. 3.7). Lacunes : le nom et les coordonnées d’un point de contact ne figurent pas dans le contenu de la notification (art. 33§3(b)) ; la notification par étapes n’est pas prévue ; aucun engagement n’est pris sur les délais de notification imposés aux sous-traitants ultérieurs (un délai de 48 h n’a de sens que si Vapi, OpenAI, Airtable, etc. notifient eux-mêmes rapidement AutomateLux) ; le délai de [48] h reste entre crochets.</w:t>
            </w:r>
          </w:p>
        </w:tc>
        <w:tc>
          <w:tcPr/>
          <w:p>
            <w:pPr>
              <w:pStyle w:val="Compact"/>
              <w:jc w:val="left"/>
            </w:pPr>
            <w:r>
              <w:t xml:space="preserve">Compléter l’art. 3.6 : « … (f) le nom et les coordonnées du point de contact d’AutomateLux pour la protection des données. Si toutes les informations ne sont pas disponibles, elles sont communiquées par étapes, sans retard indu. AutomateLux impose à ses sous-traitants ultérieurs des délais de notification compatibles avec le présent article et lui transmet sans délai toute notification reçue de leur part concernant les données du Client. »</w:t>
            </w:r>
          </w:p>
        </w:tc>
        <w:tc>
          <w:tcPr/>
          <w:p>
            <w:pPr>
              <w:pStyle w:val="Compact"/>
              <w:jc w:val="left"/>
            </w:pPr>
            <w:r>
              <w:t xml:space="preserve">Moyenne</w:t>
            </w:r>
          </w:p>
        </w:tc>
      </w:tr>
      <w:tr>
        <w:tc>
          <w:tcPr/>
          <w:p>
            <w:pPr>
              <w:pStyle w:val="Compact"/>
              <w:jc w:val="left"/>
            </w:pPr>
            <w:r>
              <w:t xml:space="preserve">11</w:t>
            </w:r>
          </w:p>
        </w:tc>
        <w:tc>
          <w:tcPr/>
          <w:p>
            <w:pPr>
              <w:pStyle w:val="Compact"/>
              <w:jc w:val="left"/>
            </w:pPr>
            <w:r>
              <w:t xml:space="preserve">Suppression / restitution</w:t>
            </w:r>
          </w:p>
        </w:tc>
        <w:tc>
          <w:tcPr/>
          <w:p>
            <w:pPr>
              <w:pStyle w:val="Compact"/>
              <w:jc w:val="left"/>
            </w:pPr>
            <w:r>
              <w:t xml:space="preserve">🟡</w:t>
            </w:r>
          </w:p>
        </w:tc>
        <w:tc>
          <w:tcPr/>
          <w:p>
            <w:pPr>
              <w:pStyle w:val="Compact"/>
              <w:jc w:val="left"/>
            </w:pPr>
            <w:r>
              <w:t xml:space="preserve">« au choix du Client, restituer ou supprimer les données dans les [30] jours […] et supprimer les copies existantes, sauf obligation légale de conservation. AutomateLux confirme la suppression par écrit » (art. 3.8). Les critères (choix, délai, copies, attestation) sont formellement réunis, mais : (1) les copies détenues par les sous-traitants ultérieurs (historique d’exécution Make.com, journaux d’appels Vapi, conservation éventuelle chez OpenAI ou ElevenLabs) ne sont pas visées expressément ; (2) l’« obligation légale de conservation » n’est pas identifiée ; (3) le format de restitution n’est pas précisé.</w:t>
            </w:r>
            <w:r>
              <w:t xml:space="preserve"> </w:t>
            </w:r>
            <w:r>
              <w:rPr>
                <w:bCs/>
                <w:b/>
              </w:rPr>
              <w:t xml:space="preserve">Clause ambiguë — interprétation à confirmer avec le fournisseur</w:t>
            </w:r>
            <w:r>
              <w:t xml:space="preserve"> </w:t>
            </w:r>
            <w:r>
              <w:t xml:space="preserve">: l’art. 2 dit que les données de rendez-vous sont « conservées dans les outils du Client selon ses propres règles », alors que l’Annexe 1 indique « Airtable — Stockage des rendez-vous et journaux » (si la base Airtable appartient à AutomateLux, le Client doit fixer une durée de conservation).</w:t>
            </w:r>
          </w:p>
        </w:tc>
        <w:tc>
          <w:tcPr/>
          <w:p>
            <w:pPr>
              <w:pStyle w:val="Compact"/>
              <w:jc w:val="left"/>
            </w:pPr>
            <w:r>
              <w:t xml:space="preserve">Compléter l’art. 3.8 : « La suppression couvre l’ensemble des environnements d’AutomateLux et de ses sous-traitants ultérieurs (bases Airtable, historiques d’exécution, journaux d’appels, transcriptions, enregistrements, sauvegardes). La restitution est faite dans un format structuré, couramment utilisé et lisible par machine (CSV ou JSON pour les données, format audio standard pour les enregistrements). Seules les données dont la conservation est imposée par une obligation légale expressément identifiée peuvent être conservées. » Préciser à l’art. 2 qui détient la base des rendez-vous et la durée de conservation applicable.</w:t>
            </w:r>
          </w:p>
        </w:tc>
        <w:tc>
          <w:tcPr/>
          <w:p>
            <w:pPr>
              <w:pStyle w:val="Compact"/>
              <w:jc w:val="left"/>
            </w:pPr>
            <w:r>
              <w:t xml:space="preserve">Moyenne</w:t>
            </w:r>
          </w:p>
        </w:tc>
      </w:tr>
      <w:tr>
        <w:tc>
          <w:tcPr/>
          <w:p>
            <w:pPr>
              <w:pStyle w:val="Compact"/>
              <w:jc w:val="left"/>
            </w:pPr>
            <w:r>
              <w:t xml:space="preserve">12</w:t>
            </w:r>
          </w:p>
        </w:tc>
        <w:tc>
          <w:tcPr/>
          <w:p>
            <w:pPr>
              <w:pStyle w:val="Compact"/>
              <w:jc w:val="left"/>
            </w:pPr>
            <w:r>
              <w:t xml:space="preserve">Droit d’audit</w:t>
            </w:r>
          </w:p>
        </w:tc>
        <w:tc>
          <w:tcPr/>
          <w:p>
            <w:pPr>
              <w:pStyle w:val="Compact"/>
              <w:jc w:val="left"/>
            </w:pPr>
            <w:r>
              <w:t xml:space="preserve">🟡</w:t>
            </w:r>
          </w:p>
        </w:tc>
        <w:tc>
          <w:tcPr/>
          <w:p>
            <w:pPr>
              <w:pStyle w:val="Compact"/>
              <w:jc w:val="left"/>
            </w:pPr>
            <w:r>
              <w:t xml:space="preserve">Information, audits par le Client ou un auditeur mandaté, préavis de [30] jours, « au maximum une fois par an sauf violation avérée, aux frais du Client » (art. 3.9). Audit direct possible et coût raisonnable. Mais l’exception « violation avérée » est trop étroite : elle exclut une violation suspectée et une demande de la CNPD. Aucune communication des rapports d’audit ou certifications des sous-traitants ultérieurs n’est prévue, alors que le Client ne peut pas auditer lui-même Vapi ou OpenAI.</w:t>
            </w:r>
          </w:p>
        </w:tc>
        <w:tc>
          <w:tcPr/>
          <w:p>
            <w:pPr>
              <w:pStyle w:val="Compact"/>
              <w:jc w:val="left"/>
            </w:pPr>
            <w:r>
              <w:t xml:space="preserve">Remplacer la fin de l’art. 3.9 par : « … au maximum une fois par an, sauf violation de données suspectée ou avérée, demande de la CNPD ou manquement constaté, aux frais du Client sauf si l’audit révèle un manquement d’AutomateLux. AutomateLux communique sur demande les rapports d’audit et certifications disponibles de ses sous-traitants ultérieurs. »</w:t>
            </w:r>
          </w:p>
        </w:tc>
        <w:tc>
          <w:tcPr/>
          <w:p>
            <w:pPr>
              <w:pStyle w:val="Compact"/>
              <w:jc w:val="left"/>
            </w:pPr>
            <w:r>
              <w:t xml:space="preserve">Basse</w:t>
            </w:r>
          </w:p>
        </w:tc>
      </w:tr>
      <w:tr>
        <w:tc>
          <w:tcPr/>
          <w:p>
            <w:pPr>
              <w:pStyle w:val="Compact"/>
              <w:jc w:val="left"/>
            </w:pPr>
            <w:r>
              <w:t xml:space="preserve">13</w:t>
            </w:r>
          </w:p>
        </w:tc>
        <w:tc>
          <w:tcPr/>
          <w:p>
            <w:pPr>
              <w:pStyle w:val="Compact"/>
              <w:jc w:val="left"/>
            </w:pPr>
            <w:r>
              <w:t xml:space="preserve">Transferts internationaux</w:t>
            </w:r>
          </w:p>
        </w:tc>
        <w:tc>
          <w:tcPr/>
          <w:p>
            <w:pPr>
              <w:pStyle w:val="Compact"/>
              <w:jc w:val="left"/>
            </w:pPr>
            <w:r>
              <w:t xml:space="preserve">🔴</w:t>
            </w:r>
          </w:p>
        </w:tc>
        <w:tc>
          <w:tcPr/>
          <w:p>
            <w:pPr>
              <w:pStyle w:val="Compact"/>
              <w:jc w:val="left"/>
            </w:pPr>
            <w:r>
              <w:t xml:space="preserve">L’art. 6 pose un bon principe : transferts uniquement sur la base d’une décision d’adéquation (« EU-U.S. Data Privacy Framework lorsque le prestataire y est certifié ») ou des clauses contractuelles types 2021/914. Mais aucun transfert n’a de mécanisme identifié : pour chaque prestataire, l’Annexe 1 indique « [DPF / CCT — À VÉRIFIER] » ou « [À VÉRIFIER] », et Vapi, OpenAI et Airtable sont présumés aux États-Unis. Aucun module des CCT n’est désigné (module 3, de sous-traitant à sous-traitant, a priori). Aucune TIA n’est prévue pour les transferts fondés sur des CCT, aucune mesure supplémentaire n’est documentée, et les transferts ultérieurs dans la chaîne de Vapi ne sont pas couverts. Le client ne peut donc pas vérifier la licéité des transferts qu’il autorise.</w:t>
            </w:r>
          </w:p>
        </w:tc>
        <w:tc>
          <w:tcPr/>
          <w:p>
            <w:pPr>
              <w:pStyle w:val="Compact"/>
              <w:jc w:val="left"/>
            </w:pPr>
            <w:r>
              <w:t xml:space="preserve">Remplacer l’art. 6 par : « Les transferts hors EEE sont limités aux prestataires et pays indiqués en Annexe 1. Pour chacun, l’Annexe 1 précise le mécanisme effectivement en place : (a) certification active au EU-U.S. Data Privacy Framework (décision d’adéquation de la Commission), vérifiée à la signature puis au moins une fois par an ; ou (b) clauses contractuelles types adoptées par la Commission le 4 juin 2021 (décision d’exécution 2021/914), module 3 (sous-traitant à sous-traitant). Pour tout transfert fondé sur des clauses contractuelles types vers un pays sans décision d’adéquation, AutomateLux réalise et tient à disposition du Client une évaluation d’impact du transfert et met en œuvre les mesures supplémentaires nécessaires (recommandations EDPB 01/2020). AutomateLux privilégie les options d’hébergement dans l’EEE lorsqu’elles existent. Si la certification ou la décision d’adéquation cesse de s’appliquer, AutomateLux en informe le Client sans délai et suspend le transfert ou met en place un autre mécanisme. »</w:t>
            </w:r>
          </w:p>
        </w:tc>
        <w:tc>
          <w:tcPr/>
          <w:p>
            <w:pPr>
              <w:pStyle w:val="Compact"/>
              <w:jc w:val="left"/>
            </w:pPr>
            <w:r>
              <w:t xml:space="preserve">Haute</w:t>
            </w:r>
          </w:p>
        </w:tc>
      </w:tr>
      <w:tr>
        <w:tc>
          <w:tcPr/>
          <w:p>
            <w:pPr>
              <w:pStyle w:val="Compact"/>
              <w:jc w:val="left"/>
            </w:pPr>
            <w:r>
              <w:t xml:space="preserve">—</w:t>
            </w:r>
          </w:p>
        </w:tc>
        <w:tc>
          <w:tcPr/>
          <w:p>
            <w:pPr>
              <w:pStyle w:val="Compact"/>
              <w:jc w:val="left"/>
            </w:pPr>
            <w:r>
              <w:rPr>
                <w:bCs/>
                <w:b/>
              </w:rPr>
              <w:t xml:space="preserve">Clauses complémentaires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Accès gouvernemental</w:t>
            </w:r>
          </w:p>
        </w:tc>
        <w:tc>
          <w:tcPr/>
          <w:p>
            <w:pPr>
              <w:pStyle w:val="Compact"/>
              <w:jc w:val="left"/>
            </w:pPr>
            <w:r>
              <w:t xml:space="preserve">🔴</w:t>
            </w:r>
          </w:p>
        </w:tc>
        <w:tc>
          <w:tcPr/>
          <w:p>
            <w:pPr>
              <w:pStyle w:val="Compact"/>
              <w:jc w:val="left"/>
            </w:pPr>
            <w:r>
              <w:t xml:space="preserve">Clause non identifiée dans le document fourni. Si l’Annexe 1 se confirme, plusieurs sous-traitants ultérieurs (Vapi, OpenAI, Airtable, voire ElevenLabs) sont soumis au droit américain : le Cloud Act et la section 702 du FISA peuvent s’appliquer, y compris si une option d’hébergement dans l’UE est retenue. Le risque est concret. AutomateLux n’est pas elle-même soumise à ces lois : l’enjeu est la répercussion de l’engagement sur ses prestataires.</w:t>
            </w:r>
          </w:p>
        </w:tc>
        <w:tc>
          <w:tcPr/>
          <w:p>
            <w:pPr>
              <w:pStyle w:val="Compact"/>
              <w:jc w:val="left"/>
            </w:pPr>
            <w:r>
              <w:t xml:space="preserve">Ajouter un article : « AutomateLux (a) notifie le Client sans délai de toute demande d’accès d’une autorité publique d’un pays tiers concernant ses données, dont il aurait connaissance directement ou par un sous-traitant ultérieur, sauf interdiction légale ; (b) ne retient que des sous-traitants ultérieurs qui s’engagent contractuellement à contester les demandes illégales ou disproportionnées, à ne communiquer que le minimum requis, à évaluer la compatibilité de la demande avec le droit de l’Union et à publier un rapport de transparence ; (c) communique au Client, sur demande, les rapports de transparence de ces prestataires. » Clause complémentaire (non obligatoire art. 28 RGPD).</w:t>
            </w:r>
          </w:p>
        </w:tc>
        <w:tc>
          <w:tcPr/>
          <w:p>
            <w:pPr>
              <w:pStyle w:val="Compact"/>
              <w:jc w:val="left"/>
            </w:pPr>
            <w:r>
              <w:t xml:space="preserve">Moyenne</w:t>
            </w:r>
          </w:p>
        </w:tc>
      </w:tr>
      <w:tr>
        <w:tc>
          <w:tcPr/>
          <w:p>
            <w:pPr>
              <w:pStyle w:val="Compact"/>
              <w:jc w:val="left"/>
            </w:pPr>
            <w:r>
              <w:t xml:space="preserve">15</w:t>
            </w:r>
          </w:p>
        </w:tc>
        <w:tc>
          <w:tcPr/>
          <w:p>
            <w:pPr>
              <w:pStyle w:val="Compact"/>
              <w:jc w:val="left"/>
            </w:pPr>
            <w:r>
              <w:t xml:space="preserve">Assurance</w:t>
            </w:r>
          </w:p>
        </w:tc>
        <w:tc>
          <w:tcPr/>
          <w:p>
            <w:pPr>
              <w:pStyle w:val="Compact"/>
              <w:jc w:val="left"/>
            </w:pPr>
            <w:r>
              <w:t xml:space="preserve">🟡</w:t>
            </w:r>
          </w:p>
        </w:tc>
        <w:tc>
          <w:tcPr/>
          <w:p>
            <w:pPr>
              <w:pStyle w:val="Compact"/>
              <w:jc w:val="left"/>
            </w:pPr>
            <w:r>
              <w:t xml:space="preserve">Clause non identifiée dans le document fourni. Les CGV (art. 11.3) évoquent un plafond « à valider par le juriste et l’assureur RC », ce qui ne garantit pas qu’une assurance existe. AutomateLux est une S.à r.l.-S au capital de 500 €, et le service peut traiter des données de santé : sans assurance, le recours du Client est illusoire. Clause complémentaire (non obligatoire art. 28 RGPD) — recommandée.</w:t>
            </w:r>
          </w:p>
        </w:tc>
        <w:tc>
          <w:tcPr/>
          <w:p>
            <w:pPr>
              <w:pStyle w:val="Compact"/>
              <w:jc w:val="left"/>
            </w:pPr>
            <w:r>
              <w:t xml:space="preserve">Ajouter : « AutomateLux maintient pendant toute la durée du contrat une assurance responsabilité civile professionnelle d’un montant minimum de [X] € par sinistre, incluant ou complétée par une couverture des risques cyber (violation de données, frais de notification) de [X] €, et en remet l’attestation au Client à la signature puis sur demande. »</w:t>
            </w:r>
          </w:p>
        </w:tc>
        <w:tc>
          <w:tcPr/>
          <w:p>
            <w:pPr>
              <w:pStyle w:val="Compact"/>
              <w:jc w:val="left"/>
            </w:pPr>
            <w:r>
              <w:t xml:space="preserve">Moyenne (Haute pour les clients du secteur santé)</w:t>
            </w:r>
          </w:p>
        </w:tc>
      </w:tr>
      <w:tr>
        <w:tc>
          <w:tcPr/>
          <w:p>
            <w:pPr>
              <w:pStyle w:val="Compact"/>
              <w:jc w:val="left"/>
            </w:pPr>
            <w:r>
              <w:t xml:space="preserve">16</w:t>
            </w:r>
          </w:p>
        </w:tc>
        <w:tc>
          <w:tcPr/>
          <w:p>
            <w:pPr>
              <w:pStyle w:val="Compact"/>
              <w:jc w:val="left"/>
            </w:pPr>
            <w:r>
              <w:t xml:space="preserve">Responsabilité / indemnisation</w:t>
            </w:r>
          </w:p>
        </w:tc>
        <w:tc>
          <w:tcPr/>
          <w:p>
            <w:pPr>
              <w:pStyle w:val="Compact"/>
              <w:jc w:val="left"/>
            </w:pPr>
            <w:r>
              <w:t xml:space="preserve">🟡</w:t>
            </w:r>
          </w:p>
        </w:tc>
        <w:tc>
          <w:tcPr/>
          <w:p>
            <w:pPr>
              <w:pStyle w:val="Compact"/>
              <w:jc w:val="left"/>
            </w:pPr>
            <w:r>
              <w:t xml:space="preserve">« Chaque partie est responsable des dommages causés par sa propre violation du RGPD ou du présent contrat, conformément à l’article 82 RGPD » avec la mention «</w:t>
            </w:r>
            <w:r>
              <w:t xml:space="preserve"> </w:t>
            </w:r>
            <w:r>
              <w:rPr>
                <w:bCs/>
                <w:b/>
              </w:rPr>
              <w:t xml:space="preserve">[Articulation avec la limitation de responsabilité des CGV à faire valider par le juriste.]</w:t>
            </w:r>
            <w:r>
              <w:t xml:space="preserve"> </w:t>
            </w:r>
            <w:r>
              <w:t xml:space="preserve">» (art. 7). Les CGV (art. 11) limitent la responsabilité totale aux « sommes payées par le Client au titre des [12] derniers mois », excluent les dommages indirects et réservent la faute lourde ou intentionnelle.</w:t>
            </w:r>
            <w:r>
              <w:t xml:space="preserve"> </w:t>
            </w:r>
            <w:r>
              <w:rPr>
                <w:bCs/>
                <w:b/>
              </w:rPr>
              <w:t xml:space="preserve">Clause ambiguë — interprétation à confirmer avec le fournisseur</w:t>
            </w:r>
            <w:r>
              <w:t xml:space="preserve"> </w:t>
            </w:r>
            <w:r>
              <w:t xml:space="preserve">: la clause de primauté du préambule (« En cas de contradiction sur la protection des données, le présent contrat prévaut ») n’écarte pas clairement ce plafond, puisque l’art. 7 ne le contredit pas. Pour un client « Starter », la responsabilité d’AutomateLux serait donc plafonnée à quelques milliers d’euros. Aucun carve-out, aucune indemnisation.</w:t>
            </w:r>
          </w:p>
        </w:tc>
        <w:tc>
          <w:tcPr/>
          <w:p>
            <w:pPr>
              <w:pStyle w:val="Compact"/>
              <w:jc w:val="left"/>
            </w:pPr>
            <w:r>
              <w:t xml:space="preserve">Remplacer l’art. 7 par : « Par dérogation à l’article 11 des CGV, la responsabilité d’AutomateLux pour les manquements à ses obligations de protection des données (y compris ceux de ses sous-traitants ultérieurs) est plafonnée à [montant à négocier, par exemple le plus élevé de X € ou de N fois les sommes annuelles], et l’exclusion des dommages indirects ne s’applique pas aux frais de notification, de remédiation et d’indemnisation des personnes concernées. AutomateLux indemnise le Client de tout préjudice résultant de tels manquements. Cette limitation ne s’applique pas à la responsabilité envers les personnes concernées au titre de l’article 82 RGPD. » La prise en charge d’amendes administratives par une clause contractuelle est à valider par un juriste.</w:t>
            </w:r>
          </w:p>
        </w:tc>
        <w:tc>
          <w:tcPr/>
          <w:p>
            <w:pPr>
              <w:pStyle w:val="Compact"/>
              <w:jc w:val="left"/>
            </w:pPr>
            <w:r>
              <w:t xml:space="preserve">Haute</w:t>
            </w:r>
          </w:p>
        </w:tc>
      </w:tr>
      <w:tr>
        <w:tc>
          <w:tcPr/>
          <w:p>
            <w:pPr>
              <w:pStyle w:val="Compact"/>
              <w:jc w:val="left"/>
            </w:pPr>
            <w:r>
              <w:t xml:space="preserve">17</w:t>
            </w:r>
          </w:p>
        </w:tc>
        <w:tc>
          <w:tcPr/>
          <w:p>
            <w:pPr>
              <w:pStyle w:val="Compact"/>
              <w:jc w:val="left"/>
            </w:pPr>
            <w:r>
              <w:t xml:space="preserve">Défaillance sous-traitant</w:t>
            </w:r>
          </w:p>
        </w:tc>
        <w:tc>
          <w:tcPr/>
          <w:p>
            <w:pPr>
              <w:pStyle w:val="Compact"/>
              <w:jc w:val="left"/>
            </w:pPr>
            <w:r>
              <w:t xml:space="preserve">🟡</w:t>
            </w:r>
          </w:p>
        </w:tc>
        <w:tc>
          <w:tcPr/>
          <w:p>
            <w:pPr>
              <w:pStyle w:val="Compact"/>
              <w:jc w:val="left"/>
            </w:pPr>
            <w:r>
              <w:t xml:space="preserve">Seule la restitution standard est prévue (art. 3.8). Il n’existe aucun mécanisme en cas de faillite, de cessation d’activité, de changement de contrôle ou d’indisponibilité du gérant. Le risque opérationnel est réel : société créée en 2025, gérant unique à temps partiel, et l’Annexe 2 prévoit un « accès limité au gérant » (lui seul détient les accès aux comptes Vapi, Airtable et Make.com qui contiennent les données du Client). Clause complémentaire (non obligatoire art. 28 RGPD) — recommandée.</w:t>
            </w:r>
          </w:p>
        </w:tc>
        <w:tc>
          <w:tcPr/>
          <w:p>
            <w:pPr>
              <w:pStyle w:val="Compact"/>
              <w:jc w:val="left"/>
            </w:pPr>
            <w:r>
              <w:t xml:space="preserve">Ajouter : « En cas de faillite, de procédure de réorganisation judiciaire ou de liquidation, de cessation d’activité, de changement de contrôle ou d’indisponibilité durable du gérant, AutomateLux (ou toute personne qui la représente) informe le Client dans les meilleurs délais et restitue ses données dans un format structuré et lisible par machine sous [15] jours. AutomateLux met en place une procédure d’accès de secours documentée (identifiants scellés confiés à un tiers de confiance ou export mensuel automatique vers le Client). Les obligations du présent contrat sont opposables à tout repreneur ou liquidateur, dans les limites du droit luxembourgeois de l’insolvabilité. »</w:t>
            </w:r>
          </w:p>
        </w:tc>
        <w:tc>
          <w:tcPr/>
          <w:p>
            <w:pPr>
              <w:pStyle w:val="Compact"/>
              <w:jc w:val="left"/>
            </w:pPr>
            <w:r>
              <w:t xml:space="preserve">Moyenne</w:t>
            </w:r>
          </w:p>
        </w:tc>
      </w:tr>
      <w:tr>
        <w:tc>
          <w:tcPr/>
          <w:p>
            <w:pPr>
              <w:pStyle w:val="Compact"/>
              <w:jc w:val="left"/>
            </w:pPr>
            <w:r>
              <w:t xml:space="preserve">18</w:t>
            </w:r>
          </w:p>
        </w:tc>
        <w:tc>
          <w:tcPr/>
          <w:p>
            <w:pPr>
              <w:pStyle w:val="Compact"/>
              <w:jc w:val="left"/>
            </w:pPr>
            <w:r>
              <w:t xml:space="preserve">Vérification Règlement IA</w:t>
            </w:r>
          </w:p>
        </w:tc>
        <w:tc>
          <w:tcPr/>
          <w:p>
            <w:pPr>
              <w:pStyle w:val="Compact"/>
              <w:jc w:val="left"/>
            </w:pPr>
            <w:r>
              <w:t xml:space="preserve">🟡</w:t>
            </w:r>
          </w:p>
        </w:tc>
        <w:tc>
          <w:tcPr/>
          <w:p>
            <w:pPr>
              <w:pStyle w:val="Compact"/>
              <w:jc w:val="left"/>
            </w:pPr>
            <w:r>
              <w:t xml:space="preserve">Le DPA ne mentionne pas l’« intelligence artificielle » en tant que telle, mais l’IA est au cœur du service : « assistant téléphonique automatisé », « génération de réponses », « OpenAI (modèle GPT-4.1) », « ElevenLabs — Synthèse vocale », reconnaissance vocale (art. 1, 2, Annexe 1). L’art. 4.2 met à la charge du Client l’annonce que l’appelant parle à « un assistant automatisé ». Ce qui manque : l’identification des systèmes et leur classification au regard du Règlement (UE) 2024/1689, la répartition des rôles (fournisseur ou déployeur) et l’interdiction d’entraînement (voir clause 2). Détail dans la section dédiée. Clause complémentaire (non obligatoire art. 28 RGPD) — recommandée.</w:t>
            </w:r>
          </w:p>
        </w:tc>
        <w:tc>
          <w:tcPr/>
          <w:p>
            <w:pPr>
              <w:pStyle w:val="Compact"/>
              <w:jc w:val="left"/>
            </w:pPr>
            <w:r>
              <w:t xml:space="preserve">Ajouter une Annexe 3 « Systèmes d’IA » : « (a) Systèmes utilisés : agent vocal configuré par AutomateLux sur la plateforme Vapi, modèle GPT-4.1 (OpenAI), synthèse vocale ElevenLabs, transcription [prestataire] ; (b) classification : système interagissant directement avec des personnes physiques, ne relevant pas a priori des systèmes à haut risque [à confirmer] ; (c) AutomateLux configure le message d’accueil pour que l’appelant soit informé, dès le début de l’appel, qu’il interagit avec un système automatisé, et le Client valide ce message ; (d) l’Assistant ne prend aucune décision produisant des effets juridiques ou significatifs à l’égard de l’appelant, et toute demande hors périmètre est renvoyée vers le Client ; (e) les données ne sont pas utilisées pour l’entraînement de modèles (voir art. 2) ; (f) AutomateLux communique sur demande la documentation pertinente des fournisseurs de modèles. »</w:t>
            </w:r>
          </w:p>
        </w:tc>
        <w:tc>
          <w:tcPr/>
          <w:p>
            <w:pPr>
              <w:pStyle w:val="Compact"/>
              <w:jc w:val="left"/>
            </w:pPr>
            <w:r>
              <w:t xml:space="preserve">Moyenne</w:t>
            </w:r>
          </w:p>
        </w:tc>
      </w:tr>
    </w:tbl>
    <w:p>
      <w:r>
        <w:pict>
          <v:rect style="width:0;height:1.5pt" o:hralign="center" o:hrstd="t" o:hr="t"/>
        </w:pict>
      </w:r>
    </w:p>
    <w:bookmarkEnd w:id="21"/>
    <w:bookmarkStart w:id="25" w:name="transferts-internationaux"/>
    <w:p>
      <w:pPr>
        <w:pStyle w:val="Heading2"/>
      </w:pPr>
      <w:r>
        <w:t xml:space="preserve">TRANSFERTS INTERNATIONAUX</w:t>
      </w:r>
    </w:p>
    <w:bookmarkStart w:id="22" w:name="tableau-structuré-des-transferts"/>
    <w:p>
      <w:pPr>
        <w:pStyle w:val="Heading3"/>
      </w:pPr>
      <w:r>
        <w:t xml:space="preserve">4.1 Tableau structuré des transferts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Sous-traitant ultérieur</w:t>
            </w:r>
          </w:p>
        </w:tc>
        <w:tc>
          <w:tcPr/>
          <w:p>
            <w:pPr>
              <w:pStyle w:val="Compact"/>
              <w:jc w:val="left"/>
            </w:pPr>
            <w:r>
              <w:t xml:space="preserve">Pays / Organisation</w:t>
            </w:r>
          </w:p>
        </w:tc>
        <w:tc>
          <w:tcPr/>
          <w:p>
            <w:pPr>
              <w:pStyle w:val="Compact"/>
              <w:jc w:val="left"/>
            </w:pPr>
            <w:r>
              <w:t xml:space="preserve">Mécanisme de transfert</w:t>
            </w:r>
          </w:p>
        </w:tc>
        <w:tc>
          <w:tcPr/>
          <w:p>
            <w:pPr>
              <w:pStyle w:val="Compact"/>
              <w:jc w:val="left"/>
            </w:pPr>
            <w:r>
              <w:t xml:space="preserve">TIA réalisée</w:t>
            </w:r>
          </w:p>
        </w:tc>
        <w:tc>
          <w:tcPr/>
          <w:p>
            <w:pPr>
              <w:pStyle w:val="Compact"/>
              <w:jc w:val="left"/>
            </w:pPr>
            <w:r>
              <w:t xml:space="preserve">Mesures supplémentaires</w:t>
            </w:r>
          </w:p>
        </w:tc>
        <w:tc>
          <w:tcPr/>
          <w:p>
            <w:pPr>
              <w:pStyle w:val="Compact"/>
              <w:jc w:val="left"/>
            </w:pPr>
            <w:r>
              <w:t xml:space="preserve">Accès gouvernemental</w:t>
            </w:r>
          </w:p>
        </w:tc>
        <w:tc>
          <w:tcPr/>
          <w:p>
            <w:pPr>
              <w:pStyle w:val="Compact"/>
              <w:jc w:val="left"/>
            </w:pPr>
            <w:r>
              <w:t xml:space="preserve">Lien vers le document</w:t>
            </w:r>
          </w:p>
        </w:tc>
      </w:tr>
      <w:tr>
        <w:tc>
          <w:tcPr/>
          <w:p>
            <w:pPr>
              <w:pStyle w:val="Compact"/>
              <w:jc w:val="left"/>
            </w:pPr>
            <w:r>
              <w:t xml:space="preserve">Vapi (orchestration des appels)</w:t>
            </w:r>
          </w:p>
        </w:tc>
        <w:tc>
          <w:tcPr/>
          <w:p>
            <w:pPr>
              <w:pStyle w:val="Compact"/>
              <w:jc w:val="left"/>
            </w:pPr>
            <w:r>
              <w:t xml:space="preserve">États-Unis [hypothèse du DPA, à vérifier]</w:t>
            </w:r>
          </w:p>
        </w:tc>
        <w:tc>
          <w:tcPr/>
          <w:p>
            <w:pPr>
              <w:pStyle w:val="Compact"/>
              <w:jc w:val="left"/>
            </w:pPr>
            <w:r>
              <w:t xml:space="preserve">Non précisé (« DPF / CCT — À VÉRIFIER »)</w:t>
            </w:r>
          </w:p>
        </w:tc>
        <w:tc>
          <w:tcPr/>
          <w:p>
            <w:pPr>
              <w:pStyle w:val="Compact"/>
              <w:jc w:val="left"/>
            </w:pPr>
            <w:r>
              <w:t xml:space="preserve">Non précisé</w:t>
            </w:r>
          </w:p>
        </w:tc>
        <w:tc>
          <w:tcPr/>
          <w:p>
            <w:pPr>
              <w:pStyle w:val="Compact"/>
              <w:jc w:val="left"/>
            </w:pPr>
            <w:r>
              <w:t xml:space="preserve">Aucune documentée</w:t>
            </w:r>
          </w:p>
        </w:tc>
        <w:tc>
          <w:tcPr/>
          <w:p>
            <w:pPr>
              <w:pStyle w:val="Compact"/>
              <w:jc w:val="left"/>
            </w:pPr>
            <w:r>
              <w:t xml:space="preserve">Cloud Act / FISA 702 probables si société américaine — à vérifier</w:t>
            </w:r>
          </w:p>
        </w:tc>
        <w:tc>
          <w:tcPr/>
          <w:p>
            <w:pPr>
              <w:pStyle w:val="Compact"/>
              <w:jc w:val="left"/>
            </w:pPr>
            <w:r>
              <w:t xml:space="preserve">Art. 6 ; Annexe 1</w:t>
            </w:r>
          </w:p>
        </w:tc>
      </w:tr>
      <w:tr>
        <w:tc>
          <w:tcPr/>
          <w:p>
            <w:pPr>
              <w:pStyle w:val="Compact"/>
              <w:jc w:val="left"/>
            </w:pPr>
            <w:r>
              <w:t xml:space="preserve">OpenAI, GPT-4.1 (« via Vapi »)</w:t>
            </w:r>
          </w:p>
        </w:tc>
        <w:tc>
          <w:tcPr/>
          <w:p>
            <w:pPr>
              <w:pStyle w:val="Compact"/>
              <w:jc w:val="left"/>
            </w:pPr>
            <w:r>
              <w:t xml:space="preserve">États-Unis [hypothèse ; « option UE à étudier »]</w:t>
            </w:r>
          </w:p>
        </w:tc>
        <w:tc>
          <w:tcPr/>
          <w:p>
            <w:pPr>
              <w:pStyle w:val="Compact"/>
              <w:jc w:val="left"/>
            </w:pPr>
            <w:r>
              <w:t xml:space="preserve">Non précisé. Lien contractuel direct ou via Vapi inconnu</w:t>
            </w:r>
          </w:p>
        </w:tc>
        <w:tc>
          <w:tcPr/>
          <w:p>
            <w:pPr>
              <w:pStyle w:val="Compact"/>
              <w:jc w:val="left"/>
            </w:pPr>
            <w:r>
              <w:t xml:space="preserve">Non précisé</w:t>
            </w:r>
          </w:p>
        </w:tc>
        <w:tc>
          <w:tcPr/>
          <w:p>
            <w:pPr>
              <w:pStyle w:val="Compact"/>
              <w:jc w:val="left"/>
            </w:pPr>
            <w:r>
              <w:t xml:space="preserve">Aucune documentée</w:t>
            </w:r>
          </w:p>
        </w:tc>
        <w:tc>
          <w:tcPr/>
          <w:p>
            <w:pPr>
              <w:pStyle w:val="Compact"/>
              <w:jc w:val="left"/>
            </w:pPr>
            <w:r>
              <w:t xml:space="preserve">Cloud Act / FISA 702 probables — à vérifier</w:t>
            </w:r>
          </w:p>
        </w:tc>
        <w:tc>
          <w:tcPr/>
          <w:p>
            <w:pPr>
              <w:pStyle w:val="Compact"/>
              <w:jc w:val="left"/>
            </w:pPr>
            <w:r>
              <w:t xml:space="preserve">Annexe 1</w:t>
            </w:r>
          </w:p>
        </w:tc>
      </w:tr>
      <w:tr>
        <w:tc>
          <w:tcPr/>
          <w:p>
            <w:pPr>
              <w:pStyle w:val="Compact"/>
              <w:jc w:val="left"/>
            </w:pPr>
            <w:r>
              <w:t xml:space="preserve">ElevenLabs (synthèse vocale)</w:t>
            </w:r>
          </w:p>
        </w:tc>
        <w:tc>
          <w:tcPr/>
          <w:p>
            <w:pPr>
              <w:pStyle w:val="Compact"/>
              <w:jc w:val="left"/>
            </w:pPr>
            <w:r>
              <w:t xml:space="preserve">Non précisé (« option de résidence UE à étudier »)</w:t>
            </w:r>
          </w:p>
        </w:tc>
        <w:tc>
          <w:tcPr/>
          <w:p>
            <w:pPr>
              <w:pStyle w:val="Compact"/>
              <w:jc w:val="left"/>
            </w:pPr>
            <w:r>
              <w:t xml:space="preserve">Non précisé</w:t>
            </w:r>
          </w:p>
        </w:tc>
        <w:tc>
          <w:tcPr/>
          <w:p>
            <w:pPr>
              <w:pStyle w:val="Compact"/>
              <w:jc w:val="left"/>
            </w:pPr>
            <w:r>
              <w:t xml:space="preserve">Non précisé</w:t>
            </w:r>
          </w:p>
        </w:tc>
        <w:tc>
          <w:tcPr/>
          <w:p>
            <w:pPr>
              <w:pStyle w:val="Compact"/>
              <w:jc w:val="left"/>
            </w:pPr>
            <w:r>
              <w:t xml:space="preserve">Aucune documentée</w:t>
            </w:r>
          </w:p>
        </w:tc>
        <w:tc>
          <w:tcPr/>
          <w:p>
            <w:pPr>
              <w:pStyle w:val="Compact"/>
              <w:jc w:val="left"/>
            </w:pPr>
            <w:r>
              <w:t xml:space="preserve">À vérifier selon l’entité contractante</w:t>
            </w:r>
          </w:p>
        </w:tc>
        <w:tc>
          <w:tcPr/>
          <w:p>
            <w:pPr>
              <w:pStyle w:val="Compact"/>
              <w:jc w:val="left"/>
            </w:pPr>
            <w:r>
              <w:t xml:space="preserve">Annexe 1</w:t>
            </w:r>
          </w:p>
        </w:tc>
      </w:tr>
      <w:tr>
        <w:tc>
          <w:tcPr/>
          <w:p>
            <w:pPr>
              <w:pStyle w:val="Compact"/>
              <w:jc w:val="left"/>
            </w:pPr>
            <w:r>
              <w:t xml:space="preserve">Reconnaissance vocale (via Vapi)</w:t>
            </w:r>
          </w:p>
        </w:tc>
        <w:tc>
          <w:tcPr/>
          <w:p>
            <w:pPr>
              <w:pStyle w:val="Compact"/>
              <w:jc w:val="left"/>
            </w:pPr>
            <w:r>
              <w:t xml:space="preserve">Non précisé (« dépend de la configuration Vapi »)</w:t>
            </w:r>
          </w:p>
        </w:tc>
        <w:tc>
          <w:tcPr/>
          <w:p>
            <w:pPr>
              <w:pStyle w:val="Compact"/>
              <w:jc w:val="left"/>
            </w:pPr>
            <w:r>
              <w:t xml:space="preserve">Non précisé</w:t>
            </w:r>
          </w:p>
        </w:tc>
        <w:tc>
          <w:tcPr/>
          <w:p>
            <w:pPr>
              <w:pStyle w:val="Compact"/>
              <w:jc w:val="left"/>
            </w:pPr>
            <w:r>
              <w:t xml:space="preserve">Non précisé</w:t>
            </w:r>
          </w:p>
        </w:tc>
        <w:tc>
          <w:tcPr/>
          <w:p>
            <w:pPr>
              <w:pStyle w:val="Compact"/>
              <w:jc w:val="left"/>
            </w:pPr>
            <w:r>
              <w:t xml:space="preserve">Aucune documentée</w:t>
            </w:r>
          </w:p>
        </w:tc>
        <w:tc>
          <w:tcPr/>
          <w:p>
            <w:pPr>
              <w:pStyle w:val="Compact"/>
              <w:jc w:val="left"/>
            </w:pPr>
            <w:r>
              <w:t xml:space="preserve">Inconnu</w:t>
            </w:r>
          </w:p>
        </w:tc>
        <w:tc>
          <w:tcPr/>
          <w:p>
            <w:pPr>
              <w:pStyle w:val="Compact"/>
              <w:jc w:val="left"/>
            </w:pPr>
            <w:r>
              <w:t xml:space="preserve">Annexe 1</w:t>
            </w:r>
          </w:p>
        </w:tc>
      </w:tr>
      <w:tr>
        <w:tc>
          <w:tcPr/>
          <w:p>
            <w:pPr>
              <w:pStyle w:val="Compact"/>
              <w:jc w:val="left"/>
            </w:pPr>
            <w:r>
              <w:t xml:space="preserve">Opérateur téléphonique</w:t>
            </w:r>
          </w:p>
        </w:tc>
        <w:tc>
          <w:tcPr/>
          <w:p>
            <w:pPr>
              <w:pStyle w:val="Compact"/>
              <w:jc w:val="left"/>
            </w:pPr>
            <w:r>
              <w:t xml:space="preserve">Non précisé</w:t>
            </w:r>
          </w:p>
        </w:tc>
        <w:tc>
          <w:tcPr/>
          <w:p>
            <w:pPr>
              <w:pStyle w:val="Compact"/>
              <w:jc w:val="left"/>
            </w:pPr>
            <w:r>
              <w:t xml:space="preserve">Non précisé</w:t>
            </w:r>
          </w:p>
        </w:tc>
        <w:tc>
          <w:tcPr/>
          <w:p>
            <w:pPr>
              <w:pStyle w:val="Compact"/>
              <w:jc w:val="left"/>
            </w:pPr>
            <w:r>
              <w:t xml:space="preserve">Non précisé</w:t>
            </w:r>
          </w:p>
        </w:tc>
        <w:tc>
          <w:tcPr/>
          <w:p>
            <w:pPr>
              <w:pStyle w:val="Compact"/>
              <w:jc w:val="left"/>
            </w:pPr>
            <w:r>
              <w:t xml:space="preserve">Aucune documentée</w:t>
            </w:r>
          </w:p>
        </w:tc>
        <w:tc>
          <w:tcPr/>
          <w:p>
            <w:pPr>
              <w:pStyle w:val="Compact"/>
              <w:jc w:val="left"/>
            </w:pPr>
            <w:r>
              <w:t xml:space="preserve">Inconnu</w:t>
            </w:r>
          </w:p>
        </w:tc>
        <w:tc>
          <w:tcPr/>
          <w:p>
            <w:pPr>
              <w:pStyle w:val="Compact"/>
              <w:jc w:val="left"/>
            </w:pPr>
            <w:r>
              <w:t xml:space="preserve">Annexe 1</w:t>
            </w:r>
          </w:p>
        </w:tc>
      </w:tr>
      <w:tr>
        <w:tc>
          <w:tcPr/>
          <w:p>
            <w:pPr>
              <w:pStyle w:val="Compact"/>
              <w:jc w:val="left"/>
            </w:pPr>
            <w:r>
              <w:t xml:space="preserve">Make.com (Celonis), région EU1</w:t>
            </w:r>
          </w:p>
        </w:tc>
        <w:tc>
          <w:tcPr/>
          <w:p>
            <w:pPr>
              <w:pStyle w:val="Compact"/>
              <w:jc w:val="left"/>
            </w:pPr>
            <w:r>
              <w:t xml:space="preserve">UE [à vérifier]</w:t>
            </w:r>
          </w:p>
        </w:tc>
        <w:tc>
          <w:tcPr/>
          <w:p>
            <w:pPr>
              <w:pStyle w:val="Compact"/>
              <w:jc w:val="left"/>
            </w:pPr>
            <w:r>
              <w:t xml:space="preserve">Sans objet si l’hébergement UE est confirmé</w:t>
            </w:r>
          </w:p>
        </w:tc>
        <w:tc>
          <w:tcPr/>
          <w:p>
            <w:pPr>
              <w:pStyle w:val="Compact"/>
              <w:jc w:val="left"/>
            </w:pPr>
            <w:r>
              <w:t xml:space="preserve">Sans objet</w:t>
            </w:r>
          </w:p>
        </w:tc>
        <w:tc>
          <w:tcPr/>
          <w:p>
            <w:pPr>
              <w:pStyle w:val="Compact"/>
              <w:jc w:val="left"/>
            </w:pPr>
            <w:r>
              <w:t xml:space="preserve">—</w:t>
            </w:r>
          </w:p>
        </w:tc>
        <w:tc>
          <w:tcPr/>
          <w:p>
            <w:pPr>
              <w:pStyle w:val="Compact"/>
              <w:jc w:val="left"/>
            </w:pPr>
            <w:r>
              <w:t xml:space="preserve">Aucun identifié (à confirmer, ainsi que les sous-traitants de Make.com)</w:t>
            </w:r>
          </w:p>
        </w:tc>
        <w:tc>
          <w:tcPr/>
          <w:p>
            <w:pPr>
              <w:pStyle w:val="Compact"/>
              <w:jc w:val="left"/>
            </w:pPr>
            <w:r>
              <w:t xml:space="preserve">Annexe 1</w:t>
            </w:r>
          </w:p>
        </w:tc>
      </w:tr>
      <w:tr>
        <w:tc>
          <w:tcPr/>
          <w:p>
            <w:pPr>
              <w:pStyle w:val="Compact"/>
              <w:jc w:val="left"/>
            </w:pPr>
            <w:r>
              <w:t xml:space="preserve">Airtable (rendez-vous et journaux)</w:t>
            </w:r>
          </w:p>
        </w:tc>
        <w:tc>
          <w:tcPr/>
          <w:p>
            <w:pPr>
              <w:pStyle w:val="Compact"/>
              <w:jc w:val="left"/>
            </w:pPr>
            <w:r>
              <w:t xml:space="preserve">États-Unis [hypothèse du DPA]</w:t>
            </w:r>
          </w:p>
        </w:tc>
        <w:tc>
          <w:tcPr/>
          <w:p>
            <w:pPr>
              <w:pStyle w:val="Compact"/>
              <w:jc w:val="left"/>
            </w:pPr>
            <w:r>
              <w:t xml:space="preserve">Non précisé (« DPF / CCT — À VÉRIFIER »)</w:t>
            </w:r>
          </w:p>
        </w:tc>
        <w:tc>
          <w:tcPr/>
          <w:p>
            <w:pPr>
              <w:pStyle w:val="Compact"/>
              <w:jc w:val="left"/>
            </w:pPr>
            <w:r>
              <w:t xml:space="preserve">Non précisé</w:t>
            </w:r>
          </w:p>
        </w:tc>
        <w:tc>
          <w:tcPr/>
          <w:p>
            <w:pPr>
              <w:pStyle w:val="Compact"/>
              <w:jc w:val="left"/>
            </w:pPr>
            <w:r>
              <w:t xml:space="preserve">Aucune documentée</w:t>
            </w:r>
          </w:p>
        </w:tc>
        <w:tc>
          <w:tcPr/>
          <w:p>
            <w:pPr>
              <w:pStyle w:val="Compact"/>
              <w:jc w:val="left"/>
            </w:pPr>
            <w:r>
              <w:t xml:space="preserve">Cloud Act / FISA 702 probables — à vérifier</w:t>
            </w:r>
          </w:p>
        </w:tc>
        <w:tc>
          <w:tcPr/>
          <w:p>
            <w:pPr>
              <w:pStyle w:val="Compact"/>
              <w:jc w:val="left"/>
            </w:pPr>
            <w:r>
              <w:t xml:space="preserve">Annexe 1</w:t>
            </w:r>
          </w:p>
        </w:tc>
      </w:tr>
      <w:tr>
        <w:tc>
          <w:tcPr/>
          <w:p>
            <w:pPr>
              <w:pStyle w:val="Compact"/>
              <w:jc w:val="left"/>
            </w:pPr>
            <w:r>
              <w:t xml:space="preserve">Brevo (rappels e-mail / SMS)</w:t>
            </w:r>
          </w:p>
        </w:tc>
        <w:tc>
          <w:tcPr/>
          <w:p>
            <w:pPr>
              <w:pStyle w:val="Compact"/>
              <w:jc w:val="left"/>
            </w:pPr>
            <w:r>
              <w:t xml:space="preserve">UE (France) [à vérifier]</w:t>
            </w:r>
          </w:p>
        </w:tc>
        <w:tc>
          <w:tcPr/>
          <w:p>
            <w:pPr>
              <w:pStyle w:val="Compact"/>
              <w:jc w:val="left"/>
            </w:pPr>
            <w:r>
              <w:t xml:space="preserve">Sans objet si UE</w:t>
            </w:r>
          </w:p>
        </w:tc>
        <w:tc>
          <w:tcPr/>
          <w:p>
            <w:pPr>
              <w:pStyle w:val="Compact"/>
              <w:jc w:val="left"/>
            </w:pPr>
            <w:r>
              <w:t xml:space="preserve">Sans objet</w:t>
            </w:r>
          </w:p>
        </w:tc>
        <w:tc>
          <w:tcPr/>
          <w:p>
            <w:pPr>
              <w:pStyle w:val="Compact"/>
              <w:jc w:val="left"/>
            </w:pPr>
            <w:r>
              <w:t xml:space="preserve">—</w:t>
            </w:r>
          </w:p>
        </w:tc>
        <w:tc>
          <w:tcPr/>
          <w:p>
            <w:pPr>
              <w:pStyle w:val="Compact"/>
              <w:jc w:val="left"/>
            </w:pPr>
            <w:r>
              <w:t xml:space="preserve">Aucun identifié. L’acheminement des SMS par des opérateurs tiers est à vérifier</w:t>
            </w:r>
          </w:p>
        </w:tc>
        <w:tc>
          <w:tcPr/>
          <w:p>
            <w:pPr>
              <w:pStyle w:val="Compact"/>
              <w:jc w:val="left"/>
            </w:pPr>
            <w:r>
              <w:t xml:space="preserve">Annexe 1</w:t>
            </w:r>
          </w:p>
        </w:tc>
      </w:tr>
    </w:tbl>
    <w:bookmarkEnd w:id="22"/>
    <w:bookmarkStart w:id="23" w:name="analyse-complémentaire"/>
    <w:p>
      <w:pPr>
        <w:pStyle w:val="Heading3"/>
      </w:pPr>
      <w:r>
        <w:t xml:space="preserve">4.2 Analyse complémentaire</w:t>
      </w:r>
    </w:p>
    <w:p>
      <w:pPr>
        <w:pStyle w:val="FirstParagraph"/>
      </w:pPr>
      <w:r>
        <w:t xml:space="preserve">Le principe de l’article 6 est cohérent avec l’arrêt Schrems II : il exige l’adéquation (DPF) ou les CCT 2021. En l’état, cependant, aucun des trois flux présumés vers les États-Unis n’est documenté. Si un prestataire est certifié DPF, la décision d’adéquation suffit et aucune TIA n’est requise ; le client doit alors simplement pouvoir vérifier la certification active (la validité du DPF fait l’objet de contentieux : l’état de ces procédures est à vérifier en ligne à la date de signature). Pour un prestataire non certifié, il faut des CCT module 3 et une TIA. Celle-ci doit tenir compte de la nature des données : transcriptions intégrales d’appels, enregistrements vocaux, et données de santé possibles pour les dentistes. Recommandation : demander à AutomateLux une TIA sommaire par prestataire non certifié, et privilégier les options d’hébergement ou de traitement dans l’UE mentionnées pour OpenAI et ElevenLabs.</w:t>
      </w:r>
    </w:p>
    <w:bookmarkEnd w:id="23"/>
    <w:bookmarkStart w:id="24" w:name="accès-gouvernemental-focus"/>
    <w:p>
      <w:pPr>
        <w:pStyle w:val="Heading3"/>
      </w:pPr>
      <w:r>
        <w:t xml:space="preserve">4.3 Accès gouvernemental (focus)</w:t>
      </w:r>
    </w:p>
    <w:p>
      <w:pPr>
        <w:pStyle w:val="FirstParagraph"/>
      </w:pPr>
      <w:r>
        <w:t xml:space="preserve">Si les localisations de l’Annexe 1 sont confirmées, Vapi, OpenAI et Airtable sont soumis à des législations américaines permettant l’accès des autorités aux données (Cloud Act, FISA 702), même lorsque les données sont hébergées dans l’UE. Le DPA ne prévoit aucune garantie : pas de notification, pas d’engagement de contestation, pas de transparence. Pour une transcription d’appel à un salon de coiffure, le risque est faible en pratique ; il l’est beaucoup moins pour les appels à un cabinet de santé. Voir la clause 14 (🔴) et la remédiation proposée. AutomateLux ne peut s’engager que sur la répercussion contractuelle et sur la sélection de prestataires qui publient des rapports de transparence.</w:t>
      </w:r>
    </w:p>
    <w:p>
      <w:r>
        <w:pict>
          <v:rect style="width:0;height:1.5pt" o:hralign="center" o:hrstd="t" o:hr="t"/>
        </w:pict>
      </w:r>
    </w:p>
    <w:bookmarkEnd w:id="24"/>
    <w:bookmarkEnd w:id="25"/>
    <w:bookmarkStart w:id="26" w:name="vérification-règlement-ia"/>
    <w:p>
      <w:pPr>
        <w:pStyle w:val="Heading2"/>
      </w:pPr>
      <w:r>
        <w:t xml:space="preserve">VÉRIFICATION RÈGLEMENT IA</w:t>
      </w:r>
    </w:p>
    <w:p>
      <w:pPr>
        <w:numPr>
          <w:ilvl w:val="0"/>
          <w:numId w:val="1001"/>
        </w:numPr>
        <w:pStyle w:val="Compact"/>
      </w:pPr>
      <w:r>
        <w:rPr>
          <w:bCs/>
          <w:b/>
        </w:rPr>
        <w:t xml:space="preserve">Systèmes d’IA identifiés.</w:t>
      </w:r>
      <w:r>
        <w:t xml:space="preserve"> </w:t>
      </w:r>
      <w:r>
        <w:t xml:space="preserve">Le DPA ne les qualifie pas comme tels, mais les indices sont explicites : agent vocal (Vapi) qui converse avec les appelants, génération de réponses par un grand modèle de langage (GPT-4.1, OpenAI), voix de synthèse (ElevenLabs), reconnaissance vocale. Recommandation : interroger le fournisseur et documenter ces systèmes dans une annexe dédiée.</w:t>
      </w:r>
    </w:p>
    <w:p>
      <w:pPr>
        <w:numPr>
          <w:ilvl w:val="0"/>
          <w:numId w:val="1001"/>
        </w:numPr>
        <w:pStyle w:val="Compact"/>
      </w:pPr>
      <w:r>
        <w:rPr>
          <w:bCs/>
          <w:b/>
        </w:rPr>
        <w:t xml:space="preserve">Classification (Règlement (UE) 2024/1689).</w:t>
      </w:r>
      <w:r>
        <w:t xml:space="preserve"> </w:t>
      </w:r>
      <w:r>
        <w:t xml:space="preserve">Elle n’est pas documentée. La prise de rendez-vous et la réponse aux appels ne figurent pas, a priori, parmi les cas d’usage à haut risque de l’annexe III. L’assistant relève plutôt des obligations de transparence pour les systèmes qui interagissent avec des personnes physiques. À confirmer par le praticien, notamment si le service est un jour utilisé pour trier des patients (secteur santé).</w:t>
      </w:r>
    </w:p>
    <w:p>
      <w:pPr>
        <w:numPr>
          <w:ilvl w:val="0"/>
          <w:numId w:val="1001"/>
        </w:numPr>
        <w:pStyle w:val="Compact"/>
      </w:pPr>
      <w:r>
        <w:rPr>
          <w:bCs/>
          <w:b/>
        </w:rPr>
        <w:t xml:space="preserve">Obligations applicables.</w:t>
      </w:r>
    </w:p>
    <w:p>
      <w:pPr>
        <w:numPr>
          <w:ilvl w:val="1"/>
          <w:numId w:val="1002"/>
        </w:numPr>
        <w:pStyle w:val="Compact"/>
      </w:pPr>
      <w:r>
        <w:rPr>
          <w:bCs/>
          <w:b/>
        </w:rPr>
        <w:t xml:space="preserve">Art. 50§1 (transparence, à la charge du fournisseur du système)</w:t>
      </w:r>
      <w:r>
        <w:t xml:space="preserve"> </w:t>
      </w:r>
      <w:r>
        <w:t xml:space="preserve">: les personnes doivent être informées qu’elles interagissent avec un système d’IA. AutomateLux conçoit et livre l’assistant sous son nom : elle est probablement qualifiable de « fournisseur » du système (art. 3§3), et le client de « déployeur » (art. 3§4). Le DPA met pourtant cette information à la charge du Client (art. 4.2). Il faudrait qu’AutomateLux s’engage à configurer l’annonce et que le Client la valide. Qualification à confirmer par un juriste.</w:t>
      </w:r>
    </w:p>
    <w:p>
      <w:pPr>
        <w:numPr>
          <w:ilvl w:val="1"/>
          <w:numId w:val="1002"/>
        </w:numPr>
        <w:pStyle w:val="Compact"/>
      </w:pPr>
      <w:r>
        <w:rPr>
          <w:bCs/>
          <w:b/>
        </w:rPr>
        <w:t xml:space="preserve">Art. 50§2 (marquage des contenus audio de synthèse)</w:t>
      </w:r>
      <w:r>
        <w:t xml:space="preserve"> </w:t>
      </w:r>
      <w:r>
        <w:t xml:space="preserve">: à examiner pour la voix ElevenLabs, à la fois au niveau du fournisseur du modèle de voix et de celui du système. L’application pratique à une conversation téléphonique en temps réel est incertaine : à vérifier, notamment au regard des lignes directrices et du code de bonnes pratiques de la Commission sur l’art. 50.</w:t>
      </w:r>
    </w:p>
    <w:p>
      <w:pPr>
        <w:numPr>
          <w:ilvl w:val="1"/>
          <w:numId w:val="1002"/>
        </w:numPr>
        <w:pStyle w:val="Compact"/>
      </w:pPr>
      <w:r>
        <w:rPr>
          <w:bCs/>
          <w:b/>
        </w:rPr>
        <w:t xml:space="preserve">Art. 53 (fournisseurs de modèles à usage général)</w:t>
      </w:r>
      <w:r>
        <w:t xml:space="preserve"> </w:t>
      </w:r>
      <w:r>
        <w:t xml:space="preserve">: il concerne OpenAI, pas AutomateLux. AutomateLux peut demander la documentation fournie en aval.</w:t>
      </w:r>
    </w:p>
    <w:p>
      <w:pPr>
        <w:numPr>
          <w:ilvl w:val="1"/>
          <w:numId w:val="1002"/>
        </w:numPr>
        <w:pStyle w:val="Compact"/>
      </w:pPr>
      <w:r>
        <w:rPr>
          <w:bCs/>
          <w:b/>
        </w:rPr>
        <w:t xml:space="preserve">Art. 26 (déployeurs de systèmes à haut risque)</w:t>
      </w:r>
      <w:r>
        <w:t xml:space="preserve"> </w:t>
      </w:r>
      <w:r>
        <w:t xml:space="preserve">: non applicable si la classification « non haut risque » se confirme.</w:t>
      </w:r>
    </w:p>
    <w:p>
      <w:pPr>
        <w:numPr>
          <w:ilvl w:val="1"/>
          <w:numId w:val="1002"/>
        </w:numPr>
        <w:pStyle w:val="Compact"/>
      </w:pPr>
      <w:r>
        <w:rPr>
          <w:bCs/>
          <w:b/>
        </w:rPr>
        <w:t xml:space="preserve">Calendrier</w:t>
      </w:r>
      <w:r>
        <w:t xml:space="preserve"> </w:t>
      </w:r>
      <w:r>
        <w:t xml:space="preserve">: selon le skill, l’art. 50 et les obligations générales s’appliquent depuis le 2 août 2026. Un projet de « Digital Omnibus » de la Commission proposait de modifier certaines échéances : son adoption et son contenu final sont à vérifier en ligne.</w:t>
      </w:r>
    </w:p>
    <w:p>
      <w:pPr>
        <w:numPr>
          <w:ilvl w:val="0"/>
          <w:numId w:val="1001"/>
        </w:numPr>
        <w:pStyle w:val="Compact"/>
      </w:pPr>
      <w:r>
        <w:rPr>
          <w:bCs/>
          <w:b/>
        </w:rPr>
        <w:t xml:space="preserve">Interdiction d’entraînement sur les données du responsable du traitement.</w:t>
      </w:r>
      <w:r>
        <w:t xml:space="preserve"> </w:t>
      </w:r>
      <w:r>
        <w:t xml:space="preserve">Elle est</w:t>
      </w:r>
      <w:r>
        <w:t xml:space="preserve"> </w:t>
      </w:r>
      <w:r>
        <w:rPr>
          <w:bCs/>
          <w:b/>
        </w:rPr>
        <w:t xml:space="preserve">absente</w:t>
      </w:r>
      <w:r>
        <w:t xml:space="preserve">. Les conditions par défaut d’OpenAI, d’ElevenLabs, de Vapi et du service de transcription en matière de conservation et d’entraînement n’ont pas été vérifiées dans le cadre de cette analyse et doivent être confirmées par écrit (voir clause 2, priorité Haute).</w:t>
      </w:r>
    </w:p>
    <w:p>
      <w:pPr>
        <w:numPr>
          <w:ilvl w:val="0"/>
          <w:numId w:val="1001"/>
        </w:numPr>
        <w:pStyle w:val="Compact"/>
      </w:pPr>
      <w:r>
        <w:rPr>
          <w:bCs/>
          <w:b/>
        </w:rPr>
        <w:t xml:space="preserve">Interaction avec l’art. 22 RGPD.</w:t>
      </w:r>
      <w:r>
        <w:t xml:space="preserve"> </w:t>
      </w:r>
      <w:r>
        <w:t xml:space="preserve">L’assistant ne semble prendre aucune décision fondée exclusivement sur un traitement automatisé et produisant des effets juridiques ou significatifs : il prend ou propose des rendez-vous. Le risque est faible, à condition que tout refus ou cas particulier soit renvoyé vers le Client (voir point (d) de la remédiation de la clause 18). Les erreurs de transcription ou les « hallucinations » du modèle (un mauvais créneau, une information erronée donnée à l’appelant) relèvent de l’exactitude (art. 5§1(d) RGPD) et de la responsabilité contractuelle plus que de l’art. 22.</w:t>
      </w:r>
    </w:p>
    <w:p>
      <w:r>
        <w:pict>
          <v:rect style="width:0;height:1.5pt" o:hralign="center" o:hrstd="t" o:hr="t"/>
        </w:pict>
      </w:r>
    </w:p>
    <w:bookmarkEnd w:id="26"/>
    <w:bookmarkStart w:id="27" w:name="recommandation-globale"/>
    <w:p>
      <w:pPr>
        <w:pStyle w:val="Heading2"/>
      </w:pPr>
      <w:r>
        <w:t xml:space="preserve">RECOMMANDATION GLOBALE</w:t>
      </w:r>
    </w:p>
    <w:p>
      <w:pPr>
        <w:numPr>
          <w:ilvl w:val="0"/>
          <w:numId w:val="1003"/>
        </w:numPr>
        <w:pStyle w:val="Compact"/>
      </w:pPr>
      <w:r>
        <w:rPr>
          <w:bCs/>
          <w:b/>
        </w:rPr>
        <w:t xml:space="preserve">Verdict : Modifications nécessaires.</w:t>
      </w:r>
      <w:r>
        <w:t xml:space="preserve"> </w:t>
      </w:r>
      <w:r>
        <w:t xml:space="preserve">La structure de l’article 28 est en place, mais le client ne doit pas signer tant que l’Annexe 1, les transferts et l’interdiction d’utilisation à d’autres fins (dont l’entraînement IA) ne sont pas réglés.</w:t>
      </w:r>
    </w:p>
    <w:p>
      <w:pPr>
        <w:numPr>
          <w:ilvl w:val="0"/>
          <w:numId w:val="1003"/>
        </w:numPr>
        <w:pStyle w:val="Compact"/>
      </w:pPr>
      <w:r>
        <w:rPr>
          <w:bCs/>
          <w:b/>
        </w:rPr>
        <w:t xml:space="preserve">Prochaine action :</w:t>
      </w:r>
      <w:r>
        <w:t xml:space="preserve"> </w:t>
      </w:r>
      <w:r>
        <w:t xml:space="preserve">(1) compléter et vérifier l’Annexe 1 (identité, lieu, lien contractuel, mécanisme de transfert, DPA signé de chaque prestataire) ; (2) insérer les clauses 2, 13 et 16 (priorité Haute) ; (3) préparer une variante « secteur santé » (clause 3, AIPD probablement nécessaire : technologie innovante combinée à des données de santé, à vérifier au regard de la liste publiée par la CNPD au titre de l’art. 35§4 RGPD) ; (4) faire relire le tout par un juriste luxembourgeois, comme le prévoit déjà l’avertissement du projet.</w:t>
      </w:r>
    </w:p>
    <w:p>
      <w:pPr>
        <w:numPr>
          <w:ilvl w:val="0"/>
          <w:numId w:val="1003"/>
        </w:numPr>
        <w:pStyle w:val="Compact"/>
      </w:pPr>
      <w:r>
        <w:rPr>
          <w:bCs/>
          <w:b/>
        </w:rPr>
        <w:t xml:space="preserve">Points de vigilance :</w:t>
      </w:r>
      <w:r>
        <w:t xml:space="preserve"> </w:t>
      </w:r>
      <w:r>
        <w:t xml:space="preserve">capacité réelle d’un gérant unique à temps partiel à tenir les engagements de 48 h, de 3 jours ouvrés et de 30 jours (week-ends, congés) ; dépendance à la personne du gérant pour l’accès aux données ; cohérence entre l’Annexe 2 et les mesures réellement en place ; contrôle annuel des certifications DPF ; activation par défaut ou non de l’enregistrement audio. Les règles luxembourgeoises sur l’enregistrement des communications (loi modifiée du 30 mai 2005 relative à la vie privée dans les communications électroniques : article précis à vérifier) sont à faire valider par le juriste avant d’activer l’enregistrement.</w:t>
      </w:r>
    </w:p>
    <w:p>
      <w:r>
        <w:pict>
          <v:rect style="width:0;height:1.5pt" o:hralign="center" o:hrstd="t" o:hr="t"/>
        </w:pict>
      </w:r>
    </w:p>
    <w:bookmarkEnd w:id="27"/>
    <w:bookmarkStart w:id="28" w:name="questions-à-poser-au-fournisseur"/>
    <w:p>
      <w:pPr>
        <w:pStyle w:val="Heading2"/>
      </w:pPr>
      <w:r>
        <w:t xml:space="preserve">QUESTIONS À POSER AU FOURNISSEUR</w:t>
      </w:r>
    </w:p>
    <w:p>
      <w:pPr>
        <w:numPr>
          <w:ilvl w:val="0"/>
          <w:numId w:val="1004"/>
        </w:numPr>
        <w:pStyle w:val="Compact"/>
      </w:pPr>
      <w:r>
        <w:rPr>
          <w:bCs/>
          <w:b/>
        </w:rPr>
        <w:t xml:space="preserve">Chaîne de sous-traitance.</w:t>
      </w:r>
      <w:r>
        <w:t xml:space="preserve"> </w:t>
      </w:r>
      <w:r>
        <w:t xml:space="preserve">Pouvez-vous nous transmettre l’Annexe 1 complétée en indiquant, pour chaque prestataire (y compris le service de transcription et l’opérateur téléphonique), sa raison sociale, son adresse, le lieu de traitement et d’hébergement, et s’il est sous contrat direct avec AutomateLux ou sous-traitant de Vapi (cas d’OpenAI notamment), ainsi que la référence de son DPA signé ?</w:t>
      </w:r>
    </w:p>
    <w:p>
      <w:pPr>
        <w:numPr>
          <w:ilvl w:val="0"/>
          <w:numId w:val="1004"/>
        </w:numPr>
        <w:pStyle w:val="Compact"/>
      </w:pPr>
      <w:r>
        <w:rPr>
          <w:bCs/>
          <w:b/>
        </w:rPr>
        <w:t xml:space="preserve">Transferts.</w:t>
      </w:r>
      <w:r>
        <w:t xml:space="preserve"> </w:t>
      </w:r>
      <w:r>
        <w:t xml:space="preserve">Pour chaque prestataire situé hors de l’EEE, sur quel mécanisme repose le transfert : certification active au EU-U.S. Data Privacy Framework (merci d’en fournir le lien) ou clauses contractuelles types 2021 (quel module) ? Avez-vous réalisé une évaluation d’impact du transfert, et une option d’hébergement dans l’UE est-elle activée ou activable pour OpenAI, ElevenLabs et Airtable ?</w:t>
      </w:r>
    </w:p>
    <w:p>
      <w:pPr>
        <w:numPr>
          <w:ilvl w:val="0"/>
          <w:numId w:val="1004"/>
        </w:numPr>
        <w:pStyle w:val="Compact"/>
      </w:pPr>
      <w:r>
        <w:rPr>
          <w:bCs/>
          <w:b/>
        </w:rPr>
        <w:t xml:space="preserve">Utilisation des données par les fournisseurs d’IA.</w:t>
      </w:r>
      <w:r>
        <w:t xml:space="preserve"> </w:t>
      </w:r>
      <w:r>
        <w:t xml:space="preserve">Pouvez-vous confirmer par écrit que ni AutomateLux ni Vapi, OpenAI, ElevenLabs ou le service de transcription n’utilisent les enregistrements, transcriptions ou données de nos appelants pour entraîner ou améliorer leurs modèles, et nous indiquer la durée de conservation appliquée par chacun (options « zéro conservation » éventuelles) ?</w:t>
      </w:r>
    </w:p>
    <w:p>
      <w:pPr>
        <w:numPr>
          <w:ilvl w:val="0"/>
          <w:numId w:val="1004"/>
        </w:numPr>
        <w:pStyle w:val="Compact"/>
      </w:pPr>
      <w:r>
        <w:rPr>
          <w:bCs/>
          <w:b/>
        </w:rPr>
        <w:t xml:space="preserve">Conservation et enregistrement.</w:t>
      </w:r>
      <w:r>
        <w:t xml:space="preserve"> </w:t>
      </w:r>
      <w:r>
        <w:t xml:space="preserve">L’enregistrement audio des appels est-il activé par défaut ? Qui détient la base Airtable où sont stockés nos rendez-vous, et quelles durées de conservation s’appliquent aux historiques d’exécution Make.com et aux journaux d’appels Vapi ?</w:t>
      </w:r>
    </w:p>
    <w:p>
      <w:pPr>
        <w:numPr>
          <w:ilvl w:val="0"/>
          <w:numId w:val="1004"/>
        </w:numPr>
        <w:pStyle w:val="Compact"/>
      </w:pPr>
      <w:r>
        <w:rPr>
          <w:bCs/>
          <w:b/>
        </w:rPr>
        <w:t xml:space="preserve">Continuité et assurance.</w:t>
      </w:r>
      <w:r>
        <w:t xml:space="preserve"> </w:t>
      </w:r>
      <w:r>
        <w:t xml:space="preserve">Disposez-vous d’une assurance responsabilité civile professionnelle et cyber (montants, attestation) ? Quelle procédure garantit notre accès à nos données si le gérant est indisponible ou si la société cesse son activité ?</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L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fr-LU</dc:language>
  <cp:keywords/>
  <dcterms:created xsi:type="dcterms:W3CDTF">2026-10-28T23:18:50Z</dcterms:created>
  <dcterms:modified xsi:type="dcterms:W3CDTF">2026-10-28T23:18:50Z</dcterms:modified>
</cp:coreProperties>
</file>

<file path=docProps/custom.xml><?xml version="1.0" encoding="utf-8"?>
<Properties xmlns="http://schemas.openxmlformats.org/officeDocument/2006/custom-properties" xmlns:vt="http://schemas.openxmlformats.org/officeDocument/2006/docPropsVTypes"/>
</file>