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bc4fc4706ba08ceb187e791524602ff25985335"/>
    <w:p>
      <w:pPr>
        <w:pStyle w:val="Heading1"/>
      </w:pPr>
      <w:r>
        <w:t xml:space="preserve">Conditions générales de vente — AutomateLux S.à r.l.-S</w:t>
      </w:r>
    </w:p>
    <w:p>
      <w:pPr>
        <w:pStyle w:val="BlockText"/>
      </w:pPr>
      <w:r>
        <w:rPr>
          <w:bCs/>
          <w:b/>
        </w:rPr>
        <w:t xml:space="preserve">PROJET — version 0.1 du 28/10/2026 — NON VALIDÉ JURIDIQUEMENT.</w:t>
      </w:r>
      <w:r>
        <w:t xml:space="preserve"> </w:t>
      </w:r>
      <w:r>
        <w:t xml:space="preserve">À faire relire par un avocat luxembourgeois avant toute utilisation.</w:t>
      </w:r>
      <w:r>
        <w:t xml:space="preserve"> </w:t>
      </w:r>
      <w:r>
        <w:t xml:space="preserve">Ces CGV visent</w:t>
      </w:r>
      <w:r>
        <w:t xml:space="preserve"> </w:t>
      </w:r>
      <w:r>
        <w:rPr>
          <w:bCs/>
          <w:b/>
        </w:rPr>
        <w:t xml:space="preserve">uniquement des clients professionnels</w:t>
      </w:r>
      <w:r>
        <w:t xml:space="preserve"> </w:t>
      </w:r>
      <w:r>
        <w:t xml:space="preserve">(entreprises). Elles ne conviennent pas</w:t>
      </w:r>
      <w:r>
        <w:t xml:space="preserve"> </w:t>
      </w:r>
      <w:r>
        <w:t xml:space="preserve">à des consommateurs, qui bénéficient de règles protectrices différentes.</w:t>
      </w:r>
      <w:r>
        <w:t xml:space="preserve"> </w:t>
      </w:r>
      <w:r>
        <w:t xml:space="preserve">Champ couvert :</w:t>
      </w:r>
      <w:r>
        <w:t xml:space="preserve"> </w:t>
      </w:r>
      <w:r>
        <w:rPr>
          <w:bCs/>
          <w:b/>
        </w:rPr>
        <w:t xml:space="preserve">l’activité d’agence d’automatisation IA</w:t>
      </w:r>
      <w:r>
        <w:t xml:space="preserve">. L’activité d’automates en</w:t>
      </w:r>
      <w:r>
        <w:t xml:space="preserve"> </w:t>
      </w:r>
      <w:r>
        <w:t xml:space="preserve">libre-service demandera des conditions séparées.</w:t>
      </w:r>
    </w:p>
    <w:p>
      <w:r>
        <w:pict>
          <v:rect style="width:0;height:1.5pt" o:hralign="center" o:hrstd="t" o:hr="t"/>
        </w:pict>
      </w:r>
    </w:p>
    <w:bookmarkStart w:id="20" w:name="article-1-identification-du-prestataire"/>
    <w:p>
      <w:pPr>
        <w:pStyle w:val="Heading2"/>
      </w:pPr>
      <w:r>
        <w:t xml:space="preserve">Article 1 — Identification du prestataire</w:t>
      </w:r>
    </w:p>
    <w:p>
      <w:pPr>
        <w:pStyle w:val="FirstParagraph"/>
      </w:pPr>
      <w:r>
        <w:t xml:space="preserve">AutomateLux S.à r.l.-S, au capital de 500 €, siège : 150, route de Fischbach, L-7447 Lintgen,</w:t>
      </w:r>
      <w:r>
        <w:t xml:space="preserve"> </w:t>
      </w:r>
      <w:r>
        <w:t xml:space="preserve">Luxembourg. RCS Luxembourg n° [à compléter]. Autorisation d’établissement n° 10194043/0.</w:t>
      </w:r>
      <w:r>
        <w:t xml:space="preserve"> </w:t>
      </w:r>
      <w:r>
        <w:t xml:space="preserve">Gérant : Nilton Soares. Contact : leon@automatelux.com.</w:t>
      </w:r>
    </w:p>
    <w:bookmarkEnd w:id="20"/>
    <w:bookmarkStart w:id="21" w:name="article-2-champ-dapplication"/>
    <w:p>
      <w:pPr>
        <w:pStyle w:val="Heading2"/>
      </w:pPr>
      <w:r>
        <w:t xml:space="preserve">Article 2 — Champ d’application</w:t>
      </w:r>
    </w:p>
    <w:p>
      <w:pPr>
        <w:pStyle w:val="FirstParagraph"/>
      </w:pPr>
      <w:r>
        <w:t xml:space="preserve">Les présentes CGV s’appliquent à toute prestation fournie par AutomateLux à un client</w:t>
      </w:r>
      <w:r>
        <w:t xml:space="preserve"> </w:t>
      </w:r>
      <w:r>
        <w:t xml:space="preserve">professionnel (le « Client »). Elles forment, avec la proposition commerciale signée et, le cas</w:t>
      </w:r>
      <w:r>
        <w:t xml:space="preserve"> </w:t>
      </w:r>
      <w:r>
        <w:t xml:space="preserve">échéant, le contrat de sous-traitance RGPD, l’ensemble du contrat (le « Contrat »). En cas de</w:t>
      </w:r>
      <w:r>
        <w:t xml:space="preserve"> </w:t>
      </w:r>
      <w:r>
        <w:t xml:space="preserve">contradiction, l’ordre de priorité est : 1) contrat de sous-traitance RGPD pour la protection des</w:t>
      </w:r>
      <w:r>
        <w:t xml:space="preserve"> </w:t>
      </w:r>
      <w:r>
        <w:t xml:space="preserve">données, 2) proposition commerciale signée, 3) présentes CGV. Les conditions générales d’achat</w:t>
      </w:r>
      <w:r>
        <w:t xml:space="preserve"> </w:t>
      </w:r>
      <w:r>
        <w:t xml:space="preserve">du Client ne s’appliquent pas, sauf accord écrit d’AutomateLux.</w:t>
      </w:r>
    </w:p>
    <w:bookmarkEnd w:id="21"/>
    <w:bookmarkStart w:id="22" w:name="article-3-prestations"/>
    <w:p>
      <w:pPr>
        <w:pStyle w:val="Heading2"/>
      </w:pPr>
      <w:r>
        <w:t xml:space="preserve">Article 3 — Prestations</w:t>
      </w:r>
    </w:p>
    <w:p>
      <w:pPr>
        <w:pStyle w:val="FirstParagraph"/>
      </w:pPr>
      <w:r>
        <w:t xml:space="preserve">AutomateLux propose trois offres, décrites dans la proposition commerciale 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Offre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Mise en 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Abonnement mensuel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Minutes d’appel incluses / mois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1 500 €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2 500 €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4 000 €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1 500 €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2 000</w:t>
            </w:r>
          </w:p>
        </w:tc>
      </w:tr>
    </w:tbl>
    <w:p>
      <w:pPr>
        <w:pStyle w:val="BodyText"/>
      </w:pPr>
      <w:r>
        <w:t xml:space="preserve">Les minutes au-delà du volume inclus font l’objet d’un devis préalable. Aucune minute</w:t>
      </w:r>
      <w:r>
        <w:t xml:space="preserve"> </w:t>
      </w:r>
      <w:r>
        <w:t xml:space="preserve">supplémentaire n’est facturée sans l’accord écrit du Client.</w:t>
      </w:r>
      <w:r>
        <w:t xml:space="preserve"> </w:t>
      </w:r>
      <w:r>
        <w:rPr>
          <w:bCs/>
          <w:b/>
        </w:rPr>
        <w:t xml:space="preserve">[À définir : que se passe-t-il</w:t>
      </w:r>
      <w:r>
        <w:rPr>
          <w:bCs/>
          <w:b/>
        </w:rPr>
        <w:t xml:space="preserve"> </w:t>
      </w:r>
      <w:r>
        <w:rPr>
          <w:bCs/>
          <w:b/>
        </w:rPr>
        <w:t xml:space="preserve">si le volume est dépassé avant l’accord — l’Assistant continue-t-il de répondre ?]</w:t>
      </w:r>
    </w:p>
    <w:bookmarkEnd w:id="22"/>
    <w:bookmarkStart w:id="23" w:name="Xa9860ad586671e55ad2edd5d1b3ec11121b92b6"/>
    <w:p>
      <w:pPr>
        <w:pStyle w:val="Heading2"/>
      </w:pPr>
      <w:r>
        <w:t xml:space="preserve">Article 4 — Commande et validité des offres</w:t>
      </w:r>
    </w:p>
    <w:p>
      <w:pPr>
        <w:numPr>
          <w:ilvl w:val="0"/>
          <w:numId w:val="1001"/>
        </w:numPr>
        <w:pStyle w:val="Compact"/>
      </w:pPr>
      <w:r>
        <w:t xml:space="preserve">Toute proposition commerciale est valable</w:t>
      </w:r>
      <w:r>
        <w:t xml:space="preserve"> </w:t>
      </w:r>
      <w:r>
        <w:rPr>
          <w:bCs/>
          <w:b/>
        </w:rPr>
        <w:t xml:space="preserve">30 jours</w:t>
      </w:r>
      <w:r>
        <w:t xml:space="preserve"> </w:t>
      </w:r>
      <w:r>
        <w:t xml:space="preserve">à compter de sa date d’envoi.</w:t>
      </w:r>
    </w:p>
    <w:p>
      <w:pPr>
        <w:numPr>
          <w:ilvl w:val="0"/>
          <w:numId w:val="1001"/>
        </w:numPr>
        <w:pStyle w:val="Compact"/>
      </w:pPr>
      <w:r>
        <w:t xml:space="preserve">La commande est ferme à la réception par AutomateLux de la proposition signée avec la</w:t>
      </w:r>
      <w:r>
        <w:t xml:space="preserve"> </w:t>
      </w:r>
      <w:r>
        <w:t xml:space="preserve">mention « Bon pour accord »</w:t>
      </w:r>
      <w:r>
        <w:t xml:space="preserve"> </w:t>
      </w:r>
      <w:r>
        <w:rPr>
          <w:bCs/>
          <w:b/>
        </w:rPr>
        <w:t xml:space="preserve">et</w:t>
      </w:r>
      <w:r>
        <w:t xml:space="preserve"> </w:t>
      </w:r>
      <w:r>
        <w:t xml:space="preserve">du paiement de l’acompte.</w:t>
      </w:r>
    </w:p>
    <w:bookmarkEnd w:id="23"/>
    <w:bookmarkStart w:id="24" w:name="article-5-prix-et-paiement"/>
    <w:p>
      <w:pPr>
        <w:pStyle w:val="Heading2"/>
      </w:pPr>
      <w:r>
        <w:t xml:space="preserve">Article 5 — Prix et paiement</w:t>
      </w:r>
    </w:p>
    <w:p>
      <w:pPr>
        <w:numPr>
          <w:ilvl w:val="0"/>
          <w:numId w:val="1002"/>
        </w:numPr>
        <w:pStyle w:val="Compact"/>
      </w:pPr>
      <w:r>
        <w:t xml:space="preserve">Les prix sont en euros.</w:t>
      </w:r>
      <w:r>
        <w:t xml:space="preserve"> </w:t>
      </w:r>
      <w:r>
        <w:rPr>
          <w:bCs/>
          <w:b/>
        </w:rPr>
        <w:t xml:space="preserve">TVA non applicable — article 57 de la loi TVA luxembourgeoise</w:t>
      </w:r>
      <w:r>
        <w:t xml:space="preserve">,</w:t>
      </w:r>
      <w:r>
        <w:t xml:space="preserve"> </w:t>
      </w:r>
      <w:r>
        <w:t xml:space="preserve">tant qu’AutomateLux relève du régime de franchise.</w:t>
      </w:r>
      <w:r>
        <w:t xml:space="preserve"> </w:t>
      </w:r>
      <w:r>
        <w:rPr>
          <w:bCs/>
          <w:b/>
        </w:rPr>
        <w:t xml:space="preserve">[Si AutomateLux sort de la franchise,</w:t>
      </w:r>
      <w:r>
        <w:rPr>
          <w:bCs/>
          <w:b/>
        </w:rPr>
        <w:t xml:space="preserve"> </w:t>
      </w:r>
      <w:r>
        <w:rPr>
          <w:bCs/>
          <w:b/>
        </w:rPr>
        <w:t xml:space="preserve">cet article doit être modifié.]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Mise en place</w:t>
      </w:r>
      <w:r>
        <w:t xml:space="preserve"> </w:t>
      </w:r>
      <w:r>
        <w:t xml:space="preserve">: 50 % à la commande (acompte). Aucun travail ne commence avant réception</w:t>
      </w:r>
      <w:r>
        <w:t xml:space="preserve"> </w:t>
      </w:r>
      <w:r>
        <w:t xml:space="preserve">de l’acompte. Le solde de 50 % est facturé à la mise en service.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Abonnement</w:t>
      </w:r>
      <w:r>
        <w:t xml:space="preserve"> </w:t>
      </w:r>
      <w:r>
        <w:t xml:space="preserve">: il démarre à la mise en service et se paie d’avance, au début de chaque mois.</w:t>
      </w:r>
      <w:r>
        <w:t xml:space="preserve"> </w:t>
      </w:r>
      <w:r>
        <w:t xml:space="preserve">Le premier mois est calculé au prorata des jours restants.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Délai de paiement</w:t>
      </w:r>
      <w:r>
        <w:t xml:space="preserve"> </w:t>
      </w:r>
      <w:r>
        <w:t xml:space="preserve">des factures autres que l’acompte : [15] jours à compter de leur date.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Retard de paiement</w:t>
      </w:r>
      <w:r>
        <w:t xml:space="preserve"> </w:t>
      </w:r>
      <w:r>
        <w:t xml:space="preserve">: sans préjudice d’autres droits, toute somme impayée à l’échéance</w:t>
      </w:r>
      <w:r>
        <w:t xml:space="preserve"> </w:t>
      </w:r>
      <w:r>
        <w:t xml:space="preserve">porte intérêt de plein droit au taux prévu par la loi luxembourgeoise du 18 avril 2004</w:t>
      </w:r>
      <w:r>
        <w:t xml:space="preserve"> </w:t>
      </w:r>
      <w:r>
        <w:t xml:space="preserve">relative aux délais de paiement et aux intérêts de retard, et donne lieu à l’indemnité</w:t>
      </w:r>
      <w:r>
        <w:t xml:space="preserve"> </w:t>
      </w:r>
      <w:r>
        <w:t xml:space="preserve">forfaitaire pour frais de recouvrement prévue par cette loi (40 €).</w:t>
      </w:r>
      <w:r>
        <w:t xml:space="preserve"> </w:t>
      </w:r>
      <w:r>
        <w:rPr>
          <w:bCs/>
          <w:b/>
        </w:rPr>
        <w:t xml:space="preserve">[Taux et montant à</w:t>
      </w:r>
      <w:r>
        <w:rPr>
          <w:bCs/>
          <w:b/>
        </w:rPr>
        <w:t xml:space="preserve"> </w:t>
      </w:r>
      <w:r>
        <w:rPr>
          <w:bCs/>
          <w:b/>
        </w:rPr>
        <w:t xml:space="preserve">faire confirmer par le juriste.]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Suspension</w:t>
      </w:r>
      <w:r>
        <w:t xml:space="preserve"> </w:t>
      </w:r>
      <w:r>
        <w:t xml:space="preserve">: après une mise en demeure restée sans effet pendant [8] jours, AutomateLux</w:t>
      </w:r>
      <w:r>
        <w:t xml:space="preserve"> </w:t>
      </w:r>
      <w:r>
        <w:t xml:space="preserve">peut suspendre le service. Les appels reviennent alors sur la messagerie habituelle du Client.</w:t>
      </w:r>
    </w:p>
    <w:bookmarkEnd w:id="24"/>
    <w:bookmarkStart w:id="25" w:name="article-6-mise-en-place"/>
    <w:p>
      <w:pPr>
        <w:pStyle w:val="Heading2"/>
      </w:pPr>
      <w:r>
        <w:t xml:space="preserve">Article 6 — Mise en place</w:t>
      </w:r>
    </w:p>
    <w:p>
      <w:pPr>
        <w:numPr>
          <w:ilvl w:val="0"/>
          <w:numId w:val="1003"/>
        </w:numPr>
        <w:pStyle w:val="Compact"/>
      </w:pPr>
      <w:r>
        <w:t xml:space="preserve">La mise en service intervient dans un délai indicatif de</w:t>
      </w:r>
      <w:r>
        <w:t xml:space="preserve"> </w:t>
      </w:r>
      <w:r>
        <w:rPr>
          <w:bCs/>
          <w:b/>
        </w:rPr>
        <w:t xml:space="preserve">7 jours</w:t>
      </w:r>
      <w:r>
        <w:t xml:space="preserve"> </w:t>
      </w:r>
      <w:r>
        <w:t xml:space="preserve">à compter de la réception</w:t>
      </w:r>
      <w:r>
        <w:t xml:space="preserve"> </w:t>
      </w:r>
      <w:r>
        <w:t xml:space="preserve">de l’acompte</w:t>
      </w:r>
      <w:r>
        <w:t xml:space="preserve"> </w:t>
      </w:r>
      <w:r>
        <w:rPr>
          <w:bCs/>
          <w:b/>
        </w:rPr>
        <w:t xml:space="preserve">et</w:t>
      </w:r>
      <w:r>
        <w:t xml:space="preserve"> </w:t>
      </w:r>
      <w:r>
        <w:t xml:space="preserve">de tous les éléments listés à l’article 7.</w:t>
      </w:r>
    </w:p>
    <w:p>
      <w:pPr>
        <w:numPr>
          <w:ilvl w:val="0"/>
          <w:numId w:val="1003"/>
        </w:numPr>
        <w:pStyle w:val="Compact"/>
      </w:pPr>
      <w:r>
        <w:t xml:space="preserve">Ce délai est suspendu tant que le Client n’a pas fourni ces éléments ou n’est pas disponible</w:t>
      </w:r>
      <w:r>
        <w:t xml:space="preserve"> </w:t>
      </w:r>
      <w:r>
        <w:t xml:space="preserve">pour la réunion de lancement ou la formation.</w:t>
      </w:r>
    </w:p>
    <w:p>
      <w:pPr>
        <w:numPr>
          <w:ilvl w:val="0"/>
          <w:numId w:val="1003"/>
        </w:numPr>
        <w:pStyle w:val="Compact"/>
      </w:pPr>
      <w:r>
        <w:t xml:space="preserve">Étapes : réunion de lancement (J1), configuration (J2-J3), tests internes (J4), formation du</w:t>
      </w:r>
      <w:r>
        <w:t xml:space="preserve"> </w:t>
      </w:r>
      <w:r>
        <w:t xml:space="preserve">Client (J5), mise en service (J7), bilan (J30).</w:t>
      </w:r>
    </w:p>
    <w:bookmarkEnd w:id="25"/>
    <w:bookmarkStart w:id="26" w:name="article-7-obligations-du-client"/>
    <w:p>
      <w:pPr>
        <w:pStyle w:val="Heading2"/>
      </w:pPr>
      <w:r>
        <w:t xml:space="preserve">Article 7 — Obligations du Client</w:t>
      </w:r>
    </w:p>
    <w:p>
      <w:pPr>
        <w:pStyle w:val="FirstParagraph"/>
      </w:pPr>
      <w:r>
        <w:t xml:space="preserve">Le Client s’engage à :</w:t>
      </w:r>
      <w:r>
        <w:t xml:space="preserve"> </w:t>
      </w:r>
      <w:r>
        <w:t xml:space="preserve">1. fournir à temps les accès et informations nécessaires (numéro de téléphone, accès à l’agenda,</w:t>
      </w:r>
      <w:r>
        <w:t xml:space="preserve"> </w:t>
      </w:r>
      <w:r>
        <w:t xml:space="preserve">logo, langues souhaitées, horaires, informations sur ses services) ;</w:t>
      </w:r>
      <w:r>
        <w:t xml:space="preserve"> </w:t>
      </w:r>
      <w:r>
        <w:t xml:space="preserve">2. paramétrer chez son opérateur le</w:t>
      </w:r>
      <w:r>
        <w:t xml:space="preserve"> </w:t>
      </w:r>
      <w:r>
        <w:rPr>
          <w:bCs/>
          <w:b/>
        </w:rPr>
        <w:t xml:space="preserve">renvoi d’appel</w:t>
      </w:r>
      <w:r>
        <w:t xml:space="preserve"> </w:t>
      </w:r>
      <w:r>
        <w:t xml:space="preserve">nécessaire, avec l’aide d’AutomateLux ;</w:t>
      </w:r>
      <w:r>
        <w:t xml:space="preserve"> </w:t>
      </w:r>
      <w:r>
        <w:t xml:space="preserve">3. vérifier les informations données par l’Assistant et signaler toute erreur ;</w:t>
      </w:r>
      <w:r>
        <w:t xml:space="preserve"> </w:t>
      </w:r>
      <w:r>
        <w:t xml:space="preserve">4. respecter ses propres obligations RGPD envers les personnes qui l’appellent (voir le contrat</w:t>
      </w:r>
      <w:r>
        <w:t xml:space="preserve"> </w:t>
      </w:r>
      <w:r>
        <w:t xml:space="preserve">de sous-traitance) ;</w:t>
      </w:r>
      <w:r>
        <w:t xml:space="preserve"> </w:t>
      </w:r>
      <w:r>
        <w:t xml:space="preserve">5. ne pas utiliser le service à des fins illicites.</w:t>
      </w:r>
    </w:p>
    <w:bookmarkEnd w:id="26"/>
    <w:bookmarkStart w:id="27" w:name="article-8-langues"/>
    <w:p>
      <w:pPr>
        <w:pStyle w:val="Heading2"/>
      </w:pPr>
      <w:r>
        <w:t xml:space="preserve">Article 8 — Langues</w:t>
      </w:r>
    </w:p>
    <w:p>
      <w:pPr>
        <w:pStyle w:val="FirstParagraph"/>
      </w:pPr>
      <w:r>
        <w:t xml:space="preserve">L’Assistant est proposé dans les langues</w:t>
      </w:r>
      <w:r>
        <w:t xml:space="preserve"> </w:t>
      </w:r>
      <w:r>
        <w:rPr>
          <w:bCs/>
          <w:b/>
        </w:rPr>
        <w:t xml:space="preserve">testées et validées</w:t>
      </w:r>
      <w:r>
        <w:t xml:space="preserve"> </w:t>
      </w:r>
      <w:r>
        <w:t xml:space="preserve">par AutomateLux. À la date des</w:t>
      </w:r>
      <w:r>
        <w:t xml:space="preserve"> </w:t>
      </w:r>
      <w:r>
        <w:t xml:space="preserve">présentes : français et portugais. Toute autre langue n’est fournie qu’après des tests réussis</w:t>
      </w:r>
      <w:r>
        <w:t xml:space="preserve"> </w:t>
      </w:r>
      <w:r>
        <w:t xml:space="preserve">en conditions réelles, et ne constitue pas un engagement avant ces tests.</w:t>
      </w:r>
    </w:p>
    <w:bookmarkEnd w:id="27"/>
    <w:bookmarkStart w:id="28" w:name="article-9-support-et-disponibilité"/>
    <w:p>
      <w:pPr>
        <w:pStyle w:val="Heading2"/>
      </w:pPr>
      <w:r>
        <w:t xml:space="preserve">Article 9 — Support et disponibilité</w:t>
      </w:r>
    </w:p>
    <w:p>
      <w:pPr>
        <w:numPr>
          <w:ilvl w:val="0"/>
          <w:numId w:val="1004"/>
        </w:numPr>
        <w:pStyle w:val="Compact"/>
      </w:pPr>
      <w:r>
        <w:t xml:space="preserve">Support à distance par e-mail :</w:t>
      </w:r>
      <w:r>
        <w:t xml:space="preserve"> </w:t>
      </w:r>
      <w:r>
        <w:rPr>
          <w:bCs/>
          <w:b/>
        </w:rPr>
        <w:t xml:space="preserve">réponse sous 1 jour ouvré, du lundi au vendredi</w:t>
      </w:r>
      <w:r>
        <w:t xml:space="preserve">. Il s’agit</w:t>
      </w:r>
      <w:r>
        <w:t xml:space="preserve"> </w:t>
      </w:r>
      <w:r>
        <w:t xml:space="preserve">d’un délai de réponse, pas d’un délai de résolution.</w:t>
      </w:r>
    </w:p>
    <w:p>
      <w:pPr>
        <w:numPr>
          <w:ilvl w:val="0"/>
          <w:numId w:val="1004"/>
        </w:numPr>
        <w:pStyle w:val="Compact"/>
      </w:pPr>
      <w:r>
        <w:t xml:space="preserve">Le service dépend de prestataires techniques (plateforme vocale, téléphonie, hébergement).</w:t>
      </w:r>
      <w:r>
        <w:t xml:space="preserve"> </w:t>
      </w:r>
      <w:r>
        <w:t xml:space="preserve">AutomateLux ne garantit pas une disponibilité continue. En cas de panne de l’Assistant, les</w:t>
      </w:r>
      <w:r>
        <w:t xml:space="preserve"> </w:t>
      </w:r>
      <w:r>
        <w:t xml:space="preserve">appels reviennent automatiquement sur la messagerie habituelle du Client.</w:t>
      </w:r>
    </w:p>
    <w:p>
      <w:pPr>
        <w:numPr>
          <w:ilvl w:val="0"/>
          <w:numId w:val="1004"/>
        </w:numPr>
        <w:pStyle w:val="Compact"/>
      </w:pPr>
      <w:r>
        <w:t xml:space="preserve">AutomateLux ne garantit aucun résultat commercial (chiffre d’affaires, nombre de rendez-vous).</w:t>
      </w:r>
    </w:p>
    <w:bookmarkEnd w:id="28"/>
    <w:bookmarkStart w:id="29" w:name="article-10-durée-et-résiliation"/>
    <w:p>
      <w:pPr>
        <w:pStyle w:val="Heading2"/>
      </w:pPr>
      <w:r>
        <w:t xml:space="preserve">Article 10 — Durée et résiliation</w:t>
      </w:r>
    </w:p>
    <w:p>
      <w:pPr>
        <w:numPr>
          <w:ilvl w:val="0"/>
          <w:numId w:val="1005"/>
        </w:numPr>
        <w:pStyle w:val="Compact"/>
      </w:pPr>
      <w:r>
        <w:t xml:space="preserve">L’abonnement est souscrit pour une durée minimale de</w:t>
      </w:r>
      <w:r>
        <w:t xml:space="preserve"> </w:t>
      </w:r>
      <w:r>
        <w:rPr>
          <w:bCs/>
          <w:b/>
        </w:rPr>
        <w:t xml:space="preserve">3 mois</w:t>
      </w:r>
      <w:r>
        <w:t xml:space="preserve"> </w:t>
      </w:r>
      <w:r>
        <w:t xml:space="preserve">à compter de la mise en service.</w:t>
      </w:r>
    </w:p>
    <w:p>
      <w:pPr>
        <w:numPr>
          <w:ilvl w:val="0"/>
          <w:numId w:val="1005"/>
        </w:numPr>
        <w:pStyle w:val="Compact"/>
      </w:pPr>
      <w:r>
        <w:t xml:space="preserve">Au-delà, il se renouvelle chaque mois et peut être résilié par chaque partie par écrit</w:t>
      </w:r>
      <w:r>
        <w:t xml:space="preserve"> </w:t>
      </w:r>
      <w:r>
        <w:t xml:space="preserve">(e-mail suffisant) avec un</w:t>
      </w:r>
      <w:r>
        <w:t xml:space="preserve"> </w:t>
      </w:r>
      <w:r>
        <w:rPr>
          <w:bCs/>
          <w:b/>
        </w:rPr>
        <w:t xml:space="preserve">préavis de 30 jours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Les sommes versées pour la mise en place ne sont pas remboursables une fois les travaux</w:t>
      </w:r>
      <w:r>
        <w:t xml:space="preserve"> </w:t>
      </w:r>
      <w:r>
        <w:t xml:space="preserve">commencés.</w:t>
      </w:r>
      <w:r>
        <w:t xml:space="preserve"> </w:t>
      </w:r>
      <w:r>
        <w:rPr>
          <w:bCs/>
          <w:b/>
        </w:rPr>
        <w:t xml:space="preserve">[À faire valider : cas où AutomateLux ne parvient pas à livrer.]</w:t>
      </w:r>
    </w:p>
    <w:p>
      <w:pPr>
        <w:numPr>
          <w:ilvl w:val="0"/>
          <w:numId w:val="1005"/>
        </w:numPr>
        <w:pStyle w:val="Compact"/>
      </w:pPr>
      <w:r>
        <w:t xml:space="preserve">Chaque partie peut résilier le Contrat en cas de manquement grave de l’autre partie, non</w:t>
      </w:r>
      <w:r>
        <w:t xml:space="preserve"> </w:t>
      </w:r>
      <w:r>
        <w:t xml:space="preserve">corrigé [15] jours après une mise en demeure.</w:t>
      </w:r>
    </w:p>
    <w:p>
      <w:pPr>
        <w:numPr>
          <w:ilvl w:val="0"/>
          <w:numId w:val="1005"/>
        </w:numPr>
        <w:pStyle w:val="Compact"/>
      </w:pPr>
      <w:r>
        <w:t xml:space="preserve">À la fin du Contrat, les données sont restituées ou supprimées selon le contrat de</w:t>
      </w:r>
      <w:r>
        <w:t xml:space="preserve"> </w:t>
      </w:r>
      <w:r>
        <w:t xml:space="preserve">sous-traitance RGPD.</w:t>
      </w:r>
    </w:p>
    <w:bookmarkEnd w:id="29"/>
    <w:bookmarkStart w:id="30" w:name="article-11-responsabilité"/>
    <w:p>
      <w:pPr>
        <w:pStyle w:val="Heading2"/>
      </w:pPr>
      <w:r>
        <w:t xml:space="preserve">Article 11 — Responsabilité</w:t>
      </w:r>
    </w:p>
    <w:p>
      <w:pPr>
        <w:numPr>
          <w:ilvl w:val="0"/>
          <w:numId w:val="1006"/>
        </w:numPr>
        <w:pStyle w:val="Compact"/>
      </w:pPr>
      <w:r>
        <w:t xml:space="preserve">AutomateLux est tenue d’une obligation de moyens.</w:t>
      </w:r>
    </w:p>
    <w:p>
      <w:pPr>
        <w:numPr>
          <w:ilvl w:val="0"/>
          <w:numId w:val="1006"/>
        </w:numPr>
        <w:pStyle w:val="Compact"/>
      </w:pPr>
      <w:r>
        <w:t xml:space="preserve">AutomateLux n’est pas responsable des dommages indirects (perte de chiffre d’affaires, de</w:t>
      </w:r>
      <w:r>
        <w:t xml:space="preserve"> </w:t>
      </w:r>
      <w:r>
        <w:t xml:space="preserve">clientèle, d’image), ni des erreurs résultant d’informations inexactes fournies par le Client.</w:t>
      </w:r>
    </w:p>
    <w:p>
      <w:pPr>
        <w:numPr>
          <w:ilvl w:val="0"/>
          <w:numId w:val="1006"/>
        </w:numPr>
        <w:pStyle w:val="Compact"/>
      </w:pPr>
      <w:r>
        <w:t xml:space="preserve">La responsabilité totale d’AutomateLux est limitée aux sommes payées par le Client au titre</w:t>
      </w:r>
      <w:r>
        <w:t xml:space="preserve"> </w:t>
      </w:r>
      <w:r>
        <w:t xml:space="preserve">des</w:t>
      </w:r>
      <w:r>
        <w:t xml:space="preserve"> </w:t>
      </w:r>
      <w:r>
        <w:rPr>
          <w:bCs/>
          <w:b/>
        </w:rPr>
        <w:t xml:space="preserve">[12]</w:t>
      </w:r>
      <w:r>
        <w:t xml:space="preserve"> </w:t>
      </w:r>
      <w:r>
        <w:t xml:space="preserve">derniers mois.</w:t>
      </w:r>
      <w:r>
        <w:t xml:space="preserve"> </w:t>
      </w:r>
      <w:r>
        <w:rPr>
          <w:bCs/>
          <w:b/>
        </w:rPr>
        <w:t xml:space="preserve">[Plafond à valider par le juriste et l’assureur RC.]</w:t>
      </w:r>
    </w:p>
    <w:p>
      <w:pPr>
        <w:numPr>
          <w:ilvl w:val="0"/>
          <w:numId w:val="1006"/>
        </w:numPr>
        <w:pStyle w:val="Compact"/>
      </w:pPr>
      <w:r>
        <w:t xml:space="preserve">Ces limitations ne s’appliquent pas en cas de faute lourde ou intentionnelle.</w:t>
      </w:r>
    </w:p>
    <w:bookmarkEnd w:id="30"/>
    <w:bookmarkStart w:id="31" w:name="article-12-propriété-intellectuelle"/>
    <w:p>
      <w:pPr>
        <w:pStyle w:val="Heading2"/>
      </w:pPr>
      <w:r>
        <w:t xml:space="preserve">Article 12 — Propriété intellectuelle</w:t>
      </w:r>
    </w:p>
    <w:p>
      <w:pPr>
        <w:pStyle w:val="FirstParagraph"/>
      </w:pPr>
      <w:r>
        <w:t xml:space="preserve">AutomateLux reste propriétaire de ses méthodes, modèles et configurations génériques. Le Client</w:t>
      </w:r>
      <w:r>
        <w:t xml:space="preserve"> </w:t>
      </w:r>
      <w:r>
        <w:t xml:space="preserve">reste propriétaire de ses données, de ses contenus et de sa marque. Le Client reçoit un droit</w:t>
      </w:r>
      <w:r>
        <w:t xml:space="preserve"> </w:t>
      </w:r>
      <w:r>
        <w:t xml:space="preserve">d’utilisation des configurations réalisées pour lui, pendant la durée du Contrat.</w:t>
      </w:r>
    </w:p>
    <w:bookmarkEnd w:id="31"/>
    <w:bookmarkStart w:id="32" w:name="article-13-confidentialité"/>
    <w:p>
      <w:pPr>
        <w:pStyle w:val="Heading2"/>
      </w:pPr>
      <w:r>
        <w:t xml:space="preserve">Article 13 — Confidentialité</w:t>
      </w:r>
    </w:p>
    <w:p>
      <w:pPr>
        <w:pStyle w:val="FirstParagraph"/>
      </w:pPr>
      <w:r>
        <w:t xml:space="preserve">Chaque partie garde confidentielles les informations de l’autre partie dont elle a connaissance</w:t>
      </w:r>
      <w:r>
        <w:t xml:space="preserve"> </w:t>
      </w:r>
      <w:r>
        <w:t xml:space="preserve">pendant le Contrat, pendant sa durée et [2] ans après sa fin.</w:t>
      </w:r>
    </w:p>
    <w:bookmarkEnd w:id="32"/>
    <w:bookmarkStart w:id="33" w:name="article-14-données-personnelles"/>
    <w:p>
      <w:pPr>
        <w:pStyle w:val="Heading2"/>
      </w:pPr>
      <w:r>
        <w:t xml:space="preserve">Article 14 — Données personnelles</w:t>
      </w:r>
    </w:p>
    <w:p>
      <w:pPr>
        <w:pStyle w:val="FirstParagraph"/>
      </w:pPr>
      <w:r>
        <w:t xml:space="preserve">Lorsque AutomateLux traite des données personnelles pour le compte du Client, un</w:t>
      </w:r>
      <w:r>
        <w:t xml:space="preserve"> </w:t>
      </w:r>
      <w:r>
        <w:rPr>
          <w:bCs/>
          <w:b/>
        </w:rPr>
        <w:t xml:space="preserve">contrat de</w:t>
      </w:r>
      <w:r>
        <w:rPr>
          <w:bCs/>
          <w:b/>
        </w:rPr>
        <w:t xml:space="preserve"> </w:t>
      </w:r>
      <w:r>
        <w:rPr>
          <w:bCs/>
          <w:b/>
        </w:rPr>
        <w:t xml:space="preserve">sous-traitance conforme à l’article 28 du RGPD</w:t>
      </w:r>
      <w:r>
        <w:t xml:space="preserve"> </w:t>
      </w:r>
      <w:r>
        <w:t xml:space="preserve">est signé entre les parties. Il prévaut sur les</w:t>
      </w:r>
      <w:r>
        <w:t xml:space="preserve"> </w:t>
      </w:r>
      <w:r>
        <w:t xml:space="preserve">présentes CGV pour tout ce qui concerne la protection des données.</w:t>
      </w:r>
    </w:p>
    <w:bookmarkEnd w:id="33"/>
    <w:bookmarkStart w:id="34" w:name="article-15-référence-commerciale"/>
    <w:p>
      <w:pPr>
        <w:pStyle w:val="Heading2"/>
      </w:pPr>
      <w:r>
        <w:t xml:space="preserve">Article 15 — Référence commerciale</w:t>
      </w:r>
    </w:p>
    <w:p>
      <w:pPr>
        <w:pStyle w:val="FirstParagraph"/>
      </w:pPr>
      <w:r>
        <w:t xml:space="preserve">AutomateLux ne cite le nom du Client, son logo ou un témoignage qu’avec son</w:t>
      </w:r>
      <w:r>
        <w:t xml:space="preserve"> </w:t>
      </w:r>
      <w:r>
        <w:rPr>
          <w:bCs/>
          <w:b/>
        </w:rPr>
        <w:t xml:space="preserve">accord écrit préalable</w:t>
      </w:r>
      <w:r>
        <w:t xml:space="preserve">.</w:t>
      </w:r>
    </w:p>
    <w:bookmarkEnd w:id="34"/>
    <w:bookmarkStart w:id="35" w:name="article-16-force-majeure"/>
    <w:p>
      <w:pPr>
        <w:pStyle w:val="Heading2"/>
      </w:pPr>
      <w:r>
        <w:t xml:space="preserve">Article 16 — Force majeure</w:t>
      </w:r>
    </w:p>
    <w:p>
      <w:pPr>
        <w:pStyle w:val="FirstParagraph"/>
      </w:pPr>
      <w:r>
        <w:t xml:space="preserve">Aucune partie n’est responsable d’un manquement causé par un événement de force majeure au sens</w:t>
      </w:r>
      <w:r>
        <w:t xml:space="preserve"> </w:t>
      </w:r>
      <w:r>
        <w:t xml:space="preserve">du droit luxembourgeois, y compris une panne majeure d’un prestataire technique hors du contrôle</w:t>
      </w:r>
      <w:r>
        <w:t xml:space="preserve"> </w:t>
      </w:r>
      <w:r>
        <w:t xml:space="preserve">d’AutomateLux.</w:t>
      </w:r>
    </w:p>
    <w:bookmarkEnd w:id="35"/>
    <w:bookmarkStart w:id="36" w:name="article-17-droit-applicable-et-litiges"/>
    <w:p>
      <w:pPr>
        <w:pStyle w:val="Heading2"/>
      </w:pPr>
      <w:r>
        <w:t xml:space="preserve">Article 17 — Droit applicable et litiges</w:t>
      </w:r>
    </w:p>
    <w:p>
      <w:pPr>
        <w:pStyle w:val="FirstParagraph"/>
      </w:pPr>
      <w:r>
        <w:t xml:space="preserve">Le Contrat est soumis au droit luxembourgeois. Les parties cherchent d’abord une solution amiable.</w:t>
      </w:r>
      <w:r>
        <w:t xml:space="preserve"> </w:t>
      </w:r>
      <w:r>
        <w:t xml:space="preserve">À défaut, les tribunaux de Luxembourg-Ville sont seuls compétents.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-L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fr-LU</dc:language>
  <cp:keywords/>
  <dcterms:created xsi:type="dcterms:W3CDTF">2026-10-28T21:58:02Z</dcterms:created>
  <dcterms:modified xsi:type="dcterms:W3CDTF">2026-10-28T21:58:02Z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