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617b0106cef26df83821305fe08430d24115dd8"/>
    <w:p>
      <w:pPr>
        <w:pStyle w:val="Heading1"/>
      </w:pPr>
      <w:r>
        <w:t xml:space="preserve">Contrat de sous-traitance de données personnelles (article 28 RGPD)</w:t>
      </w:r>
    </w:p>
    <w:p>
      <w:pPr>
        <w:pStyle w:val="BlockText"/>
      </w:pPr>
      <w:r>
        <w:rPr>
          <w:bCs/>
          <w:b/>
        </w:rPr>
        <w:t xml:space="preserve">PROJET — version 0.1 du 28/10/2026 — NON VALIDÉ JURIDIQUEMENT.</w:t>
      </w:r>
      <w:r>
        <w:t xml:space="preserve"> </w:t>
      </w:r>
      <w:r>
        <w:t xml:space="preserve">À faire relire par un avocat ou un juriste RGPD luxembourgeois avant toute signature.</w:t>
      </w:r>
      <w:r>
        <w:t xml:space="preserve"> </w:t>
      </w:r>
      <w:r>
        <w:t xml:space="preserve">Les passages</w:t>
      </w:r>
      <w:r>
        <w:t xml:space="preserve"> </w:t>
      </w:r>
      <w:r>
        <w:rPr>
          <w:rStyle w:val="VerbatimChar"/>
        </w:rPr>
        <w:t xml:space="preserve">[à compléter]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[À VÉRIFIER]</w:t>
      </w:r>
      <w:r>
        <w:t xml:space="preserve"> </w:t>
      </w:r>
      <w:r>
        <w:t xml:space="preserve">doivent être résolus avant usage.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Entre</w:t>
      </w:r>
    </w:p>
    <w:p>
      <w:pPr>
        <w:pStyle w:val="BodyText"/>
      </w:pPr>
      <w:r>
        <w:rPr>
          <w:bCs/>
          <w:b/>
        </w:rPr>
        <w:t xml:space="preserve">[Raison sociale du client]</w:t>
      </w:r>
      <w:r>
        <w:t xml:space="preserve">, [forme juridique], dont le siège est situé [adresse],</w:t>
      </w:r>
      <w:r>
        <w:t xml:space="preserve"> </w:t>
      </w:r>
      <w:r>
        <w:t xml:space="preserve">immatriculée au RCS Luxembourg sous le n° [à compléter], représentée par [nom, fonction],</w:t>
      </w:r>
      <w:r>
        <w:t xml:space="preserve"> </w:t>
      </w:r>
      <w:r>
        <w:t xml:space="preserve">ci-après le</w:t>
      </w:r>
      <w:r>
        <w:t xml:space="preserve"> </w:t>
      </w:r>
      <w:r>
        <w:rPr>
          <w:bCs/>
          <w:b/>
        </w:rPr>
        <w:t xml:space="preserve">« Responsable du traitement »</w:t>
      </w:r>
      <w:r>
        <w:t xml:space="preserve"> </w:t>
      </w:r>
      <w:r>
        <w:t xml:space="preserve">ou le</w:t>
      </w:r>
      <w:r>
        <w:t xml:space="preserve"> </w:t>
      </w:r>
      <w:r>
        <w:rPr>
          <w:bCs/>
          <w:b/>
        </w:rPr>
        <w:t xml:space="preserve">« Client »</w:t>
      </w:r>
      <w:r>
        <w:t xml:space="preserve">,</w:t>
      </w:r>
    </w:p>
    <w:p>
      <w:pPr>
        <w:pStyle w:val="BodyText"/>
      </w:pPr>
      <w:r>
        <w:rPr>
          <w:bCs/>
          <w:b/>
        </w:rPr>
        <w:t xml:space="preserve">et</w:t>
      </w:r>
    </w:p>
    <w:p>
      <w:pPr>
        <w:pStyle w:val="BodyText"/>
      </w:pPr>
      <w:r>
        <w:rPr>
          <w:bCs/>
          <w:b/>
        </w:rPr>
        <w:t xml:space="preserve">AutomateLux S.à r.l.-S</w:t>
      </w:r>
      <w:r>
        <w:t xml:space="preserve">, au capital de 500 €, dont le siège est situé 150, route de Fischbach,</w:t>
      </w:r>
      <w:r>
        <w:t xml:space="preserve"> </w:t>
      </w:r>
      <w:r>
        <w:t xml:space="preserve">L-7447 Lintgen, immatriculée au RCS Luxembourg sous le n° [à compléter], titulaire de</w:t>
      </w:r>
      <w:r>
        <w:t xml:space="preserve"> </w:t>
      </w:r>
      <w:r>
        <w:t xml:space="preserve">l’autorisation d’établissement n° 10194043/0, représentée par M. Nilton Soares, gérant,</w:t>
      </w:r>
      <w:r>
        <w:t xml:space="preserve"> </w:t>
      </w:r>
      <w:r>
        <w:t xml:space="preserve">ci-après le</w:t>
      </w:r>
      <w:r>
        <w:t xml:space="preserve"> </w:t>
      </w:r>
      <w:r>
        <w:rPr>
          <w:bCs/>
          <w:b/>
        </w:rPr>
        <w:t xml:space="preserve">« Sous-traitant »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« AutomateLux »</w:t>
      </w:r>
      <w:r>
        <w:t xml:space="preserve">.</w:t>
      </w:r>
    </w:p>
    <w:p>
      <w:pPr>
        <w:pStyle w:val="BodyText"/>
      </w:pPr>
      <w:r>
        <w:t xml:space="preserve">Ce contrat complète le contrat de prestation (proposition commerciale signée et conditions</w:t>
      </w:r>
      <w:r>
        <w:t xml:space="preserve"> </w:t>
      </w:r>
      <w:r>
        <w:t xml:space="preserve">générales de vente d’AutomateLux, ci-après le « Contrat principal »). En cas de contradiction</w:t>
      </w:r>
      <w:r>
        <w:t xml:space="preserve"> </w:t>
      </w:r>
      <w:r>
        <w:t xml:space="preserve">sur la protection des données, le présent contrat prévaut.</w:t>
      </w:r>
    </w:p>
    <w:p>
      <w:r>
        <w:pict>
          <v:rect style="width:0;height:1.5pt" o:hralign="center" o:hrstd="t" o:hr="t"/>
        </w:pict>
      </w:r>
    </w:p>
    <w:bookmarkStart w:id="20" w:name="article-1-objet"/>
    <w:p>
      <w:pPr>
        <w:pStyle w:val="Heading2"/>
      </w:pPr>
      <w:r>
        <w:t xml:space="preserve">Article 1 — Objet</w:t>
      </w:r>
    </w:p>
    <w:p>
      <w:pPr>
        <w:pStyle w:val="FirstParagraph"/>
      </w:pPr>
      <w:r>
        <w:t xml:space="preserve">Le Client confie à AutomateLux la mise en place et l’exploitation d’un assistant téléphonique</w:t>
      </w:r>
      <w:r>
        <w:t xml:space="preserve"> </w:t>
      </w:r>
      <w:r>
        <w:t xml:space="preserve">automatisé (« l’Assistant ») et des automatisations associées, décrits dans le Contrat principal.</w:t>
      </w:r>
      <w:r>
        <w:t xml:space="preserve"> </w:t>
      </w:r>
      <w:r>
        <w:t xml:space="preserve">Pour exécuter ce service, AutomateLux traite des données personnelles</w:t>
      </w:r>
      <w:r>
        <w:t xml:space="preserve"> </w:t>
      </w:r>
      <w:r>
        <w:rPr>
          <w:bCs/>
          <w:b/>
        </w:rPr>
        <w:t xml:space="preserve">pour le compte et sur</w:t>
      </w:r>
      <w:r>
        <w:rPr>
          <w:bCs/>
          <w:b/>
        </w:rPr>
        <w:t xml:space="preserve"> </w:t>
      </w:r>
      <w:r>
        <w:rPr>
          <w:bCs/>
          <w:b/>
        </w:rPr>
        <w:t xml:space="preserve">instruction du Client</w:t>
      </w:r>
      <w:r>
        <w:t xml:space="preserve">, au sens de l’article 28 du Règlement (UE) 2016/679 (« RGPD »).</w:t>
      </w:r>
    </w:p>
    <w:bookmarkEnd w:id="20"/>
    <w:bookmarkStart w:id="21" w:name="article-2-description-du-traitement"/>
    <w:p>
      <w:pPr>
        <w:pStyle w:val="Heading2"/>
      </w:pPr>
      <w:r>
        <w:t xml:space="preserve">Article 2 — Description du traitement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Nature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Réception et prise en charge des appels entrants ; reconnaissance vocale et transcription ; génération de réponses ; enregistrement des rendez-vous ; envoi de rappels ; journalisation technique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Répondre aux appels du Client lorsqu’il n’est pas disponible, prendre et gérer les rendez-vous, envoyer des rappels aux personnes qui l’ont accepté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Personnes concernées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Personnes qui appellent le Client (clients et prospects du Client)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Catégories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Numéro de téléphone ; nom et prénom communiqués ; date, heure et objet du rendez-vous ; contenu de la conversation (transcription) ; enregistrement audio de l’appel</w:t>
            </w:r>
            <w:r>
              <w:t xml:space="preserve"> </w:t>
            </w:r>
            <w:r>
              <w:rPr>
                <w:bCs/>
                <w:b/>
              </w:rPr>
              <w:t xml:space="preserve">[si activé — à choisir]</w:t>
            </w:r>
            <w:r>
              <w:t xml:space="preserve"> </w:t>
            </w:r>
            <w:r>
              <w:t xml:space="preserve">; adresse e-mail si communiquée pour un rappel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Données sensibles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Aucune donnée sensible (art. 9 RGPD) n’est recherchée. Le Client s’engage à ne pas configurer l’Assistant pour en collecter.</w:t>
            </w:r>
            <w:r>
              <w:t xml:space="preserve"> </w:t>
            </w:r>
            <w:r>
              <w:rPr>
                <w:bCs/>
                <w:b/>
              </w:rPr>
              <w:t xml:space="preserve">[À VÉRIFIER pour les clients du secteur santé (dentistes, cabinets médicaux, vétérinaires) : un appel peut révéler une information de santé.]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du 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 du Contrat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Durée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Transcriptions et enregistrements : [30] jours, puis suppression. Données de rendez-vous : conservées dans les outils du Client selon ses propres règles. Journaux techniques : [90] jours.</w:t>
            </w:r>
            <w:r>
              <w:t xml:space="preserve"> </w:t>
            </w:r>
            <w:r>
              <w:rPr>
                <w:bCs/>
                <w:b/>
              </w:rPr>
              <w:t xml:space="preserve">[Durées à valider]</w:t>
            </w:r>
          </w:p>
        </w:tc>
      </w:tr>
    </w:tbl>
    <w:bookmarkEnd w:id="21"/>
    <w:bookmarkStart w:id="22" w:name="article-3-obligations-dautomatelux"/>
    <w:p>
      <w:pPr>
        <w:pStyle w:val="Heading2"/>
      </w:pPr>
      <w:r>
        <w:t xml:space="preserve">Article 3 — Obligations d’AutomateLux</w:t>
      </w:r>
    </w:p>
    <w:p>
      <w:pPr>
        <w:pStyle w:val="FirstParagraph"/>
      </w:pPr>
      <w:r>
        <w:t xml:space="preserve">AutomateLux s’engage à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Instructions</w:t>
      </w:r>
      <w:r>
        <w:t xml:space="preserve"> </w:t>
      </w:r>
      <w:r>
        <w:t xml:space="preserve">: ne traiter les données que sur instruction documentée du Client, y compris</w:t>
      </w:r>
      <w:r>
        <w:t xml:space="preserve"> </w:t>
      </w:r>
      <w:r>
        <w:t xml:space="preserve">pour les transferts hors de l’Union européenne. Le Contrat principal et le présent contrat</w:t>
      </w:r>
      <w:r>
        <w:t xml:space="preserve"> </w:t>
      </w:r>
      <w:r>
        <w:t xml:space="preserve">constituent ces instructions. Si une instruction lui paraît contraire au RGPD, AutomateLux</w:t>
      </w:r>
      <w:r>
        <w:t xml:space="preserve"> </w:t>
      </w:r>
      <w:r>
        <w:t xml:space="preserve">en informe immédiatement le Client.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Confidentialité</w:t>
      </w:r>
      <w:r>
        <w:t xml:space="preserve"> </w:t>
      </w:r>
      <w:r>
        <w:t xml:space="preserve">: garantir que toute personne autorisée à traiter les données est soumise</w:t>
      </w:r>
      <w:r>
        <w:t xml:space="preserve"> </w:t>
      </w:r>
      <w:r>
        <w:t xml:space="preserve">à une obligation de confidentialité.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Sécurité</w:t>
      </w:r>
      <w:r>
        <w:t xml:space="preserve"> </w:t>
      </w:r>
      <w:r>
        <w:t xml:space="preserve">: mettre en œuvre les mesures de l’</w:t>
      </w:r>
      <w:r>
        <w:rPr>
          <w:bCs/>
          <w:b/>
        </w:rPr>
        <w:t xml:space="preserve">Annexe 2</w:t>
      </w:r>
      <w:r>
        <w:t xml:space="preserve"> </w:t>
      </w:r>
      <w:r>
        <w:t xml:space="preserve">(article 32 RGPD).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Sous-traitants ultérieurs</w:t>
      </w:r>
      <w:r>
        <w:t xml:space="preserve"> </w:t>
      </w:r>
      <w:r>
        <w:t xml:space="preserve">: respecter l’article 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Droits des personnes</w:t>
      </w:r>
      <w:r>
        <w:t xml:space="preserve"> </w:t>
      </w:r>
      <w:r>
        <w:t xml:space="preserve">: aider le Client, dans la mesure du possible, à répondre aux demandes</w:t>
      </w:r>
      <w:r>
        <w:t xml:space="preserve"> </w:t>
      </w:r>
      <w:r>
        <w:t xml:space="preserve">d’accès, de rectification, d’effacement, de limitation, d’opposition et de portabilité. Toute</w:t>
      </w:r>
      <w:r>
        <w:t xml:space="preserve"> </w:t>
      </w:r>
      <w:r>
        <w:t xml:space="preserve">demande reçue directement par AutomateLux est transmise au Client sous [3] jours ouvrés.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Violations de données</w:t>
      </w:r>
      <w:r>
        <w:t xml:space="preserve"> </w:t>
      </w:r>
      <w:r>
        <w:t xml:space="preserve">: notifier au Client toute violation de données personnelles</w:t>
      </w:r>
      <w:r>
        <w:t xml:space="preserve"> </w:t>
      </w:r>
      <w:r>
        <w:rPr>
          <w:bCs/>
          <w:b/>
        </w:rPr>
        <w:t xml:space="preserve">sans</w:t>
      </w:r>
      <w:r>
        <w:rPr>
          <w:bCs/>
          <w:b/>
        </w:rPr>
        <w:t xml:space="preserve"> </w:t>
      </w:r>
      <w:r>
        <w:rPr>
          <w:bCs/>
          <w:b/>
        </w:rPr>
        <w:t xml:space="preserve">délai injustifié et au plus tard [48] heures</w:t>
      </w:r>
      <w:r>
        <w:t xml:space="preserve"> </w:t>
      </w:r>
      <w:r>
        <w:t xml:space="preserve">après en avoir pris connaissance, avec les</w:t>
      </w:r>
      <w:r>
        <w:t xml:space="preserve"> </w:t>
      </w:r>
      <w:r>
        <w:t xml:space="preserve">informations disponibles (nature, catégories et nombre approximatif de personnes et de</w:t>
      </w:r>
      <w:r>
        <w:t xml:space="preserve"> </w:t>
      </w:r>
      <w:r>
        <w:t xml:space="preserve">données concernées, conséquences probables, mesures prises ou proposées).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Assistance</w:t>
      </w:r>
      <w:r>
        <w:t xml:space="preserve"> </w:t>
      </w:r>
      <w:r>
        <w:t xml:space="preserve">: aider le Client à respecter ses obligations de sécurité, de notification à</w:t>
      </w:r>
      <w:r>
        <w:t xml:space="preserve"> </w:t>
      </w:r>
      <w:r>
        <w:t xml:space="preserve">la CNPD, d’information des personnes et, le cas échéant, d’analyse d’impact (articles 32 à 36).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 du contrat</w:t>
      </w:r>
      <w:r>
        <w:t xml:space="preserve"> </w:t>
      </w:r>
      <w:r>
        <w:t xml:space="preserve">: au choix du Client, restituer ou supprimer les données dans les [30] jours</w:t>
      </w:r>
      <w:r>
        <w:t xml:space="preserve"> </w:t>
      </w:r>
      <w:r>
        <w:t xml:space="preserve">suivant la fin du Contrat principal, et supprimer les copies existantes, sauf obligation</w:t>
      </w:r>
      <w:r>
        <w:t xml:space="preserve"> </w:t>
      </w:r>
      <w:r>
        <w:t xml:space="preserve">légale de conservation. AutomateLux confirme la suppression par écrit.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</w:t>
      </w:r>
      <w:r>
        <w:t xml:space="preserve"> </w:t>
      </w:r>
      <w:r>
        <w:t xml:space="preserve">: mettre à la disposition du Client les informations nécessaires pour démontrer le</w:t>
      </w:r>
      <w:r>
        <w:t xml:space="preserve"> </w:t>
      </w:r>
      <w:r>
        <w:t xml:space="preserve">respect du présent contrat, et permettre des audits par le Client ou un auditeur mandaté,</w:t>
      </w:r>
      <w:r>
        <w:t xml:space="preserve"> </w:t>
      </w:r>
      <w:r>
        <w:t xml:space="preserve">sur préavis écrit de [30] jours, au maximum une fois par an sauf violation avérée, aux frais</w:t>
      </w:r>
      <w:r>
        <w:t xml:space="preserve"> </w:t>
      </w:r>
      <w:r>
        <w:t xml:space="preserve">du Client.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Registre</w:t>
      </w:r>
      <w:r>
        <w:t xml:space="preserve"> </w:t>
      </w:r>
      <w:r>
        <w:t xml:space="preserve">: tenir le registre des activités de traitement effectuées pour le compte du</w:t>
      </w:r>
      <w:r>
        <w:t xml:space="preserve"> </w:t>
      </w:r>
      <w:r>
        <w:t xml:space="preserve">Client (article 30.2 RGPD).</w:t>
      </w:r>
    </w:p>
    <w:bookmarkEnd w:id="22"/>
    <w:bookmarkStart w:id="23" w:name="article-4-obligations-du-client"/>
    <w:p>
      <w:pPr>
        <w:pStyle w:val="Heading2"/>
      </w:pPr>
      <w:r>
        <w:t xml:space="preserve">Article 4 — Obligations du Client</w:t>
      </w:r>
    </w:p>
    <w:p>
      <w:pPr>
        <w:pStyle w:val="FirstParagraph"/>
      </w:pPr>
      <w:r>
        <w:t xml:space="preserve">Le Client, en tant que responsable du traitement, s’engage à :</w:t>
      </w:r>
    </w:p>
    <w:p>
      <w:pPr>
        <w:numPr>
          <w:ilvl w:val="0"/>
          <w:numId w:val="1002"/>
        </w:numPr>
        <w:pStyle w:val="Compact"/>
      </w:pPr>
      <w:r>
        <w:t xml:space="preserve">disposer d’une base légale pour chaque traitement confié 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informer les personnes qui l’appellent</w:t>
      </w:r>
      <w:r>
        <w:t xml:space="preserve"> </w:t>
      </w:r>
      <w:r>
        <w:t xml:space="preserve">(article 13 RGPD) : le message d’accueil de</w:t>
      </w:r>
      <w:r>
        <w:t xml:space="preserve"> </w:t>
      </w:r>
      <w:r>
        <w:t xml:space="preserve">l’Assistant indique qu’il s’agit d’un assistant automatisé, si l’appel est enregistré ou</w:t>
      </w:r>
      <w:r>
        <w:t xml:space="preserve"> </w:t>
      </w:r>
      <w:r>
        <w:t xml:space="preserve">transcrit, et où trouver la notice d’information du Client ;</w:t>
      </w:r>
    </w:p>
    <w:p>
      <w:pPr>
        <w:numPr>
          <w:ilvl w:val="0"/>
          <w:numId w:val="1002"/>
        </w:numPr>
        <w:pStyle w:val="Compact"/>
      </w:pPr>
      <w:r>
        <w:t xml:space="preserve">recueillir et conserver le</w:t>
      </w:r>
      <w:r>
        <w:t xml:space="preserve"> </w:t>
      </w:r>
      <w:r>
        <w:rPr>
          <w:bCs/>
          <w:b/>
        </w:rPr>
        <w:t xml:space="preserve">consentement</w:t>
      </w:r>
      <w:r>
        <w:t xml:space="preserve"> </w:t>
      </w:r>
      <w:r>
        <w:t xml:space="preserve">des personnes avant l’envoi de rappels par SMS ou</w:t>
      </w:r>
      <w:r>
        <w:t xml:space="preserve"> </w:t>
      </w:r>
      <w:r>
        <w:t xml:space="preserve">e-mail, lorsque ce consentement est requis ;</w:t>
      </w:r>
    </w:p>
    <w:p>
      <w:pPr>
        <w:numPr>
          <w:ilvl w:val="0"/>
          <w:numId w:val="1002"/>
        </w:numPr>
        <w:pStyle w:val="Compact"/>
      </w:pPr>
      <w:r>
        <w:t xml:space="preserve">ne pas configurer l’Assistant pour collecter des données sensibles ;</w:t>
      </w:r>
    </w:p>
    <w:p>
      <w:pPr>
        <w:numPr>
          <w:ilvl w:val="0"/>
          <w:numId w:val="1002"/>
        </w:numPr>
        <w:pStyle w:val="Compact"/>
      </w:pPr>
      <w:r>
        <w:t xml:space="preserve">documenter par écrit toute instruction supplémentaire.</w:t>
      </w:r>
    </w:p>
    <w:bookmarkEnd w:id="23"/>
    <w:bookmarkStart w:id="24" w:name="article-5-sous-traitants-ultérieurs"/>
    <w:p>
      <w:pPr>
        <w:pStyle w:val="Heading2"/>
      </w:pPr>
      <w:r>
        <w:t xml:space="preserve">Article 5 — Sous-traitants ultérieurs</w:t>
      </w:r>
    </w:p>
    <w:p>
      <w:pPr>
        <w:numPr>
          <w:ilvl w:val="0"/>
          <w:numId w:val="1003"/>
        </w:numPr>
        <w:pStyle w:val="Compact"/>
      </w:pPr>
      <w:r>
        <w:t xml:space="preserve">Le Client autorise de manière générale AutomateLux à recourir aux sous-traitants ultérieurs</w:t>
      </w:r>
      <w:r>
        <w:t xml:space="preserve"> </w:t>
      </w:r>
      <w:r>
        <w:t xml:space="preserve">listés en</w:t>
      </w:r>
      <w:r>
        <w:t xml:space="preserve"> </w:t>
      </w:r>
      <w:r>
        <w:rPr>
          <w:bCs/>
          <w:b/>
        </w:rPr>
        <w:t xml:space="preserve">Annexe 1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AutomateLux informe le Client par écrit, au moins [30] jours à l’avance, de tout ajout ou</w:t>
      </w:r>
      <w:r>
        <w:t xml:space="preserve"> </w:t>
      </w:r>
      <w:r>
        <w:t xml:space="preserve">remplacement. Le Client peut s’y opposer pour un motif légitime lié à la protection des</w:t>
      </w:r>
      <w:r>
        <w:t xml:space="preserve"> </w:t>
      </w:r>
      <w:r>
        <w:t xml:space="preserve">données. À défaut d’accord, chaque partie peut résilier le Contrat principal sans pénalité.</w:t>
      </w:r>
    </w:p>
    <w:p>
      <w:pPr>
        <w:numPr>
          <w:ilvl w:val="0"/>
          <w:numId w:val="1003"/>
        </w:numPr>
        <w:pStyle w:val="Compact"/>
      </w:pPr>
      <w:r>
        <w:t xml:space="preserve">AutomateLux impose à chaque sous-traitant ultérieur des obligations de protection au moins</w:t>
      </w:r>
      <w:r>
        <w:t xml:space="preserve"> </w:t>
      </w:r>
      <w:r>
        <w:t xml:space="preserve">équivalentes à celles du présent contrat, et reste responsable envers le Client de leur respect.</w:t>
      </w:r>
    </w:p>
    <w:bookmarkEnd w:id="24"/>
    <w:bookmarkStart w:id="25" w:name="X2ca98c86b699784641886ec2a143c1eb0106746"/>
    <w:p>
      <w:pPr>
        <w:pStyle w:val="Heading2"/>
      </w:pPr>
      <w:r>
        <w:t xml:space="preserve">Article 6 — Transferts hors de l’Union européenne</w:t>
      </w:r>
    </w:p>
    <w:p>
      <w:pPr>
        <w:pStyle w:val="FirstParagraph"/>
      </w:pPr>
      <w:r>
        <w:t xml:space="preserve">Certains sous-traitants ultérieurs traitent ou peuvent traiter les données hors de l’Espace</w:t>
      </w:r>
      <w:r>
        <w:t xml:space="preserve"> </w:t>
      </w:r>
      <w:r>
        <w:t xml:space="preserve">économique européen (voir Annexe 1). Ces transferts ne sont effectués que sur la base :</w:t>
      </w:r>
      <w:r>
        <w:t xml:space="preserve"> </w:t>
      </w:r>
      <w:r>
        <w:t xml:space="preserve">- d’une décision d’adéquation, notamment le</w:t>
      </w:r>
      <w:r>
        <w:t xml:space="preserve"> </w:t>
      </w:r>
      <w:r>
        <w:rPr>
          <w:bCs/>
          <w:b/>
        </w:rPr>
        <w:t xml:space="preserve">EU-U.S. Data Privacy Framework</w:t>
      </w:r>
      <w:r>
        <w:t xml:space="preserve"> </w:t>
      </w:r>
      <w:r>
        <w:t xml:space="preserve">lorsque le</w:t>
      </w:r>
      <w:r>
        <w:t xml:space="preserve"> </w:t>
      </w:r>
      <w:r>
        <w:t xml:space="preserve">prestataire y est certifié ; ou</w:t>
      </w:r>
      <w:r>
        <w:t xml:space="preserve"> </w:t>
      </w:r>
      <w:r>
        <w:t xml:space="preserve">- des</w:t>
      </w:r>
      <w:r>
        <w:t xml:space="preserve"> </w:t>
      </w:r>
      <w:r>
        <w:rPr>
          <w:bCs/>
          <w:b/>
        </w:rPr>
        <w:t xml:space="preserve">clauses contractuelles types</w:t>
      </w:r>
      <w:r>
        <w:t xml:space="preserve"> </w:t>
      </w:r>
      <w:r>
        <w:t xml:space="preserve">de la Commission européenne (décision 2021/914) signées</w:t>
      </w:r>
      <w:r>
        <w:t xml:space="preserve"> </w:t>
      </w:r>
      <w:r>
        <w:t xml:space="preserve">avec le prestataire.</w:t>
      </w:r>
    </w:p>
    <w:p>
      <w:pPr>
        <w:pStyle w:val="BodyText"/>
      </w:pPr>
      <w:r>
        <w:rPr>
          <w:bCs/>
          <w:b/>
        </w:rPr>
        <w:t xml:space="preserve">[À VÉRIFIER pour chaque prestataire de l’Annexe 1 : certification Data Privacy Framework</w:t>
      </w:r>
      <w:r>
        <w:rPr>
          <w:bCs/>
          <w:b/>
        </w:rPr>
        <w:t xml:space="preserve"> </w:t>
      </w:r>
      <w:r>
        <w:rPr>
          <w:bCs/>
          <w:b/>
        </w:rPr>
        <w:t xml:space="preserve">(dataprivacyframework.gov), clauses contractuelles types dans son DPA, et options d’hébergement</w:t>
      </w:r>
      <w:r>
        <w:rPr>
          <w:bCs/>
          <w:b/>
        </w:rPr>
        <w:t xml:space="preserve"> </w:t>
      </w:r>
      <w:r>
        <w:rPr>
          <w:bCs/>
          <w:b/>
        </w:rPr>
        <w:t xml:space="preserve">dans l’UE.]</w:t>
      </w:r>
    </w:p>
    <w:bookmarkEnd w:id="25"/>
    <w:bookmarkStart w:id="26" w:name="article-7-responsabilité"/>
    <w:p>
      <w:pPr>
        <w:pStyle w:val="Heading2"/>
      </w:pPr>
      <w:r>
        <w:t xml:space="preserve">Article 7 — Responsabilité</w:t>
      </w:r>
    </w:p>
    <w:p>
      <w:pPr>
        <w:pStyle w:val="FirstParagraph"/>
      </w:pPr>
      <w:r>
        <w:t xml:space="preserve">Chaque partie est responsable des dommages causés par sa propre violation du RGPD ou du présent</w:t>
      </w:r>
      <w:r>
        <w:t xml:space="preserve"> </w:t>
      </w:r>
      <w:r>
        <w:t xml:space="preserve">contrat, conformément à l’article 82 RGPD.</w:t>
      </w:r>
      <w:r>
        <w:t xml:space="preserve"> </w:t>
      </w:r>
      <w:r>
        <w:rPr>
          <w:bCs/>
          <w:b/>
        </w:rPr>
        <w:t xml:space="preserve">[Articulation avec la limitation de responsabilité</w:t>
      </w:r>
      <w:r>
        <w:rPr>
          <w:bCs/>
          <w:b/>
        </w:rPr>
        <w:t xml:space="preserve"> </w:t>
      </w:r>
      <w:r>
        <w:rPr>
          <w:bCs/>
          <w:b/>
        </w:rPr>
        <w:t xml:space="preserve">des CGV à faire valider par le juriste.]</w:t>
      </w:r>
    </w:p>
    <w:bookmarkEnd w:id="26"/>
    <w:bookmarkStart w:id="27" w:name="article-8-durée"/>
    <w:p>
      <w:pPr>
        <w:pStyle w:val="Heading2"/>
      </w:pPr>
      <w:r>
        <w:t xml:space="preserve">Article 8 — Durée</w:t>
      </w:r>
    </w:p>
    <w:p>
      <w:pPr>
        <w:pStyle w:val="FirstParagraph"/>
      </w:pPr>
      <w:r>
        <w:t xml:space="preserve">Le présent contrat entre en vigueur à sa signature et prend fin à l’expiration du Contrat</w:t>
      </w:r>
      <w:r>
        <w:t xml:space="preserve"> </w:t>
      </w:r>
      <w:r>
        <w:t xml:space="preserve">principal, les obligations de l’article 3.8 (restitution et suppression) et de confidentialité</w:t>
      </w:r>
      <w:r>
        <w:t xml:space="preserve"> </w:t>
      </w:r>
      <w:r>
        <w:t xml:space="preserve">survivant à cette fin.</w:t>
      </w:r>
    </w:p>
    <w:bookmarkEnd w:id="27"/>
    <w:bookmarkStart w:id="28" w:name="article-9-droit-applicable"/>
    <w:p>
      <w:pPr>
        <w:pStyle w:val="Heading2"/>
      </w:pPr>
      <w:r>
        <w:t xml:space="preserve">Article 9 — Droit applicable</w:t>
      </w:r>
    </w:p>
    <w:p>
      <w:pPr>
        <w:pStyle w:val="FirstParagraph"/>
      </w:pPr>
      <w:r>
        <w:t xml:space="preserve">Droit luxembourgeois. Tribunaux compétents : ceux de Luxembourg-Ville.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Fait à [lieu], le [date], en deux exemplaires.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Pour le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AutomateLux S.à r.l.-S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[Nom, fonction]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Nilton Soares, gérant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 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nnexe-1-sous-traitants-ultérieurs"/>
    <w:p>
      <w:pPr>
        <w:pStyle w:val="Heading2"/>
      </w:pPr>
      <w:r>
        <w:t xml:space="preserve">Annexe 1 — Sous-traitants ultérieurs</w:t>
      </w:r>
    </w:p>
    <w:p>
      <w:pPr>
        <w:pStyle w:val="BlockText"/>
      </w:pPr>
      <w:r>
        <w:rPr>
          <w:bCs/>
          <w:b/>
        </w:rPr>
        <w:t xml:space="preserve">Tout ce tableau est à vérifier</w:t>
      </w:r>
      <w:r>
        <w:t xml:space="preserve"> </w:t>
      </w:r>
      <w:r>
        <w:t xml:space="preserve">dans le compte et les conditions de chaque prestataire.</w:t>
      </w:r>
      <w:r>
        <w:t xml:space="preserve"> </w:t>
      </w:r>
      <w:r>
        <w:t xml:space="preserve">Les pays et garanties indiqués sont des hypothèses, pas des faits vérifiés.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Prestataire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Lieu de traitement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Garantie de transfert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de l’agent vocal (orchestration des appels)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États-Unis [À VÉRIFIER]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[DPF / CCT — À VÉRIFIER]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(modèle GPT-4.1, via Vapi)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Génération des réponses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États-Unis [À VÉRIFIER ; option UE à étudier]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[DPF / CCT — À VÉRIFIER]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ElevenLabs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Synthèse vocale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VÉRIFIER — option de résidence UE à étudier]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VÉRIFIER]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Fournisseur de reconnaissance vocale (via Vapi)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compléter — dépend de la configuration Vapi]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VÉRIFIER]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Opérateur téléphonique (via Vapi ou en 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Numéro et acheminement des appels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compléter]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[À VÉRIFIER]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Make.com (Celonis)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Automatisations (webhooks)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Union européenne (région EU1) [À VÉRIFIER]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objet si 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des rendez-vous et journaux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États-Unis [À VÉRIFIER]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[DPF / CCT — À VÉRIFIER]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Envoi des rappels par e-mail /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Union européenne (France) [À VÉRIFIER]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Sans objet si UE</w:t>
            </w:r>
          </w:p>
        </w:tc>
      </w:tr>
    </w:tbl>
    <w:bookmarkEnd w:id="29"/>
    <w:bookmarkStart w:id="30" w:name="X52bda3efff63b67e3d2891a1efa55aad59e9984"/>
    <w:p>
      <w:pPr>
        <w:pStyle w:val="Heading2"/>
      </w:pPr>
      <w:r>
        <w:t xml:space="preserve">Annexe 2 — Mesures de sécurité (article 32 RGPD)</w:t>
      </w:r>
    </w:p>
    <w:p>
      <w:pPr>
        <w:pStyle w:val="BlockText"/>
      </w:pPr>
      <w:r>
        <w:t xml:space="preserve">À adapter à ce qui est</w:t>
      </w:r>
      <w:r>
        <w:t xml:space="preserve"> </w:t>
      </w:r>
      <w:r>
        <w:rPr>
          <w:bCs/>
          <w:b/>
        </w:rPr>
        <w:t xml:space="preserve">réellement en place</w:t>
      </w:r>
      <w:r>
        <w:t xml:space="preserve">. Ne rien laisser dans cette liste qui ne soit pas appliqué.</w:t>
      </w:r>
    </w:p>
    <w:p>
      <w:pPr>
        <w:numPr>
          <w:ilvl w:val="0"/>
          <w:numId w:val="1004"/>
        </w:numPr>
        <w:pStyle w:val="Compact"/>
      </w:pPr>
      <w:r>
        <w:t xml:space="preserve">Accès aux comptes des prestataires protégés par mot de passe unique et authentification à deux facteurs.</w:t>
      </w:r>
    </w:p>
    <w:p>
      <w:pPr>
        <w:numPr>
          <w:ilvl w:val="0"/>
          <w:numId w:val="1004"/>
        </w:numPr>
        <w:pStyle w:val="Compact"/>
      </w:pPr>
      <w:r>
        <w:t xml:space="preserve">Accès limité au gérant d’AutomateLux ; aucun partage d’identifiants.</w:t>
      </w:r>
    </w:p>
    <w:p>
      <w:pPr>
        <w:numPr>
          <w:ilvl w:val="0"/>
          <w:numId w:val="1004"/>
        </w:numPr>
        <w:pStyle w:val="Compact"/>
      </w:pPr>
      <w:r>
        <w:t xml:space="preserve">Chiffrement des échanges (HTTPS/TLS) entre les services.</w:t>
      </w:r>
    </w:p>
    <w:p>
      <w:pPr>
        <w:numPr>
          <w:ilvl w:val="0"/>
          <w:numId w:val="1004"/>
        </w:numPr>
        <w:pStyle w:val="Compact"/>
      </w:pPr>
      <w:r>
        <w:t xml:space="preserve">Clés d’API conservées hors des documents partagés, renouvelées en cas de doute.</w:t>
      </w:r>
    </w:p>
    <w:p>
      <w:pPr>
        <w:numPr>
          <w:ilvl w:val="0"/>
          <w:numId w:val="1004"/>
        </w:numPr>
        <w:pStyle w:val="Compact"/>
      </w:pPr>
      <w:r>
        <w:t xml:space="preserve">Suppression automatique des transcriptions et enregistrements au terme de la durée de l’article 2.</w:t>
      </w:r>
    </w:p>
    <w:p>
      <w:pPr>
        <w:numPr>
          <w:ilvl w:val="0"/>
          <w:numId w:val="1004"/>
        </w:numPr>
        <w:pStyle w:val="Compact"/>
      </w:pPr>
      <w:r>
        <w:t xml:space="preserve">Un espace de données séparé par client (pas de mélange entre clients).</w:t>
      </w:r>
    </w:p>
    <w:p>
      <w:pPr>
        <w:numPr>
          <w:ilvl w:val="0"/>
          <w:numId w:val="1004"/>
        </w:numPr>
        <w:pStyle w:val="Compact"/>
      </w:pPr>
      <w:r>
        <w:t xml:space="preserve">Procédure de notification des violations : voir article 3.6.</w:t>
      </w:r>
    </w:p>
    <w:p>
      <w:pPr>
        <w:numPr>
          <w:ilvl w:val="0"/>
          <w:numId w:val="1004"/>
        </w:numPr>
        <w:pStyle w:val="Compact"/>
      </w:pPr>
      <w:r>
        <w:t xml:space="preserve">Retour automatique des appels vers la messagerie habituelle du Client en cas de panne.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L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fr-LU</dc:language>
  <cp:keywords/>
  <dcterms:created xsi:type="dcterms:W3CDTF">2026-10-28T21:58:02Z</dcterms:created>
  <dcterms:modified xsi:type="dcterms:W3CDTF">2026-10-28T21:58:02Z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