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d91db10fb8772532b5b961b0d8cd7decf7cb81"/>
    <w:p>
      <w:pPr>
        <w:pStyle w:val="Heading1"/>
      </w:pPr>
      <w:r>
        <w:t xml:space="preserve">Analyse d’impact des transferts de données vers les États-Unis (TIA)</w:t>
      </w:r>
    </w:p>
    <w:p>
      <w:pPr>
        <w:pStyle w:val="BlockText"/>
      </w:pPr>
      <w:r>
        <w:rPr>
          <w:bCs/>
          <w:b/>
        </w:rPr>
        <w:t xml:space="preserve">PROJET — version 0.1 du 28/10/2026 — NON VALIDÉ JURIDIQUEMENT.</w:t>
      </w:r>
      <w:r>
        <w:t xml:space="preserve"> </w:t>
      </w:r>
      <w:r>
        <w:t xml:space="preserve">Document interne d’AutomateLux S.à r.l.-S, exigé par l’article 7.2 du contrat de sous-traitance</w:t>
      </w:r>
      <w:r>
        <w:t xml:space="preserve"> </w:t>
      </w:r>
      <w:r>
        <w:t xml:space="preserve">(v0.2) et par la clause 14 des clauses contractuelles types 2021/914. Méthode : les six étapes</w:t>
      </w:r>
      <w:r>
        <w:t xml:space="preserve"> </w:t>
      </w:r>
      <w:r>
        <w:t xml:space="preserve">des</w:t>
      </w:r>
      <w:r>
        <w:t xml:space="preserve"> </w:t>
      </w:r>
      <w:r>
        <w:rPr>
          <w:bCs/>
          <w:b/>
        </w:rPr>
        <w:t xml:space="preserve">recommandations 01/2020 du Comité européen de la protection des données (EDPB)</w:t>
      </w:r>
      <w:r>
        <w:t xml:space="preserve">.</w:t>
      </w:r>
      <w:r>
        <w:t xml:space="preserve"> </w:t>
      </w:r>
      <w:r>
        <w:t xml:space="preserve">À faire relire par un juriste. À mettre à jour au moins une fois par an et à chaque événement</w:t>
      </w:r>
      <w:r>
        <w:t xml:space="preserve"> </w:t>
      </w:r>
      <w:r>
        <w:t xml:space="preserve">listé à l’étape 6.</w:t>
      </w:r>
    </w:p>
    <w:p>
      <w:pPr>
        <w:pStyle w:val="BlockText"/>
      </w:pPr>
      <w:r>
        <w:t xml:space="preserve">Niveaux de confiance :</w:t>
      </w:r>
      <w:r>
        <w:t xml:space="preserve"> </w:t>
      </w:r>
      <w:r>
        <w:rPr>
          <w:bCs/>
          <w:b/>
        </w:rPr>
        <w:t xml:space="preserve">VÉRIFIÉ</w:t>
      </w:r>
      <w:r>
        <w:t xml:space="preserve"> </w:t>
      </w:r>
      <w:r>
        <w:t xml:space="preserve">(source consultée le 28/10/2026),</w:t>
      </w:r>
      <w:r>
        <w:t xml:space="preserve"> </w:t>
      </w:r>
      <w:r>
        <w:rPr>
          <w:bCs/>
          <w:b/>
        </w:rPr>
        <w:t xml:space="preserve">PROBABLE</w:t>
      </w:r>
      <w:r>
        <w:t xml:space="preserve">,</w:t>
      </w:r>
      <w:r>
        <w:t xml:space="preserve"> </w:t>
      </w:r>
      <w:r>
        <w:rPr>
          <w:bCs/>
          <w:b/>
        </w:rPr>
        <w:t xml:space="preserve">À VÉRIFIER</w:t>
      </w:r>
      <w:r>
        <w:t xml:space="preserve"> </w:t>
      </w:r>
      <w:r>
        <w:t xml:space="preserve">(dépend des comptes d’AutomateLux ou d’une information non trouvée).</w:t>
      </w:r>
    </w:p>
    <w:p>
      <w:r>
        <w:pict>
          <v:rect style="width:0;height:1.5pt" o:hralign="center" o:hrstd="t" o:hr="t"/>
        </w:pict>
      </w:r>
    </w:p>
    <w:bookmarkStart w:id="20" w:name="étape-1-cartographie-des-transferts"/>
    <w:p>
      <w:pPr>
        <w:pStyle w:val="Heading2"/>
      </w:pPr>
      <w:r>
        <w:t xml:space="preserve">Étape 1 — Cartographie des transferts</w:t>
      </w:r>
    </w:p>
    <w:p>
      <w:pPr>
        <w:pStyle w:val="FirstParagraph"/>
      </w:pPr>
      <w:r>
        <w:rPr>
          <w:bCs/>
          <w:b/>
        </w:rPr>
        <w:t xml:space="preserve">Exportateur</w:t>
      </w:r>
      <w:r>
        <w:t xml:space="preserve"> </w:t>
      </w:r>
      <w:r>
        <w:t xml:space="preserve">: AutomateLux S.à r.l.-S, sous-traitant de ses clients (salons, restaurants, cabinets).</w:t>
      </w:r>
      <w:r>
        <w:t xml:space="preserve"> </w:t>
      </w:r>
      <w:r>
        <w:rPr>
          <w:bCs/>
          <w:b/>
        </w:rPr>
        <w:t xml:space="preserve">Personnes concernées</w:t>
      </w:r>
      <w:r>
        <w:t xml:space="preserve"> </w:t>
      </w:r>
      <w:r>
        <w:t xml:space="preserve">: personnes qui appellent les clients d’AutomateLux.</w:t>
      </w:r>
      <w:r>
        <w:t xml:space="preserve"> </w:t>
      </w:r>
      <w:r>
        <w:rPr>
          <w:bCs/>
          <w:b/>
        </w:rPr>
        <w:t xml:space="preserve">Données</w:t>
      </w:r>
      <w:r>
        <w:t xml:space="preserve"> </w:t>
      </w:r>
      <w:r>
        <w:t xml:space="preserve">: numéro de téléphone, prénom/nom, date/heure/objet du rendez-vous, contenu de la</w:t>
      </w:r>
      <w:r>
        <w:t xml:space="preserve"> </w:t>
      </w:r>
      <w:r>
        <w:t xml:space="preserve">conversation (audio en temps réel, transcription). Pas d’enregistrement audio conservé (recommandé).</w:t>
      </w:r>
      <w:r>
        <w:t xml:space="preserve"> </w:t>
      </w:r>
      <w:r>
        <w:t xml:space="preserve">Données sensibles : non recherchées ;</w:t>
      </w:r>
      <w:r>
        <w:t xml:space="preserve"> </w:t>
      </w:r>
      <w:r>
        <w:rPr>
          <w:bCs/>
          <w:b/>
        </w:rPr>
        <w:t xml:space="preserve">révélations spontanées possibles</w:t>
      </w:r>
      <w:r>
        <w:t xml:space="preserve"> </w:t>
      </w:r>
      <w:r>
        <w:t xml:space="preserve">(ex. santé).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reçues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de présence aux 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transfert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 (Superpowered Inc.)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en temps réel, transcription, métadonnées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Pendant l’appel ;</w:t>
            </w:r>
            <w:r>
              <w:t xml:space="preserve"> </w:t>
            </w:r>
            <w:r>
              <w:rPr>
                <w:bCs/>
                <w:b/>
              </w:rPr>
              <w:t xml:space="preserve">avec Zero Data Retention : pas de conservation du contenu après l’appel</w:t>
            </w:r>
            <w:r>
              <w:t xml:space="preserve"> </w:t>
            </w:r>
            <w:r>
              <w:t xml:space="preserve">(métadonnées de facturation conservées)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Clauses contractuelles types</w:t>
            </w:r>
            <w:r>
              <w:t xml:space="preserve"> </w:t>
            </w:r>
            <w:r>
              <w:t xml:space="preserve">(non certifié DPF — VÉRIFIÉ)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(via OpenAI Ireland Ltd ; traitement par OpenAI OpCo,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des réponses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de la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  <w:r>
              <w:t xml:space="preserve"> </w:t>
            </w:r>
            <w:r>
              <w:rPr>
                <w:bCs/>
                <w:b/>
              </w:rPr>
              <w:t xml:space="preserve">jusqu’à 30 jours</w:t>
            </w:r>
            <w:r>
              <w:t xml:space="preserve"> </w:t>
            </w:r>
            <w:r>
              <w:t xml:space="preserve">pour la détection d’abus ;</w:t>
            </w:r>
            <w:r>
              <w:t xml:space="preserve"> </w:t>
            </w:r>
            <w:r>
              <w:rPr>
                <w:bCs/>
                <w:b/>
              </w:rPr>
              <w:t xml:space="preserve">aucune</w:t>
            </w:r>
            <w:r>
              <w:t xml:space="preserve"> </w:t>
            </w:r>
            <w:r>
              <w:t xml:space="preserve">si Zero Data Retention accordé — VÉRIFIÉ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Clauses contractuelles types</w:t>
            </w:r>
            <w:r>
              <w:t xml:space="preserve"> </w:t>
            </w:r>
            <w:r>
              <w:t xml:space="preserve">(non certifié DPF — VÉRIFIÉ)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Fournisseur de transcription</w:t>
            </w:r>
            <w:r>
              <w:t xml:space="preserve"> </w:t>
            </w:r>
            <w:r>
              <w:rPr>
                <w:bCs/>
                <w:b/>
              </w:rPr>
              <w:t xml:space="preserve">[à confirmer — Deepgram 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en temps réel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VÉRIFIER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VÉRIFIER</w:t>
            </w:r>
            <w:r>
              <w:t xml:space="preserve"> </w:t>
            </w:r>
            <w:r>
              <w:t xml:space="preserve">(Deepgram : non certifié DPF — VÉRIFIÉ)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Airtable (Formagrid Inc.)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des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téléphone,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contrat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Clauses contractuelles types</w:t>
            </w:r>
            <w:r>
              <w:t xml:space="preserve"> </w:t>
            </w:r>
            <w:r>
              <w:t xml:space="preserve">(non certifié DPF — VÉRIFIÉ)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Synthèse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des réponses de l’assistant (peut contenir prénom,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VÉRIFIER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Privacy Framework</w:t>
            </w:r>
            <w:r>
              <w:t xml:space="preserve"> </w:t>
            </w:r>
            <w:r>
              <w:t xml:space="preserve">— certification active (VÉRIFIÉ) :</w:t>
            </w:r>
            <w:r>
              <w:t xml:space="preserve"> </w:t>
            </w:r>
            <w:r>
              <w:rPr>
                <w:bCs/>
                <w:b/>
              </w:rPr>
              <w:t xml:space="preserve">pas de TIA requise</w:t>
            </w:r>
            <w:r>
              <w:t xml:space="preserve">, voir étape 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(si utilisé)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Numéro, flux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Privacy Framework</w:t>
            </w:r>
            <w:r>
              <w:t xml:space="preserve"> </w:t>
            </w:r>
            <w:r>
              <w:t xml:space="preserve">— certification active (VÉRIFIÉ) :</w:t>
            </w:r>
            <w:r>
              <w:t xml:space="preserve"> </w:t>
            </w:r>
            <w:r>
              <w:rPr>
                <w:bCs/>
                <w:b/>
              </w:rPr>
              <w:t xml:space="preserve">pas de TIA requise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Transferts couverts par la présente analyse</w:t>
      </w:r>
      <w:r>
        <w:t xml:space="preserve"> </w:t>
      </w:r>
      <w:r>
        <w:t xml:space="preserve">: Vapi, OpenAI, Airtable et le fournisseur de transcription.</w:t>
      </w:r>
    </w:p>
    <w:bookmarkEnd w:id="20"/>
    <w:bookmarkStart w:id="21" w:name="étape-2-outil-de-transfert"/>
    <w:p>
      <w:pPr>
        <w:pStyle w:val="Heading2"/>
      </w:pPr>
      <w:r>
        <w:t xml:space="preserve">Étape 2 — Outil de transfert</w:t>
      </w:r>
    </w:p>
    <w:p>
      <w:pPr>
        <w:pStyle w:val="FirstParagraph"/>
      </w:pPr>
      <w:r>
        <w:t xml:space="preserve">Clauses contractuelles types 2021/914,</w:t>
      </w:r>
      <w:r>
        <w:t xml:space="preserve"> </w:t>
      </w:r>
      <w:r>
        <w:rPr>
          <w:bCs/>
          <w:b/>
        </w:rPr>
        <w:t xml:space="preserve">module 3 (sous-traitant vers sous-traitant)</w:t>
      </w:r>
      <w:r>
        <w:t xml:space="preserve">, intégrées aux</w:t>
      </w:r>
      <w:r>
        <w:t xml:space="preserve"> </w:t>
      </w:r>
      <w:r>
        <w:t xml:space="preserve">contrats de traitement de données (DPA) de Vapi, OpenAI et Airtable.</w:t>
      </w:r>
      <w:r>
        <w:t xml:space="preserve"> </w:t>
      </w:r>
      <w:r>
        <w:rPr>
          <w:bCs/>
          <w:b/>
        </w:rPr>
        <w:t xml:space="preserve">[À VÉRIFIER pour chacun :</w:t>
      </w:r>
      <w:r>
        <w:rPr>
          <w:bCs/>
          <w:b/>
        </w:rPr>
        <w:t xml:space="preserve"> </w:t>
      </w:r>
      <w:r>
        <w:rPr>
          <w:bCs/>
          <w:b/>
        </w:rPr>
        <w:t xml:space="preserve">module effectivement retenu et acceptation du DPA dans le compte d’AutomateLux. Pour OpenAI, le</w:t>
      </w:r>
      <w:r>
        <w:rPr>
          <w:bCs/>
          <w:b/>
        </w:rPr>
        <w:t xml:space="preserve"> </w:t>
      </w:r>
      <w:r>
        <w:rPr>
          <w:bCs/>
          <w:b/>
        </w:rPr>
        <w:t xml:space="preserve">cocontractant d’un client de l’EEE est OpenAI Ireland Ltd — VÉRIFIÉ.]</w:t>
      </w:r>
    </w:p>
    <w:bookmarkEnd w:id="21"/>
    <w:bookmarkStart w:id="27" w:name="X1f65b180b621e5019b1370c6bb8a9b36e5deb7f"/>
    <w:p>
      <w:pPr>
        <w:pStyle w:val="Heading2"/>
      </w:pPr>
      <w:r>
        <w:t xml:space="preserve">Étape 3 — Évaluation du droit et des pratiques des États-Unis</w:t>
      </w:r>
    </w:p>
    <w:bookmarkStart w:id="22" w:name="Xe35a23aa7279458e0f29473019e3cbef2370afa"/>
    <w:p>
      <w:pPr>
        <w:pStyle w:val="Heading3"/>
      </w:pPr>
      <w:r>
        <w:t xml:space="preserve">3.1 Lois susceptibles de permettre un accès aux données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702 du FISA</w:t>
      </w:r>
      <w:r>
        <w:t xml:space="preserve"> </w:t>
      </w:r>
      <w:r>
        <w:t xml:space="preserve">(collecte de renseignement visant des personnes non américaines, auprès</w:t>
      </w:r>
      <w:r>
        <w:t xml:space="preserve"> </w:t>
      </w:r>
      <w:r>
        <w:t xml:space="preserve">des « fournisseurs de services de communications électroniques », catégorie qui inclut</w:t>
      </w:r>
      <w:r>
        <w:t xml:space="preserve"> </w:t>
      </w:r>
      <w:r>
        <w:rPr>
          <w:bCs/>
          <w:b/>
        </w:rPr>
        <w:t xml:space="preserve">probablement</w:t>
      </w:r>
      <w:r>
        <w:t xml:space="preserve"> </w:t>
      </w:r>
      <w:r>
        <w:t xml:space="preserve">les fournisseurs de cloud et d’IA comme Vapi, OpenAI et Airtable).</w:t>
      </w:r>
      <w:r>
        <w:t xml:space="preserve"> </w:t>
      </w:r>
      <w:r>
        <w:rPr>
          <w:bCs/>
          <w:b/>
        </w:rPr>
        <w:t xml:space="preserve">Situation au 28/10/2026</w:t>
      </w:r>
      <w:r>
        <w:t xml:space="preserve"> </w:t>
      </w:r>
      <w:r>
        <w:t xml:space="preserve">: la loi n’a pas été reconduite par le Congrès et</w:t>
      </w:r>
      <w:r>
        <w:t xml:space="preserve"> </w:t>
      </w:r>
      <w:r>
        <w:rPr>
          <w:bCs/>
          <w:b/>
        </w:rPr>
        <w:t xml:space="preserve">a expiré en juin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, mais</w:t>
      </w:r>
      <w:r>
        <w:t xml:space="preserve"> </w:t>
      </w:r>
      <w:r>
        <w:rPr>
          <w:bCs/>
          <w:b/>
        </w:rPr>
        <w:t xml:space="preserve">la collecte se poursuit jusqu’en mars 2027</w:t>
      </w:r>
      <w:r>
        <w:t xml:space="preserve"> </w:t>
      </w:r>
      <w:r>
        <w:t xml:space="preserve">sur la base d’une décision de la</w:t>
      </w:r>
      <w:r>
        <w:t xml:space="preserve"> </w:t>
      </w:r>
      <w:r>
        <w:t xml:space="preserve">cour FISC du 17 mars 2026, qui n’a pas été déclassifiée — VÉRIFIÉ (presse spécialisée, octobre 2026).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Executive Order 12333</w:t>
      </w:r>
      <w:r>
        <w:t xml:space="preserve"> </w:t>
      </w:r>
      <w:r>
        <w:t xml:space="preserve">(renseignement hors du territoire, sans contrainte sur le fournisseur).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Act</w:t>
      </w:r>
      <w:r>
        <w:t xml:space="preserve"> </w:t>
      </w:r>
      <w:r>
        <w:t xml:space="preserve">(accès des autorités judiciaires américaines aux données détenues par un fournisseur</w:t>
      </w:r>
      <w:r>
        <w:t xml:space="preserve"> </w:t>
      </w:r>
      <w:r>
        <w:t xml:space="preserve">américain, y compris hors des États-Unis).</w:t>
      </w:r>
    </w:p>
    <w:bookmarkEnd w:id="22"/>
    <w:bookmarkStart w:id="23" w:name="garanties-existantes"/>
    <w:p>
      <w:pPr>
        <w:pStyle w:val="Heading3"/>
      </w:pPr>
      <w:r>
        <w:t xml:space="preserve">3.2 Garanties existantes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Executive Order 14086</w:t>
      </w:r>
      <w:r>
        <w:t xml:space="preserve"> </w:t>
      </w:r>
      <w:r>
        <w:t xml:space="preserve">(octobre 2022) : principes de nécessité et de proportionnalité pour le</w:t>
      </w:r>
      <w:r>
        <w:t xml:space="preserve"> </w:t>
      </w:r>
      <w:r>
        <w:t xml:space="preserve">renseignement, et voie de recours (Civil Liberties Protection Officer, puis</w:t>
      </w:r>
      <w:r>
        <w:t xml:space="preserve"> </w:t>
      </w:r>
      <w:r>
        <w:rPr>
          <w:bCs/>
          <w:b/>
        </w:rPr>
        <w:t xml:space="preserve">Data Protection</w:t>
      </w:r>
      <w:r>
        <w:rPr>
          <w:bCs/>
          <w:b/>
        </w:rPr>
        <w:t xml:space="preserve"> </w:t>
      </w:r>
      <w:r>
        <w:rPr>
          <w:bCs/>
          <w:b/>
        </w:rPr>
        <w:t xml:space="preserve">Review Court</w:t>
      </w:r>
      <w:r>
        <w:t xml:space="preserve">). Selon la Commission européenne, ces garanties s’appliquent</w:t>
      </w:r>
      <w:r>
        <w:t xml:space="preserve"> </w:t>
      </w:r>
      <w:r>
        <w:rPr>
          <w:bCs/>
          <w:b/>
        </w:rPr>
        <w:t xml:space="preserve">à tous les</w:t>
      </w:r>
      <w:r>
        <w:rPr>
          <w:bCs/>
          <w:b/>
        </w:rPr>
        <w:t xml:space="preserve"> </w:t>
      </w:r>
      <w:r>
        <w:rPr>
          <w:bCs/>
          <w:b/>
        </w:rPr>
        <w:t xml:space="preserve">transferts vers les États-Unis, quel que soit l’outil de transfert</w:t>
      </w:r>
      <w:r>
        <w:t xml:space="preserve">, y compris les clauses</w:t>
      </w:r>
      <w:r>
        <w:t xml:space="preserve"> </w:t>
      </w:r>
      <w:r>
        <w:t xml:space="preserve">contractuelles types — VÉRIFIÉ (position de la Commission rapportée par des sources juridiques ;</w:t>
      </w:r>
      <w:r>
        <w:t xml:space="preserve"> </w:t>
      </w:r>
      <w:r>
        <w:t xml:space="preserve">à confirmer dans le texte officiel).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Décision d’adéquation du 10/07/2023</w:t>
      </w:r>
      <w:r>
        <w:t xml:space="preserve"> </w:t>
      </w:r>
      <w:r>
        <w:t xml:space="preserve">(Data Privacy Framework), qui conclut que le niveau de</w:t>
      </w:r>
      <w:r>
        <w:t xml:space="preserve"> </w:t>
      </w:r>
      <w:r>
        <w:t xml:space="preserve">protection américain est adéquat pour les entreprises certifiées.</w:t>
      </w:r>
      <w:r>
        <w:t xml:space="preserve"> </w:t>
      </w:r>
      <w:r>
        <w:rPr>
          <w:bCs/>
          <w:b/>
        </w:rPr>
        <w:t xml:space="preserve">Recours rejeté par le</w:t>
      </w:r>
      <w:r>
        <w:rPr>
          <w:bCs/>
          <w:b/>
        </w:rPr>
        <w:t xml:space="preserve"> </w:t>
      </w:r>
      <w:r>
        <w:rPr>
          <w:bCs/>
          <w:b/>
        </w:rPr>
        <w:t xml:space="preserve">Tribunal de l’UE le 3 septembre 2025 (affaire T-553/23, Latombe) ; pourvoi pendant devant la</w:t>
      </w:r>
      <w:r>
        <w:rPr>
          <w:bCs/>
          <w:b/>
        </w:rPr>
        <w:t xml:space="preserve"> </w:t>
      </w:r>
      <w:r>
        <w:rPr>
          <w:bCs/>
          <w:b/>
        </w:rPr>
        <w:t xml:space="preserve">Cour de justice (affaire C-703/25 P, introduit le 31 octobre 2025)</w:t>
      </w:r>
      <w:r>
        <w:t xml:space="preserve"> </w:t>
      </w:r>
      <w:r>
        <w:t xml:space="preserve">— VÉRIFIÉ.</w:t>
      </w:r>
    </w:p>
    <w:bookmarkEnd w:id="23"/>
    <w:bookmarkStart w:id="24" w:name="fragilités-identifiées"/>
    <w:p>
      <w:pPr>
        <w:pStyle w:val="Heading3"/>
      </w:pPr>
      <w:r>
        <w:t xml:space="preserve">3.3 Fragilités identifiées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Organe de contrôle (PCLOB)</w:t>
      </w:r>
      <w:r>
        <w:t xml:space="preserve"> </w:t>
      </w:r>
      <w:r>
        <w:t xml:space="preserve">: trois de ses membres ont été révoqués le 27 janvier 2025, ce qui</w:t>
      </w:r>
      <w:r>
        <w:t xml:space="preserve"> </w:t>
      </w:r>
      <w:r>
        <w:t xml:space="preserve">lui a fait perdre son quorum — VÉRIFIÉ. Le rétablissement du quorum au 28/10/2026 n’a</w:t>
      </w:r>
      <w:r>
        <w:t xml:space="preserve"> </w:t>
      </w:r>
      <w:r>
        <w:rPr>
          <w:bCs/>
          <w:b/>
        </w:rPr>
        <w:t xml:space="preserve">pas pu</w:t>
      </w:r>
      <w:r>
        <w:rPr>
          <w:bCs/>
          <w:b/>
        </w:rPr>
        <w:t xml:space="preserve"> </w:t>
      </w:r>
      <w:r>
        <w:rPr>
          <w:bCs/>
          <w:b/>
        </w:rPr>
        <w:t xml:space="preserve">être confirmé</w:t>
      </w:r>
      <w:r>
        <w:t xml:space="preserve">. Or la Commission s’appuie sur ce contrôle pour surveiller l’application de</w:t>
      </w:r>
      <w:r>
        <w:t xml:space="preserve"> </w:t>
      </w:r>
      <w:r>
        <w:t xml:space="preserve">l’EO 14086.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Décision FISC du 17 mars 2026 non déclassifiée</w:t>
      </w:r>
      <w:r>
        <w:t xml:space="preserve"> </w:t>
      </w:r>
      <w:r>
        <w:t xml:space="preserve">malgré l’échéance légale, selon des sénateurs</w:t>
      </w:r>
      <w:r>
        <w:t xml:space="preserve"> </w:t>
      </w:r>
      <w:r>
        <w:t xml:space="preserve">américains — VÉRIFIÉ (presse). Elle empêche d’évaluer comment la collecte est encadrée en pratique.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Pourvoi C-703/25 P</w:t>
      </w:r>
      <w:r>
        <w:t xml:space="preserve"> </w:t>
      </w:r>
      <w:r>
        <w:t xml:space="preserve">: la Cour de justice a déjà invalidé deux cadres précédents (Safe Harbor en</w:t>
      </w:r>
      <w:r>
        <w:t xml:space="preserve"> </w:t>
      </w:r>
      <w:r>
        <w:t xml:space="preserve">2015, Privacy Shield en 2020). Une invalidation affaiblirait aussi l’analyse des transferts sous</w:t>
      </w:r>
      <w:r>
        <w:t xml:space="preserve"> </w:t>
      </w:r>
      <w:r>
        <w:t xml:space="preserve">clauses contractuelles types, puisque les garanties de l’EO 14086 en sont le socle commun.</w:t>
      </w:r>
    </w:p>
    <w:bookmarkEnd w:id="24"/>
    <w:bookmarkStart w:id="25" w:name="X658f548e82688381569b65abcf688277ae363dd"/>
    <w:p>
      <w:pPr>
        <w:pStyle w:val="Heading3"/>
      </w:pPr>
      <w:r>
        <w:t xml:space="preserve">3.4 Transferts fondés sur le Data Privacy Framework (ElevenLabs, Twilio)</w:t>
      </w:r>
    </w:p>
    <w:p>
      <w:pPr>
        <w:pStyle w:val="FirstParagraph"/>
      </w:pPr>
      <w:r>
        <w:t xml:space="preserve">Ils n’exigent pas d’analyse d’impact tant que la décision d’adéquation est en vigueur et que la</w:t>
      </w:r>
      <w:r>
        <w:t xml:space="preserve"> </w:t>
      </w:r>
      <w:r>
        <w:t xml:space="preserve">certification est active. Ils sont toutefois exposés au même risque d’invalidation (étape 6).</w:t>
      </w:r>
    </w:p>
    <w:bookmarkEnd w:id="25"/>
    <w:bookmarkStart w:id="26" w:name="probabilité-concrète-daccès"/>
    <w:p>
      <w:pPr>
        <w:pStyle w:val="Heading3"/>
      </w:pPr>
      <w:r>
        <w:t xml:space="preserve">3.5 Probabilité concrète d’accès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sensibilité : rendez-vous de salon, de restaurant.</w:t>
            </w:r>
            <w:r>
              <w:t xml:space="preserve"> </w:t>
            </w:r>
            <w:r>
              <w:rPr>
                <w:bCs/>
                <w:b/>
              </w:rPr>
              <w:t xml:space="preserve">Élevée</w:t>
            </w:r>
            <w:r>
              <w:t xml:space="preserve"> </w:t>
            </w:r>
            <w:r>
              <w:t xml:space="preserve">si un client est un cabinet de santé humaine.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Intérêt pour un service de renseignement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</w:t>
            </w:r>
            <w:r>
              <w:t xml:space="preserve"> </w:t>
            </w:r>
            <w:r>
              <w:t xml:space="preserve">(PROBABLE) : petites entreprises luxembourgeoises sans lien avec la sécurité nationale ou le terrorisme. Cela n’exclut pas une collecte de masse ou par sélecteurs larges.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(quelques centaines à milliers d’appels par mois).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d’exposition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Réduite pour Vapi (Zero Data Retention) et OpenAI (30 jours, 0 avec ZDR).</w:t>
            </w:r>
            <w:r>
              <w:t xml:space="preserve"> </w:t>
            </w:r>
            <w:r>
              <w:rPr>
                <w:bCs/>
                <w:b/>
              </w:rPr>
              <w:t xml:space="preserve">Longue pour Airtable</w:t>
            </w:r>
            <w:r>
              <w:t xml:space="preserve"> </w:t>
            </w:r>
            <w:r>
              <w:t xml:space="preserve">(stockage permanent des rendez-vous).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Demandes déjà reçues par les prestataires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VÉRIFIER</w:t>
            </w:r>
            <w:r>
              <w:t xml:space="preserve"> </w:t>
            </w:r>
            <w:r>
              <w:t xml:space="preserve">: rapports de transparence de Vapi, OpenAI, Airtable et du fournisseur de transcription.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 de l’étape 3</w:t>
      </w:r>
      <w:r>
        <w:t xml:space="preserve"> </w:t>
      </w:r>
      <w:r>
        <w:t xml:space="preserve">: le droit américain permet un accès plus large que ce qu’admet le droit</w:t>
      </w:r>
      <w:r>
        <w:t xml:space="preserve"> </w:t>
      </w:r>
      <w:r>
        <w:t xml:space="preserve">de l’UE, mais les garanties de l’EO 14086 s’appliquent et ont été jugées suffisantes par la</w:t>
      </w:r>
      <w:r>
        <w:t xml:space="preserve"> </w:t>
      </w:r>
      <w:r>
        <w:t xml:space="preserve">Commission et, en première instance, par le Tribunal de l’UE. Ces garanties sont</w:t>
      </w:r>
      <w:r>
        <w:t xml:space="preserve"> </w:t>
      </w:r>
      <w:r>
        <w:rPr>
          <w:bCs/>
          <w:b/>
        </w:rPr>
        <w:t xml:space="preserve">fragiles</w:t>
      </w:r>
      <w:r>
        <w:t xml:space="preserve"> </w:t>
      </w:r>
      <w:r>
        <w:t xml:space="preserve">(contrôle affaibli, base légale de la section 702 en suspens, pourvoi pendant). Des mesures</w:t>
      </w:r>
      <w:r>
        <w:t xml:space="preserve"> </w:t>
      </w:r>
      <w:r>
        <w:t xml:space="preserve">complémentaires sont donc nécessaires, en priorité la</w:t>
      </w:r>
      <w:r>
        <w:t xml:space="preserve"> </w:t>
      </w:r>
      <w:r>
        <w:rPr>
          <w:bCs/>
          <w:b/>
        </w:rPr>
        <w:t xml:space="preserve">réduction des données transférées</w:t>
      </w:r>
      <w:r>
        <w:t xml:space="preserve">.</w:t>
      </w:r>
    </w:p>
    <w:bookmarkEnd w:id="26"/>
    <w:bookmarkEnd w:id="27"/>
    <w:bookmarkStart w:id="31" w:name="étape-4-mesures-complémentaires"/>
    <w:p>
      <w:pPr>
        <w:pStyle w:val="Heading2"/>
      </w:pPr>
      <w:r>
        <w:t xml:space="preserve">Étape 4 — Mesures complémentaires</w:t>
      </w:r>
    </w:p>
    <w:bookmarkStart w:id="28" w:name="limites-des-mesures-techniques"/>
    <w:p>
      <w:pPr>
        <w:pStyle w:val="Heading3"/>
      </w:pPr>
      <w:r>
        <w:t xml:space="preserve">4.1 Limites des mesures techniques</w:t>
      </w:r>
    </w:p>
    <w:p>
      <w:pPr>
        <w:pStyle w:val="FirstParagraph"/>
      </w:pPr>
      <w:r>
        <w:t xml:space="preserve">L’assistant vocal doit traiter la conversation</w:t>
      </w:r>
      <w:r>
        <w:t xml:space="preserve"> </w:t>
      </w:r>
      <w:r>
        <w:rPr>
          <w:bCs/>
          <w:b/>
        </w:rPr>
        <w:t xml:space="preserve">en clair</w:t>
      </w:r>
      <w:r>
        <w:t xml:space="preserve"> </w:t>
      </w:r>
      <w:r>
        <w:t xml:space="preserve">chez Vapi, chez le fournisseur de</w:t>
      </w:r>
      <w:r>
        <w:t xml:space="preserve"> </w:t>
      </w:r>
      <w:r>
        <w:t xml:space="preserve">transcription et chez OpenAI pour fonctionner. Selon les recommandations 01/2020 de l’EDPB, le</w:t>
      </w:r>
      <w:r>
        <w:t xml:space="preserve"> </w:t>
      </w:r>
      <w:r>
        <w:t xml:space="preserve">chiffrement ne protège pas contre un accès des autorités lorsque le prestataire doit traiter les</w:t>
      </w:r>
      <w:r>
        <w:t xml:space="preserve"> </w:t>
      </w:r>
      <w:r>
        <w:t xml:space="preserve">données en clair.</w:t>
      </w:r>
      <w:r>
        <w:t xml:space="preserve"> </w:t>
      </w:r>
      <w:r>
        <w:rPr>
          <w:bCs/>
          <w:b/>
        </w:rPr>
        <w:t xml:space="preserve">Aucune mesure technique ne neutralise entièrement le risque pour ces trois</w:t>
      </w:r>
      <w:r>
        <w:rPr>
          <w:bCs/>
          <w:b/>
        </w:rPr>
        <w:t xml:space="preserve"> </w:t>
      </w:r>
      <w:r>
        <w:rPr>
          <w:bCs/>
          <w:b/>
        </w:rPr>
        <w:t xml:space="preserve">prestataires.</w:t>
      </w:r>
      <w:r>
        <w:t xml:space="preserve"> </w:t>
      </w:r>
      <w:r>
        <w:t xml:space="preserve">La protection repose sur la minimisation et la durée d’exposition.</w:t>
      </w:r>
    </w:p>
    <w:bookmarkEnd w:id="28"/>
    <w:bookmarkStart w:id="29" w:name="mesures-retenues"/>
    <w:p>
      <w:pPr>
        <w:pStyle w:val="Heading3"/>
      </w:pPr>
      <w:r>
        <w:t xml:space="preserve">4.2 Mesures retenues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Activer</w:t>
            </w:r>
            <w:r>
              <w:t xml:space="preserve"> </w:t>
            </w:r>
            <w:r>
              <w:rPr>
                <w:bCs/>
                <w:b/>
              </w:rPr>
              <w:t xml:space="preserve">Zero Data Retention</w:t>
            </w:r>
            <w:r>
              <w:t xml:space="preserve"> </w:t>
            </w:r>
            <w:r>
              <w:t xml:space="preserve">de Vapi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aucun contenu d’appel conservé aux États-Unis après l’appel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(gratuit)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le</w:t>
            </w:r>
            <w:r>
              <w:t xml:space="preserve"> </w:t>
            </w:r>
            <w:r>
              <w:rPr>
                <w:bCs/>
                <w:b/>
              </w:rPr>
              <w:t xml:space="preserve">Zero Data Retention</w:t>
            </w:r>
            <w:r>
              <w:t xml:space="preserve"> </w:t>
            </w:r>
            <w:r>
              <w:t xml:space="preserve">à OpenAI pour le compte d’AutomateLux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 la conservation de 30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(sur demande, accord non garanti)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Remplacer Airtable par un stockage situé dans l’UE</w:t>
            </w:r>
            <w:r>
              <w:t xml:space="preserve"> </w:t>
            </w:r>
            <w:r>
              <w:t xml:space="preserve">pour les rendez-vous et transcriptions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Supprime le transfert le plus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RECOMMANDÉ</w:t>
            </w:r>
            <w:r>
              <w:t xml:space="preserve"> </w:t>
            </w:r>
            <w:r>
              <w:t xml:space="preserve">— choix du prestataire 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d’enregistrement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Moins de données sensibles et identifiantes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Recommandé dans le contrat (art.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Consignes à l’assistant : ne pas demander le motif détaillé ni de données de santé ; ne pas reprendre les révélations spontanées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dans la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Transcriptions conservées [30] jours au maximum, puis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Exposition réduite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Prévu au contrat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Chiffrement en transit (TLS) et comptes protégés par double 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Protège contre les tiers non étatiques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VÉRIFIER</w:t>
            </w:r>
            <w:r>
              <w:t xml:space="preserve"> </w:t>
            </w:r>
            <w:r>
              <w:t xml:space="preserve">dans chaque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à chaque prestataire s’il a reçu des demandes d’autorités (section 702, CLOUD Act) et ses engagements de contestation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Vapi, OpenAI,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contractuelle et organisationnelle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FAIRE</w:t>
            </w:r>
            <w:r>
              <w:t xml:space="preserve"> </w:t>
            </w:r>
            <w:r>
              <w:t xml:space="preserve">— questionnaire ci-dessous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Exclure le secteur de la santé humaine</w:t>
            </w:r>
            <w:r>
              <w:t xml:space="preserve"> </w:t>
            </w:r>
            <w:r>
              <w:t xml:space="preserve">tant que la chaîne comporte des prestataires américains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 le cas où le risque devient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Prévu (art. 10 du contrat : option bloquée)</w:t>
            </w:r>
          </w:p>
        </w:tc>
      </w:tr>
    </w:tbl>
    <w:bookmarkEnd w:id="29"/>
    <w:bookmarkStart w:id="30" w:name="X3532446e8694770ecabff649e63b547a2a2e00f"/>
    <w:p>
      <w:pPr>
        <w:pStyle w:val="Heading3"/>
      </w:pPr>
      <w:r>
        <w:t xml:space="preserve">4.3 Questionnaire à envoyer aux prestataires (M8)</w:t>
      </w:r>
    </w:p>
    <w:p>
      <w:pPr>
        <w:numPr>
          <w:ilvl w:val="0"/>
          <w:numId w:val="1004"/>
        </w:numPr>
        <w:pStyle w:val="Compact"/>
      </w:pPr>
      <w:r>
        <w:t xml:space="preserve">Êtes-vous, selon vous, un « electronic communication service provider » au sens de 50 U.S.C. § 1881(b)(4) ?</w:t>
      </w:r>
    </w:p>
    <w:p>
      <w:pPr>
        <w:numPr>
          <w:ilvl w:val="0"/>
          <w:numId w:val="1004"/>
        </w:numPr>
        <w:pStyle w:val="Compact"/>
      </w:pPr>
      <w:r>
        <w:t xml:space="preserve">Avez-vous reçu, depuis 2023, des demandes d’accès d’autorités américaines visant des données de clients européens ? Publiez-vous un rapport de transparence ?</w:t>
      </w:r>
    </w:p>
    <w:p>
      <w:pPr>
        <w:numPr>
          <w:ilvl w:val="0"/>
          <w:numId w:val="1004"/>
        </w:numPr>
        <w:pStyle w:val="Compact"/>
      </w:pPr>
      <w:r>
        <w:t xml:space="preserve">Vous engagez-vous à informer vos clients d’une telle demande lorsque la loi le permet, et à la contester lorsqu’elle est infondée ?</w:t>
      </w:r>
    </w:p>
    <w:p>
      <w:pPr>
        <w:numPr>
          <w:ilvl w:val="0"/>
          <w:numId w:val="1004"/>
        </w:numPr>
        <w:pStyle w:val="Compact"/>
      </w:pPr>
      <w:r>
        <w:t xml:space="preserve">Où les données sont-elles traitées et conservées, et pendant combien de temps ?</w:t>
      </w:r>
    </w:p>
    <w:p>
      <w:pPr>
        <w:numPr>
          <w:ilvl w:val="0"/>
          <w:numId w:val="1004"/>
        </w:numPr>
        <w:pStyle w:val="Compact"/>
      </w:pPr>
      <w:r>
        <w:t xml:space="preserve">Les données des clients servent-elles à entraîner ou améliorer vos modèles ? Comment l’exclure ?</w:t>
      </w:r>
    </w:p>
    <w:bookmarkEnd w:id="30"/>
    <w:bookmarkEnd w:id="31"/>
    <w:bookmarkStart w:id="32" w:name="étape-5-étapes-procédurales"/>
    <w:p>
      <w:pPr>
        <w:pStyle w:val="Heading2"/>
      </w:pPr>
      <w:r>
        <w:t xml:space="preserve">Étape 5 — Étapes procédurales</w:t>
      </w:r>
    </w:p>
    <w:p>
      <w:pPr>
        <w:numPr>
          <w:ilvl w:val="0"/>
          <w:numId w:val="1005"/>
        </w:numPr>
        <w:pStyle w:val="Compact"/>
      </w:pPr>
      <w:r>
        <w:t xml:space="preserve">Accepter et archiver les DPA (avec clauses contractuelles types) de Vapi, OpenAI, Airtable et du</w:t>
      </w:r>
      <w:r>
        <w:t xml:space="preserve"> </w:t>
      </w:r>
      <w:r>
        <w:t xml:space="preserve">fournisseur de transcription, avec leur date.</w:t>
      </w:r>
      <w:r>
        <w:t xml:space="preserve"> </w:t>
      </w:r>
      <w:r>
        <w:rPr>
          <w:bCs/>
          <w:b/>
        </w:rPr>
        <w:t xml:space="preserve">À FAIRE.</w:t>
      </w:r>
    </w:p>
    <w:p>
      <w:pPr>
        <w:numPr>
          <w:ilvl w:val="0"/>
          <w:numId w:val="1005"/>
        </w:numPr>
        <w:pStyle w:val="Compact"/>
      </w:pPr>
      <w:r>
        <w:t xml:space="preserve">Informer les clients de la liste des prestataires et des bases de transfert (annexe 1 du contrat).</w:t>
      </w:r>
    </w:p>
    <w:p>
      <w:pPr>
        <w:numPr>
          <w:ilvl w:val="0"/>
          <w:numId w:val="1005"/>
        </w:numPr>
        <w:pStyle w:val="Compact"/>
      </w:pPr>
      <w:r>
        <w:t xml:space="preserve">Conserver la présente analyse et la tenir à la disposition des clients et de la CNPD.</w:t>
      </w:r>
    </w:p>
    <w:bookmarkEnd w:id="32"/>
    <w:bookmarkStart w:id="33" w:name="étape-6-réévaluation"/>
    <w:p>
      <w:pPr>
        <w:pStyle w:val="Heading2"/>
      </w:pPr>
      <w:r>
        <w:t xml:space="preserve">Étape 6 — Réévaluation</w:t>
      </w:r>
    </w:p>
    <w:p>
      <w:pPr>
        <w:pStyle w:val="FirstParagraph"/>
      </w:pPr>
      <w:r>
        <w:t xml:space="preserve">Réévaluer</w:t>
      </w:r>
      <w:r>
        <w:t xml:space="preserve"> </w:t>
      </w:r>
      <w:r>
        <w:rPr>
          <w:bCs/>
          <w:b/>
        </w:rPr>
        <w:t xml:space="preserve">au moins une fois par an</w:t>
      </w:r>
      <w:r>
        <w:t xml:space="preserve">, et immédiatement en cas de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arrêt de la Cour de justice dans l’affaire C-703/25 P</w:t>
      </w:r>
      <w:r>
        <w:t xml:space="preserve"> </w:t>
      </w:r>
      <w:r>
        <w:t xml:space="preserve">(Data Privacy Framework) ;</w:t>
      </w:r>
      <w:r>
        <w:t xml:space="preserve"> </w:t>
      </w:r>
      <w:r>
        <w:t xml:space="preserve">- reconduction, modification ou fin de la section 702 du FISA (et à l’expiration de la décision FISC en mars 2027) ;</w:t>
      </w:r>
      <w:r>
        <w:t xml:space="preserve"> </w:t>
      </w:r>
      <w:r>
        <w:t xml:space="preserve">- modification ou retrait de l’EO 14086, ou évolution du contrôle par le PCLOB ;</w:t>
      </w:r>
      <w:r>
        <w:t xml:space="preserve"> </w:t>
      </w:r>
      <w:r>
        <w:t xml:space="preserve">- changement de prestataire, de localisation ou de conditions d’un prestataire ;</w:t>
      </w:r>
      <w:r>
        <w:t xml:space="preserve"> </w:t>
      </w:r>
      <w:r>
        <w:t xml:space="preserve">- arrivée d’un client du secteur de la santé humaine.</w:t>
      </w:r>
    </w:p>
    <w:bookmarkEnd w:id="33"/>
    <w:bookmarkStart w:id="35" w:name="conclusion"/>
    <w:p>
      <w:pPr>
        <w:pStyle w:val="Heading2"/>
      </w:pPr>
      <w:r>
        <w:t xml:space="preserve">Conclusion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au 28/10/2026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Acceptable sous condition</w:t>
            </w:r>
            <w:r>
              <w:t xml:space="preserve"> </w:t>
            </w:r>
            <w:r>
              <w:t xml:space="preserve">d’activer Zero Data Retention (M1) et d’appliquer M4, M5, M8.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Acceptable sous condition</w:t>
            </w:r>
            <w:r>
              <w:t xml:space="preserve"> </w:t>
            </w:r>
            <w:r>
              <w:t xml:space="preserve">: M5 et M8 ; M2 fortement recommandé. Pas d’entraînement sur les données de l’API par défaut — VÉRIFIÉ.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 de transcription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concluable</w:t>
            </w:r>
            <w:r>
              <w:t xml:space="preserve"> </w:t>
            </w:r>
            <w:r>
              <w:t xml:space="preserve">tant que le prestataire, sa localisation et son DPA ne sont pas confirmés.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 résiduel le plus élevé</w:t>
            </w:r>
            <w:r>
              <w:t xml:space="preserve"> </w:t>
            </w:r>
            <w:r>
              <w:t xml:space="preserve">(conservation longue).</w:t>
            </w:r>
            <w:r>
              <w:t xml:space="preserve"> </w:t>
            </w:r>
            <w:r>
              <w:rPr>
                <w:bCs/>
                <w:b/>
              </w:rPr>
              <w:t xml:space="preserve">Recommandation : remplacer par un stockage dans l’UE (M3).</w:t>
            </w:r>
            <w:r>
              <w:t xml:space="preserve"> </w:t>
            </w:r>
            <w:r>
              <w:t xml:space="preserve">À défaut : acceptable à titre transitoire avec M6 et M8.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 santé humaine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acceptable</w:t>
            </w:r>
            <w:r>
              <w:t xml:space="preserve"> </w:t>
            </w:r>
            <w:r>
              <w:t xml:space="preserve">avec la chaîne actuelle (M9).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Risque résiduel global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modéré à faible</w:t>
      </w:r>
      <w:r>
        <w:t xml:space="preserve"> </w:t>
      </w:r>
      <w:r>
        <w:t xml:space="preserve">pour des données de rendez-vous peu sensibles, une</w:t>
      </w:r>
      <w:r>
        <w:t xml:space="preserve"> </w:t>
      </w:r>
      <w:r>
        <w:t xml:space="preserve">fois M1, M3, M4 et M5 en place. Ce risque dépend fortement de l’issue du pourvoi C-703/25 P.</w:t>
      </w:r>
    </w:p>
    <w:p>
      <w:pPr>
        <w:pStyle w:val="BodyText"/>
      </w:pPr>
      <w:r>
        <w:t xml:space="preserve">Établi par : AutomateLux S.à r.l.-S — Nilton Soares, gérant — le [date de validation].</w:t>
      </w:r>
    </w:p>
    <w:p>
      <w:r>
        <w:pict>
          <v:rect style="width:0;height:1.5pt" o:hralign="center" o:hrstd="t" o:hr="t"/>
        </w:pict>
      </w:r>
    </w:p>
    <w:bookmarkStart w:id="34" w:name="sources-consultées-le-28102026"/>
    <w:p>
      <w:pPr>
        <w:pStyle w:val="Heading3"/>
      </w:pPr>
      <w:r>
        <w:t xml:space="preserve">Sources consultées le 28/10/2026</w:t>
      </w:r>
    </w:p>
    <w:p>
      <w:pPr>
        <w:numPr>
          <w:ilvl w:val="0"/>
          <w:numId w:val="1006"/>
        </w:numPr>
        <w:pStyle w:val="Compact"/>
      </w:pPr>
      <w:r>
        <w:t xml:space="preserve">Registre du Data Privacy Framework (dataprivacyframework.gov) : Vapi, OpenAI, Airtable/Formagrid, Deepgram non trouvés ; ElevenLabs, Celonis, Twilio certifiés actifs.</w:t>
      </w:r>
    </w:p>
    <w:p>
      <w:pPr>
        <w:numPr>
          <w:ilvl w:val="0"/>
          <w:numId w:val="1006"/>
        </w:numPr>
        <w:pStyle w:val="Compact"/>
      </w:pPr>
      <w:r>
        <w:t xml:space="preserve">docs.vapi.ai : pages « GDPR Compliance » et « Zero Data Retention ».</w:t>
      </w:r>
    </w:p>
    <w:p>
      <w:pPr>
        <w:numPr>
          <w:ilvl w:val="0"/>
          <w:numId w:val="1006"/>
        </w:numPr>
        <w:pStyle w:val="Compact"/>
      </w:pPr>
      <w:r>
        <w:t xml:space="preserve">developers.openai.com : « Data controls in the OpenAI platform » ; openai.com : DPA (OpenAI Ireland Ltd pour l’EEE).</w:t>
      </w:r>
    </w:p>
    <w:p>
      <w:pPr>
        <w:numPr>
          <w:ilvl w:val="0"/>
          <w:numId w:val="1006"/>
        </w:numPr>
        <w:pStyle w:val="Compact"/>
      </w:pPr>
      <w:r>
        <w:t xml:space="preserve">airtable.com : DPA et FAQ sur la résidence des données.</w:t>
      </w:r>
    </w:p>
    <w:p>
      <w:pPr>
        <w:numPr>
          <w:ilvl w:val="0"/>
          <w:numId w:val="1006"/>
        </w:numPr>
        <w:pStyle w:val="Compact"/>
      </w:pPr>
      <w:r>
        <w:t xml:space="preserve">EUR-Lex : pourvoi C-703/25 P (Latombe c. Commission), introduit le 31/10/2025, contre l’arrêt T-553/23 du 3/09/2025.</w:t>
      </w:r>
    </w:p>
    <w:p>
      <w:pPr>
        <w:numPr>
          <w:ilvl w:val="0"/>
          <w:numId w:val="1006"/>
        </w:numPr>
        <w:pStyle w:val="Compact"/>
      </w:pPr>
      <w:r>
        <w:t xml:space="preserve">CDT, Lawfare : révocation de membres du PCLOB le 27/01/2025.</w:t>
      </w:r>
    </w:p>
    <w:p>
      <w:pPr>
        <w:numPr>
          <w:ilvl w:val="0"/>
          <w:numId w:val="1006"/>
        </w:numPr>
        <w:pStyle w:val="Compact"/>
      </w:pPr>
      <w:r>
        <w:t xml:space="preserve">Computer Weekly, Wired, Brennan Center : expiration de la section 702 en juin 2026, collecte prolongée jusqu’en mars 2027 par une décision FISC du 17/03/2026.</w:t>
      </w:r>
    </w:p>
    <w:p>
      <w:pPr>
        <w:numPr>
          <w:ilvl w:val="0"/>
          <w:numId w:val="1006"/>
        </w:numPr>
        <w:pStyle w:val="Compact"/>
      </w:pPr>
      <w:r>
        <w:t xml:space="preserve">Commission européenne, questions-réponses sur les clauses contractuelles types (clause 14, éléments de l’analyse).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2026-10-28T23:36:11Z</dcterms:created>
  <dcterms:modified xsi:type="dcterms:W3CDTF">2026-10-28T23:36:11Z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