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28A0F">
      <w:pPr>
        <w:pStyle w:val="23"/>
        <w:rPr>
          <w:color w:val="000000" w:themeColor="text1"/>
          <w14:textFill>
            <w14:solidFill>
              <w14:schemeClr w14:val="tx1"/>
            </w14:solidFill>
          </w14:textFill>
        </w:rPr>
      </w:pPr>
      <w:bookmarkStart w:id="0" w:name="技术方案"/>
      <w:r>
        <w:rPr>
          <w:color w:val="000000" w:themeColor="text1"/>
          <w14:textFill>
            <w14:solidFill>
              <w14:schemeClr w14:val="tx1"/>
            </w14:solidFill>
          </w14:textFill>
        </w:rPr>
        <w:t> </w:t>
      </w:r>
    </w:p>
    <w:p w14:paraId="4B6FAC17">
      <w:pPr>
        <w:pStyle w:val="3"/>
        <w:rPr>
          <w:color w:val="000000" w:themeColor="text1"/>
          <w14:textFill>
            <w14:solidFill>
              <w14:schemeClr w14:val="tx1"/>
            </w14:solidFill>
          </w14:textFill>
        </w:rPr>
      </w:pPr>
      <w:r>
        <w:rPr>
          <w:color w:val="000000" w:themeColor="text1"/>
          <w14:textFill>
            <w14:solidFill>
              <w14:schemeClr w14:val="tx1"/>
            </w14:solidFill>
          </w14:textFill>
        </w:rPr>
        <w:t> </w:t>
      </w:r>
    </w:p>
    <w:p w14:paraId="674AEA8E">
      <w:pPr>
        <w:pStyle w:val="3"/>
        <w:jc w:val="center"/>
        <w:rPr>
          <w:rFonts w:hint="eastAsia" w:ascii="黑体" w:hAnsi="黑体" w:eastAsia="黑体" w:cs="黑体"/>
          <w:color w:val="000000" w:themeColor="text1"/>
          <w:sz w:val="44"/>
          <w:szCs w:val="44"/>
          <w14:textFill>
            <w14:solidFill>
              <w14:schemeClr w14:val="tx1"/>
            </w14:solidFill>
          </w14:textFill>
        </w:rPr>
      </w:pPr>
      <w:r>
        <w:rPr>
          <w:rFonts w:hint="eastAsia" w:ascii="黑体" w:hAnsi="黑体" w:eastAsia="黑体" w:cs="黑体"/>
          <w:color w:val="000000" w:themeColor="text1"/>
          <w:sz w:val="44"/>
          <w:szCs w:val="44"/>
          <w14:textFill>
            <w14:solidFill>
              <w14:schemeClr w14:val="tx1"/>
            </w14:solidFill>
          </w14:textFill>
        </w:rPr>
        <w:t>郑州数据集团有限公司房屋管理系统人力服务采购项目</w:t>
      </w:r>
    </w:p>
    <w:p w14:paraId="3752F47E">
      <w:pPr>
        <w:pStyle w:val="3"/>
        <w:jc w:val="center"/>
        <w:rPr>
          <w:rFonts w:hint="default" w:ascii="黑体" w:hAnsi="黑体" w:eastAsia="黑体" w:cs="黑体"/>
          <w:color w:val="000000" w:themeColor="text1"/>
          <w:sz w:val="44"/>
          <w:szCs w:val="44"/>
          <w:lang w:val="en-US" w:eastAsia="zh-CN"/>
          <w14:textFill>
            <w14:solidFill>
              <w14:schemeClr w14:val="tx1"/>
            </w14:solidFill>
          </w14:textFill>
        </w:rPr>
      </w:pPr>
      <w:r>
        <w:rPr>
          <w:rFonts w:hint="eastAsia" w:ascii="黑体" w:hAnsi="黑体" w:eastAsia="黑体" w:cs="黑体"/>
          <w:color w:val="000000" w:themeColor="text1"/>
          <w:sz w:val="44"/>
          <w:szCs w:val="44"/>
          <w:lang w:val="en-US" w:eastAsia="zh-CN"/>
          <w14:textFill>
            <w14:solidFill>
              <w14:schemeClr w14:val="tx1"/>
            </w14:solidFill>
          </w14:textFill>
        </w:rPr>
        <w:t>技术方案</w:t>
      </w:r>
    </w:p>
    <w:p w14:paraId="262C6DF9">
      <w:pPr>
        <w:pStyle w:val="3"/>
        <w:rPr>
          <w:color w:val="000000" w:themeColor="text1"/>
          <w14:textFill>
            <w14:solidFill>
              <w14:schemeClr w14:val="tx1"/>
            </w14:solidFill>
          </w14:textFill>
        </w:rPr>
      </w:pPr>
      <w:r>
        <w:rPr>
          <w:color w:val="000000" w:themeColor="text1"/>
          <w14:textFill>
            <w14:solidFill>
              <w14:schemeClr w14:val="tx1"/>
            </w14:solidFill>
          </w14:textFill>
        </w:rPr>
        <w:t> </w:t>
      </w:r>
    </w:p>
    <w:p w14:paraId="085D41E6">
      <w:pPr>
        <w:pStyle w:val="3"/>
        <w:rPr>
          <w:rFonts w:hint="eastAsia"/>
          <w:color w:val="000000" w:themeColor="text1"/>
          <w14:textFill>
            <w14:solidFill>
              <w14:schemeClr w14:val="tx1"/>
            </w14:solidFill>
          </w14:textFill>
        </w:rPr>
      </w:pPr>
      <w:r>
        <w:rPr>
          <w:color w:val="000000" w:themeColor="text1"/>
          <w14:textFill>
            <w14:solidFill>
              <w14:schemeClr w14:val="tx1"/>
            </w14:solidFill>
          </w14:textFill>
        </w:rPr>
        <w:t>　　　　</w:t>
      </w:r>
    </w:p>
    <w:p w14:paraId="469B2C67">
      <w:pPr>
        <w:pStyle w:val="3"/>
        <w:rPr>
          <w:rFonts w:hint="eastAsia"/>
          <w:color w:val="000000" w:themeColor="text1"/>
          <w14:textFill>
            <w14:solidFill>
              <w14:schemeClr w14:val="tx1"/>
            </w14:solidFill>
          </w14:textFill>
        </w:rPr>
      </w:pPr>
    </w:p>
    <w:p w14:paraId="15046351">
      <w:pPr>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lang w:val="en-US" w:eastAsia="zh-CN"/>
          <w14:textFill>
            <w14:solidFill>
              <w14:schemeClr w14:val="tx1"/>
            </w14:solidFill>
          </w14:textFill>
        </w:rPr>
        <w:t>目录</w:t>
      </w:r>
    </w:p>
    <w:p w14:paraId="672B6A4F">
      <w:pPr>
        <w:rPr>
          <w:rFonts w:hint="eastAsia"/>
          <w:color w:val="000000" w:themeColor="text1"/>
          <w:lang w:val="en-US" w:eastAsia="zh-CN"/>
          <w14:textFill>
            <w14:solidFill>
              <w14:schemeClr w14:val="tx1"/>
            </w14:solidFill>
          </w14:textFill>
        </w:rPr>
      </w:pPr>
      <w:bookmarkStart w:id="270" w:name="_GoBack"/>
      <w:bookmarkEnd w:id="270"/>
    </w:p>
    <w:p w14:paraId="25D95527">
      <w:pPr>
        <w:rPr>
          <w:color w:val="000000" w:themeColor="text1"/>
          <w14:textFill>
            <w14:solidFill>
              <w14:schemeClr w14:val="tx1"/>
            </w14:solidFill>
          </w14:textFill>
        </w:rPr>
      </w:pPr>
    </w:p>
    <w:bookmarkEnd w:id="0"/>
    <w:p w14:paraId="6952FBCF">
      <w:pPr>
        <w:pStyle w:val="2"/>
        <w:rPr>
          <w:color w:val="000000" w:themeColor="text1"/>
          <w14:textFill>
            <w14:solidFill>
              <w14:schemeClr w14:val="tx1"/>
            </w14:solidFill>
          </w14:textFill>
        </w:rPr>
      </w:pPr>
      <w:bookmarkStart w:id="1" w:name="第一章-项目需求分析"/>
      <w:r>
        <w:rPr>
          <w:rFonts w:hint="eastAsia"/>
          <w:color w:val="000000" w:themeColor="text1"/>
          <w14:textFill>
            <w14:solidFill>
              <w14:schemeClr w14:val="tx1"/>
            </w14:solidFill>
          </w14:textFill>
        </w:rPr>
        <w:t>第一章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项目需求分析</w:t>
      </w:r>
    </w:p>
    <w:p w14:paraId="5E2D3F66">
      <w:pPr>
        <w:pStyle w:val="4"/>
        <w:rPr>
          <w:color w:val="000000" w:themeColor="text1"/>
          <w14:textFill>
            <w14:solidFill>
              <w14:schemeClr w14:val="tx1"/>
            </w14:solidFill>
          </w14:textFill>
        </w:rPr>
      </w:pPr>
      <w:bookmarkStart w:id="2" w:name="项目理解与建设背景"/>
      <w:r>
        <w:rPr>
          <w:color w:val="000000" w:themeColor="text1"/>
          <w14:textFill>
            <w14:solidFill>
              <w14:schemeClr w14:val="tx1"/>
            </w14:solidFill>
          </w14:textFill>
        </w:rPr>
        <w:t xml:space="preserve">1.1 </w:t>
      </w:r>
      <w:r>
        <w:rPr>
          <w:rFonts w:hint="eastAsia"/>
          <w:color w:val="000000" w:themeColor="text1"/>
          <w14:textFill>
            <w14:solidFill>
              <w14:schemeClr w14:val="tx1"/>
            </w14:solidFill>
          </w14:textFill>
        </w:rPr>
        <w:t>项目理解与建设背景</w:t>
      </w:r>
    </w:p>
    <w:p w14:paraId="082FE7EF">
      <w:pPr>
        <w:pStyle w:val="5"/>
        <w:rPr>
          <w:color w:val="000000" w:themeColor="text1"/>
          <w14:textFill>
            <w14:solidFill>
              <w14:schemeClr w14:val="tx1"/>
            </w14:solidFill>
          </w14:textFill>
        </w:rPr>
      </w:pPr>
      <w:bookmarkStart w:id="3" w:name="从人力服务采购本质出发的项目理解"/>
      <w:r>
        <w:rPr>
          <w:color w:val="000000" w:themeColor="text1"/>
          <w14:textFill>
            <w14:solidFill>
              <w14:schemeClr w14:val="tx1"/>
            </w14:solidFill>
          </w14:textFill>
        </w:rPr>
        <w:t xml:space="preserve">1.1.1 </w:t>
      </w:r>
      <w:r>
        <w:rPr>
          <w:rFonts w:hint="eastAsia"/>
          <w:color w:val="000000" w:themeColor="text1"/>
          <w14:textFill>
            <w14:solidFill>
              <w14:schemeClr w14:val="tx1"/>
            </w14:solidFill>
          </w14:textFill>
        </w:rPr>
        <w:t>从”人力服务采购”本质出发的项目理解</w:t>
      </w:r>
    </w:p>
    <w:p w14:paraId="5FCED3A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本项目在招标定位上是一项”研发团队驻场开发服务”采购，而非简单的软件产品交付。我方对此有清晰的判断：招标人真正需要的，不是一套一次性交付即告结束的软件，而是一支</w:t>
      </w:r>
      <w:r>
        <w:rPr>
          <w:rFonts w:hint="eastAsia"/>
          <w:b/>
          <w:bCs/>
          <w:color w:val="000000" w:themeColor="text1"/>
          <w14:textFill>
            <w14:solidFill>
              <w14:schemeClr w14:val="tx1"/>
            </w14:solidFill>
          </w14:textFill>
        </w:rPr>
        <w:t>能够长期驻场、随业务演进持续迭代、并提供六年运维保障的稳定研发力量</w:t>
      </w:r>
      <w:r>
        <w:rPr>
          <w:rFonts w:hint="eastAsia"/>
          <w:color w:val="000000" w:themeColor="text1"/>
          <w14:textFill>
            <w14:solidFill>
              <w14:schemeClr w14:val="tx1"/>
            </w14:solidFill>
          </w14:textFill>
        </w:rPr>
        <w:t>，以及在这支力量支撑下逐步建成、持续可用的房屋管理系统。</w:t>
      </w:r>
    </w:p>
    <w:p w14:paraId="0C2A53A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这一本质决定了本技术方案的三条主线：</w:t>
      </w:r>
    </w:p>
    <w:p w14:paraId="5AF12DD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其一，</w:t>
      </w:r>
      <w:r>
        <w:rPr>
          <w:rFonts w:hint="eastAsia"/>
          <w:b/>
          <w:bCs/>
          <w:color w:val="000000" w:themeColor="text1"/>
          <w14:textFill>
            <w14:solidFill>
              <w14:schemeClr w14:val="tx1"/>
            </w14:solidFill>
          </w14:textFill>
        </w:rPr>
        <w:t>以”可持续交付”为核心</w:t>
      </w:r>
      <w:r>
        <w:rPr>
          <w:rFonts w:hint="eastAsia"/>
          <w:color w:val="000000" w:themeColor="text1"/>
          <w14:textFill>
            <w14:solidFill>
              <w14:schemeClr w14:val="tx1"/>
            </w14:solidFill>
          </w14:textFill>
        </w:rPr>
        <w:t>。方案不追求一次性堆砌功能，而是围绕驻场团队”边建设、边运行、边优化”的工作节奏，把开发规划、质量管控、运维保障组织成一个闭环，确保系统在整个合同期内始终处于健康、可维护、可扩展的状态。</w:t>
      </w:r>
    </w:p>
    <w:p w14:paraId="23223E5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其二，</w:t>
      </w:r>
      <w:r>
        <w:rPr>
          <w:rFonts w:hint="eastAsia"/>
          <w:b/>
          <w:bCs/>
          <w:color w:val="000000" w:themeColor="text1"/>
          <w14:textFill>
            <w14:solidFill>
              <w14:schemeClr w14:val="tx1"/>
            </w14:solidFill>
          </w14:textFill>
        </w:rPr>
        <w:t>以”业务连续性”为红线</w:t>
      </w:r>
      <w:r>
        <w:rPr>
          <w:rFonts w:hint="eastAsia"/>
          <w:color w:val="000000" w:themeColor="text1"/>
          <w14:textFill>
            <w14:solidFill>
              <w14:schemeClr w14:val="tx1"/>
            </w14:solidFill>
          </w14:textFill>
        </w:rPr>
        <w:t>。房屋租赁业务涉及群众切身利益（选房、签约、缴费、退租、开票），任何一次上线、变更、迁移都不能中断在办业务、不能影响资金安全。方案在实施、安全、运维各章节均把业务连续性作为不可逾越的底线。</w:t>
      </w:r>
    </w:p>
    <w:p w14:paraId="76C3EF3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其三，</w:t>
      </w:r>
      <w:r>
        <w:rPr>
          <w:rFonts w:hint="eastAsia"/>
          <w:b/>
          <w:bCs/>
          <w:color w:val="000000" w:themeColor="text1"/>
          <w14:textFill>
            <w14:solidFill>
              <w14:schemeClr w14:val="tx1"/>
            </w14:solidFill>
          </w14:textFill>
        </w:rPr>
        <w:t>以”贴合港区实际”为特色</w:t>
      </w:r>
      <w:r>
        <w:rPr>
          <w:rFonts w:hint="eastAsia"/>
          <w:color w:val="000000" w:themeColor="text1"/>
          <w14:textFill>
            <w14:solidFill>
              <w14:schemeClr w14:val="tx1"/>
            </w14:solidFill>
          </w14:textFill>
        </w:rPr>
        <w:t>。本项目服务于郑州航空港区保租房、人才公寓、市场租赁三类业态，业务规则复杂、政务数据对接多、群众使用面广。方案的每一项设计都力求”接得上港区的数据、装得下三类业态的差异、经得起群众的高频使用”。</w:t>
      </w:r>
    </w:p>
    <w:bookmarkEnd w:id="3"/>
    <w:p w14:paraId="1057F17E">
      <w:pPr>
        <w:pStyle w:val="5"/>
        <w:rPr>
          <w:color w:val="000000" w:themeColor="text1"/>
          <w14:textFill>
            <w14:solidFill>
              <w14:schemeClr w14:val="tx1"/>
            </w14:solidFill>
          </w14:textFill>
        </w:rPr>
      </w:pPr>
      <w:bookmarkStart w:id="4" w:name="政策背景"/>
      <w:r>
        <w:rPr>
          <w:color w:val="000000" w:themeColor="text1"/>
          <w14:textFill>
            <w14:solidFill>
              <w14:schemeClr w14:val="tx1"/>
            </w14:solidFill>
          </w14:textFill>
        </w:rPr>
        <w:t xml:space="preserve">1.1.2 </w:t>
      </w:r>
      <w:r>
        <w:rPr>
          <w:rFonts w:hint="eastAsia"/>
          <w:color w:val="000000" w:themeColor="text1"/>
          <w14:textFill>
            <w14:solidFill>
              <w14:schemeClr w14:val="tx1"/>
            </w14:solidFill>
          </w14:textFill>
        </w:rPr>
        <w:t>政策背景</w:t>
      </w:r>
    </w:p>
    <w:p w14:paraId="5CDFB76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近年来，国家将发展保障性租赁住房、完善住房保障体系摆在突出位置。《关于加快发展保障性租赁住房的意见》（国办发〔2021〕22号）明确提出扩大保障性租赁住房供给、缓解新市民与青年人住房困难；“十四五”规划要求以数字化手段提升住房保障管理效能。在人才安居方面，各地陆续出台人才公寓政策，通过租金优惠、资格核验、优先配租等方式吸引和留住人才。</w:t>
      </w:r>
    </w:p>
    <w:p w14:paraId="79B7581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放管服”改革与政务服务”一网通办”深入推进，“郑好办”等政务平台成为群众办事的统一入口，要求各业务系统与政务用户体系、政务数据实现互联互通。本项目建设的房屋管理系统，正是上述政策在住房保障与人才安居领域数字化落地的具体载体。</w:t>
      </w:r>
    </w:p>
    <w:bookmarkEnd w:id="4"/>
    <w:p w14:paraId="45D09797">
      <w:pPr>
        <w:pStyle w:val="5"/>
        <w:rPr>
          <w:color w:val="000000" w:themeColor="text1"/>
          <w14:textFill>
            <w14:solidFill>
              <w14:schemeClr w14:val="tx1"/>
            </w14:solidFill>
          </w14:textFill>
        </w:rPr>
      </w:pPr>
      <w:bookmarkStart w:id="5" w:name="业务背景与现状痛点"/>
      <w:r>
        <w:rPr>
          <w:color w:val="000000" w:themeColor="text1"/>
          <w14:textFill>
            <w14:solidFill>
              <w14:schemeClr w14:val="tx1"/>
            </w14:solidFill>
          </w14:textFill>
        </w:rPr>
        <w:t xml:space="preserve">1.1.3 </w:t>
      </w:r>
      <w:r>
        <w:rPr>
          <w:rFonts w:hint="eastAsia"/>
          <w:color w:val="000000" w:themeColor="text1"/>
          <w14:textFill>
            <w14:solidFill>
              <w14:schemeClr w14:val="tx1"/>
            </w14:solidFill>
          </w14:textFill>
        </w:rPr>
        <w:t>业务背景与现状痛点</w:t>
      </w:r>
    </w:p>
    <w:p w14:paraId="06459E5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郑州航空港区承担着保障性租赁住房、人才公寓、市场租赁三类住房的运营管理职责，服务对象覆盖新市民、各层次人才及普通租户，业务链条长、参与方多、周期跨度大。在信息化手段不足的情况下，存在以下现实痛点：</w:t>
      </w:r>
    </w:p>
    <w:p w14:paraId="615C508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办事线下化、多头跑</w:t>
      </w:r>
      <w:r>
        <w:rPr>
          <w:rFonts w:hint="eastAsia"/>
          <w:color w:val="000000" w:themeColor="text1"/>
          <w14:textFill>
            <w14:solidFill>
              <w14:schemeClr w14:val="tx1"/>
            </w14:solidFill>
          </w14:textFill>
        </w:rPr>
        <w:t>：资格核验、选房、签约、缴费、退租、开票等环节高度依赖线下与人工，群众办事往返多、周期长；</w:t>
      </w:r>
    </w:p>
    <w:p w14:paraId="7A5C079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资格核验人工化</w:t>
      </w:r>
      <w:r>
        <w:rPr>
          <w:rFonts w:hint="eastAsia"/>
          <w:color w:val="000000" w:themeColor="text1"/>
          <w14:textFill>
            <w14:solidFill>
              <w14:schemeClr w14:val="tx1"/>
            </w14:solidFill>
          </w14:textFill>
        </w:rPr>
        <w:t>：社保、婚姻、学历、住房、既有保租房等资格条件需人工向多部门核对，效率低、易出错、难留痕；</w:t>
      </w:r>
    </w:p>
    <w:p w14:paraId="75B405B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业务规则差异大</w:t>
      </w:r>
      <w:r>
        <w:rPr>
          <w:rFonts w:hint="eastAsia"/>
          <w:color w:val="000000" w:themeColor="text1"/>
          <w14:textFill>
            <w14:solidFill>
              <w14:schemeClr w14:val="tx1"/>
            </w14:solidFill>
          </w14:textFill>
        </w:rPr>
        <w:t>：保租房、人才公寓、市场租赁在准入条件、租金标准、优惠政策、配租方式上各不相同，人工管理难以统一；</w:t>
      </w:r>
    </w:p>
    <w:p w14:paraId="530C9AEA">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资金与合同管理分散</w:t>
      </w:r>
      <w:r>
        <w:rPr>
          <w:rFonts w:hint="eastAsia"/>
          <w:color w:val="000000" w:themeColor="text1"/>
          <w14:textFill>
            <w14:solidFill>
              <w14:schemeClr w14:val="tx1"/>
            </w14:solidFill>
          </w14:textFill>
        </w:rPr>
        <w:t>：押金、租金的收缴、退款、开票缺乏统一台账，合同签署与归档不规范，对账困难；</w:t>
      </w:r>
    </w:p>
    <w:p w14:paraId="1425C95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数据沉淀不足</w:t>
      </w:r>
      <w:r>
        <w:rPr>
          <w:rFonts w:hint="eastAsia"/>
          <w:color w:val="000000" w:themeColor="text1"/>
          <w14:textFill>
            <w14:solidFill>
              <w14:schemeClr w14:val="tx1"/>
            </w14:solidFill>
          </w14:textFill>
        </w:rPr>
        <w:t>：房源、租户、合同、财务数据分散在台账与个人手中，难以形成面向管理决策的统一视图。</w:t>
      </w:r>
    </w:p>
    <w:p w14:paraId="06C7DF8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这些痛点共同指向一个结论：需要一套覆盖”房源—租户—合同—资金”全链条、贯通”移动端—小程序端—公众号端—后台管理端”多渠道、对接港区政务数据的房屋管理系统，并配以长期驻场的专业研发运维团队。</w:t>
      </w:r>
    </w:p>
    <w:bookmarkEnd w:id="5"/>
    <w:p w14:paraId="3CA4C49D">
      <w:pPr>
        <w:pStyle w:val="5"/>
        <w:rPr>
          <w:color w:val="000000" w:themeColor="text1"/>
          <w14:textFill>
            <w14:solidFill>
              <w14:schemeClr w14:val="tx1"/>
            </w14:solidFill>
          </w14:textFill>
        </w:rPr>
      </w:pPr>
      <w:bookmarkStart w:id="6" w:name="现状调研与需求量化分析"/>
      <w:r>
        <w:rPr>
          <w:color w:val="000000" w:themeColor="text1"/>
          <w14:textFill>
            <w14:solidFill>
              <w14:schemeClr w14:val="tx1"/>
            </w14:solidFill>
          </w14:textFill>
        </w:rPr>
        <w:t xml:space="preserve">1.1.4 </w:t>
      </w:r>
      <w:r>
        <w:rPr>
          <w:rFonts w:hint="eastAsia"/>
          <w:color w:val="000000" w:themeColor="text1"/>
          <w14:textFill>
            <w14:solidFill>
              <w14:schemeClr w14:val="tx1"/>
            </w14:solidFill>
          </w14:textFill>
        </w:rPr>
        <w:t>现状调研与需求量化分析</w:t>
      </w:r>
    </w:p>
    <w:p w14:paraId="58980C5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使方案贴合港区实际，我方在需求分析阶段梳理了三类业态的业务量级、办事频次与数据规模，作为容量规划、性能目标与人力投入测算的依据。下表为基于项目背景的业务规模判断（实际以甲方最新数据为准，系统按可弹性扩展设计，不因规模增长受限）：</w:t>
      </w:r>
    </w:p>
    <w:tbl>
      <w:tblPr>
        <w:tblStyle w:val="41"/>
        <w:tblW w:w="5000" w:type="pct"/>
        <w:tblInd w:w="0" w:type="dxa"/>
        <w:tblLayout w:type="fixed"/>
        <w:tblCellMar>
          <w:top w:w="0" w:type="dxa"/>
          <w:left w:w="108" w:type="dxa"/>
          <w:bottom w:w="0" w:type="dxa"/>
          <w:right w:w="108" w:type="dxa"/>
        </w:tblCellMar>
      </w:tblPr>
      <w:tblGrid>
        <w:gridCol w:w="2571"/>
        <w:gridCol w:w="2571"/>
        <w:gridCol w:w="3714"/>
      </w:tblGrid>
      <w:tr w14:paraId="064D9441">
        <w:trPr>
          <w:tblHeader/>
        </w:trPr>
        <w:tc>
          <w:p w14:paraId="3A63B80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业务维度</w:t>
            </w:r>
          </w:p>
        </w:tc>
        <w:tc>
          <w:p w14:paraId="422F5AD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现状特征</w:t>
            </w:r>
          </w:p>
        </w:tc>
        <w:tc>
          <w:p w14:paraId="3D1C9CA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对系统的诉求</w:t>
            </w:r>
          </w:p>
        </w:tc>
      </w:tr>
      <w:tr w14:paraId="5D26B5F2">
        <w:tc>
          <w:p w14:paraId="6320E7C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房源规模</w:t>
            </w:r>
          </w:p>
        </w:tc>
        <w:tc>
          <w:p w14:paraId="433F677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覆盖多个项目、数千套房源，含保租、人才、市场三类</w:t>
            </w:r>
          </w:p>
        </w:tc>
        <w:tc>
          <w:p w14:paraId="06118B4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房源层级化管理、批量维护、状态精确</w:t>
            </w:r>
          </w:p>
        </w:tc>
      </w:tr>
      <w:tr w14:paraId="0098DCCE">
        <w:tc>
          <w:p w14:paraId="180DD0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租户规模</w:t>
            </w:r>
          </w:p>
        </w:tc>
        <w:tc>
          <w:p w14:paraId="38BEF12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面向新市民、多层次人才及普通租户，注册与活跃用户持续增长</w:t>
            </w:r>
          </w:p>
        </w:tc>
        <w:tc>
          <w:p w14:paraId="1924D82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用户体系与郑好办打通、高并发承载</w:t>
            </w:r>
          </w:p>
        </w:tc>
      </w:tr>
      <w:tr w14:paraId="26256181">
        <w:tc>
          <w:p w14:paraId="51F76D0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办事高峰</w:t>
            </w:r>
          </w:p>
        </w:tc>
        <w:tc>
          <w:p w14:paraId="720352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集中配租、集中缴费时段瞬时并发高</w:t>
            </w:r>
          </w:p>
        </w:tc>
        <w:tc>
          <w:p w14:paraId="010C412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关键交易稳定、支付幂等、防超卖</w:t>
            </w:r>
          </w:p>
        </w:tc>
      </w:tr>
      <w:tr w14:paraId="5B4E5A9F">
        <w:tc>
          <w:p w14:paraId="739570C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资金流水</w:t>
            </w:r>
          </w:p>
        </w:tc>
        <w:tc>
          <w:p w14:paraId="1D4D1B4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押金、租金、退款高频发生，需可对账</w:t>
            </w:r>
          </w:p>
        </w:tc>
        <w:tc>
          <w:p w14:paraId="512935D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全程台账、幂等、可追溯</w:t>
            </w:r>
          </w:p>
        </w:tc>
      </w:tr>
      <w:tr w14:paraId="3813AC11">
        <w:tc>
          <w:p w14:paraId="112EC0B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政务核验</w:t>
            </w:r>
          </w:p>
        </w:tc>
        <w:tc>
          <w:p w14:paraId="28B83C6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社保/婚姻/学历/住房等多源核验、频次高</w:t>
            </w:r>
          </w:p>
        </w:tc>
        <w:tc>
          <w:p w14:paraId="15FDE2B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统一核验、容错降级、留痕申诉</w:t>
            </w:r>
          </w:p>
        </w:tc>
      </w:tr>
    </w:tbl>
    <w:p w14:paraId="240FA812">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上述量化分析表明：本系统的核心挑战不在单一功能的实现，而在于”高频办事下的稳定性、资金流转的准确性、多源核验的可靠性”三者的同时满足，这也决定了方案在架构选型、性能设计、运维保障上的侧重。</w:t>
      </w:r>
    </w:p>
    <w:bookmarkEnd w:id="6"/>
    <w:p w14:paraId="4799BDB3">
      <w:pPr>
        <w:pStyle w:val="5"/>
        <w:rPr>
          <w:color w:val="000000" w:themeColor="text1"/>
          <w14:textFill>
            <w14:solidFill>
              <w14:schemeClr w14:val="tx1"/>
            </w14:solidFill>
          </w14:textFill>
        </w:rPr>
      </w:pPr>
      <w:bookmarkStart w:id="7" w:name="需求调研方法与需求确认机制"/>
      <w:r>
        <w:rPr>
          <w:color w:val="000000" w:themeColor="text1"/>
          <w14:textFill>
            <w14:solidFill>
              <w14:schemeClr w14:val="tx1"/>
            </w14:solidFill>
          </w14:textFill>
        </w:rPr>
        <w:t xml:space="preserve">1.1.5 </w:t>
      </w:r>
      <w:r>
        <w:rPr>
          <w:rFonts w:hint="eastAsia"/>
          <w:color w:val="000000" w:themeColor="text1"/>
          <w14:textFill>
            <w14:solidFill>
              <w14:schemeClr w14:val="tx1"/>
            </w14:solidFill>
          </w14:textFill>
        </w:rPr>
        <w:t>需求调研方法与需求确认机制</w:t>
      </w:r>
    </w:p>
    <w:p w14:paraId="7550B38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为确保对招标需求的准确理解，我方在实施初期将采用”文档研读</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现场访谈</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原型确认”三段式需求调研方法：以招标文件第五章采购需求与功能明细（序号1—211）为基线，逐条对照理解；进场后与甲方业务、运营、信息化人员开展分业态访谈，澄清业态规则边界；对关键交互（选房、缴费、退租）以低保真原型与甲方确认，形成经双方签字的《需求规格说明书》作为开发与验收基线。需求变更一律走第三章的变更管理流程，做到有据可查、可追溯。</w:t>
      </w:r>
    </w:p>
    <w:p w14:paraId="312640DC">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这一机制的价值在于：把”招标文件的书面要求”与”甲方的真实业务意图”对齐，避免因理解偏差导致返工，为60日历天开发期的按期交付奠定基础。</w:t>
      </w:r>
    </w:p>
    <w:bookmarkEnd w:id="7"/>
    <w:p w14:paraId="23A04606">
      <w:pPr>
        <w:pStyle w:val="5"/>
        <w:rPr>
          <w:color w:val="000000" w:themeColor="text1"/>
          <w14:textFill>
            <w14:solidFill>
              <w14:schemeClr w14:val="tx1"/>
            </w14:solidFill>
          </w14:textFill>
        </w:rPr>
      </w:pPr>
      <w:bookmarkStart w:id="8" w:name="项目定位"/>
      <w:r>
        <w:rPr>
          <w:color w:val="000000" w:themeColor="text1"/>
          <w14:textFill>
            <w14:solidFill>
              <w14:schemeClr w14:val="tx1"/>
            </w14:solidFill>
          </w14:textFill>
        </w:rPr>
        <w:t xml:space="preserve">1.1.6 </w:t>
      </w:r>
      <w:r>
        <w:rPr>
          <w:rFonts w:hint="eastAsia"/>
          <w:color w:val="000000" w:themeColor="text1"/>
          <w14:textFill>
            <w14:solidFill>
              <w14:schemeClr w14:val="tx1"/>
            </w14:solidFill>
          </w14:textFill>
        </w:rPr>
        <w:t>项目定位</w:t>
      </w:r>
    </w:p>
    <w:p w14:paraId="747C6DE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综合上述理解，本项目定位为：</w:t>
      </w:r>
      <w:r>
        <w:rPr>
          <w:rFonts w:hint="eastAsia"/>
          <w:b/>
          <w:bCs/>
          <w:color w:val="000000" w:themeColor="text1"/>
          <w14:textFill>
            <w14:solidFill>
              <w14:schemeClr w14:val="tx1"/>
            </w14:solidFill>
          </w14:textFill>
        </w:rPr>
        <w:t>面向郑州航空港区保租房、人才公寓、市场租赁三类业态的一体化房屋管理系统，采用驻场研发服务模式建设与运营，对内支撑管理机构精细化运营、对外为群众提供全流程线上办事服务，并通过与郑好办及港区政务数据的对接，实现”资格自动核验、业务掌上办理、资金安全可溯、管理数据驱动”的建设目标。</w:t>
      </w:r>
    </w:p>
    <w:bookmarkEnd w:id="2"/>
    <w:bookmarkEnd w:id="8"/>
    <w:p w14:paraId="6EA60002">
      <w:pPr>
        <w:pStyle w:val="4"/>
        <w:rPr>
          <w:color w:val="000000" w:themeColor="text1"/>
          <w14:textFill>
            <w14:solidFill>
              <w14:schemeClr w14:val="tx1"/>
            </w14:solidFill>
          </w14:textFill>
        </w:rPr>
      </w:pPr>
      <w:bookmarkStart w:id="9" w:name="建设目标与总体蓝图"/>
      <w:r>
        <w:rPr>
          <w:color w:val="000000" w:themeColor="text1"/>
          <w14:textFill>
            <w14:solidFill>
              <w14:schemeClr w14:val="tx1"/>
            </w14:solidFill>
          </w14:textFill>
        </w:rPr>
        <w:t xml:space="preserve">1.2 </w:t>
      </w:r>
      <w:r>
        <w:rPr>
          <w:rFonts w:hint="eastAsia"/>
          <w:color w:val="000000" w:themeColor="text1"/>
          <w14:textFill>
            <w14:solidFill>
              <w14:schemeClr w14:val="tx1"/>
            </w14:solidFill>
          </w14:textFill>
        </w:rPr>
        <w:t>建设目标与总体蓝图</w:t>
      </w:r>
    </w:p>
    <w:p w14:paraId="1BC4B9A2">
      <w:pPr>
        <w:pStyle w:val="5"/>
        <w:rPr>
          <w:color w:val="000000" w:themeColor="text1"/>
          <w14:textFill>
            <w14:solidFill>
              <w14:schemeClr w14:val="tx1"/>
            </w14:solidFill>
          </w14:textFill>
        </w:rPr>
      </w:pPr>
      <w:bookmarkStart w:id="10" w:name="总体建设目标"/>
      <w:r>
        <w:rPr>
          <w:color w:val="000000" w:themeColor="text1"/>
          <w14:textFill>
            <w14:solidFill>
              <w14:schemeClr w14:val="tx1"/>
            </w14:solidFill>
          </w14:textFill>
        </w:rPr>
        <w:t xml:space="preserve">1.2.1 </w:t>
      </w:r>
      <w:r>
        <w:rPr>
          <w:rFonts w:hint="eastAsia"/>
          <w:color w:val="000000" w:themeColor="text1"/>
          <w14:textFill>
            <w14:solidFill>
              <w14:schemeClr w14:val="tx1"/>
            </w14:solidFill>
          </w14:textFill>
        </w:rPr>
        <w:t>总体建设目标</w:t>
      </w:r>
    </w:p>
    <w:p w14:paraId="7FA61D1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群众端”掌上办”</w:t>
      </w:r>
      <w:r>
        <w:rPr>
          <w:rFonts w:hint="eastAsia"/>
          <w:color w:val="000000" w:themeColor="text1"/>
          <w14:textFill>
            <w14:solidFill>
              <w14:schemeClr w14:val="tx1"/>
            </w14:solidFill>
          </w14:textFill>
        </w:rPr>
        <w:t>：租户从找房、看房、资格核验、选房、签约、缴费、入住、续租、退租到开票，全流程在移动端/小程序/公众号完成，最大限度减少跑动。</w:t>
      </w:r>
    </w:p>
    <w:p w14:paraId="6B5A175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管理端”一站管”</w:t>
      </w:r>
      <w:r>
        <w:rPr>
          <w:rFonts w:hint="eastAsia"/>
          <w:color w:val="000000" w:themeColor="text1"/>
          <w14:textFill>
            <w14:solidFill>
              <w14:schemeClr w14:val="tx1"/>
            </w14:solidFill>
          </w14:textFill>
        </w:rPr>
        <w:t>：管理人员在后台统一管理房源、合同、账单、优惠券、消息、运营、支付与数据看板，实现三类业态集中运营、分类施策。</w:t>
      </w:r>
    </w:p>
    <w:p w14:paraId="06C734C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数据”自动核”</w:t>
      </w:r>
      <w:r>
        <w:rPr>
          <w:rFonts w:hint="eastAsia"/>
          <w:color w:val="000000" w:themeColor="text1"/>
          <w14:textFill>
            <w14:solidFill>
              <w14:schemeClr w14:val="tx1"/>
            </w14:solidFill>
          </w14:textFill>
        </w:rPr>
        <w:t>：通过郑好办用户体系与港区政务数据接口，实现社保、婚姻、学历、住房等资格条件的自动核验与申诉闭环。</w:t>
      </w:r>
    </w:p>
    <w:p w14:paraId="2C18AEB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资金”安全溯”</w:t>
      </w:r>
      <w:r>
        <w:rPr>
          <w:rFonts w:hint="eastAsia"/>
          <w:color w:val="000000" w:themeColor="text1"/>
          <w14:textFill>
            <w14:solidFill>
              <w14:schemeClr w14:val="tx1"/>
            </w14:solidFill>
          </w14:textFill>
        </w:rPr>
        <w:t>：押金、租金收缴与退款对接港区支付接口，全程台账化、可对账、可追溯。</w:t>
      </w:r>
    </w:p>
    <w:p w14:paraId="72794EC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系统”长稳跑”</w:t>
      </w:r>
      <w:r>
        <w:rPr>
          <w:rFonts w:hint="eastAsia"/>
          <w:color w:val="000000" w:themeColor="text1"/>
          <w14:textFill>
            <w14:solidFill>
              <w14:schemeClr w14:val="tx1"/>
            </w14:solidFill>
          </w14:textFill>
        </w:rPr>
        <w:t>：以六年免费运维为保障，确保系统长期稳定、安全合规、持续演进。</w:t>
      </w:r>
    </w:p>
    <w:bookmarkEnd w:id="10"/>
    <w:p w14:paraId="282E0D81">
      <w:pPr>
        <w:pStyle w:val="5"/>
        <w:rPr>
          <w:color w:val="000000" w:themeColor="text1"/>
          <w14:textFill>
            <w14:solidFill>
              <w14:schemeClr w14:val="tx1"/>
            </w14:solidFill>
          </w14:textFill>
        </w:rPr>
      </w:pPr>
      <w:bookmarkStart w:id="11" w:name="总体蓝图分层描述"/>
      <w:r>
        <w:rPr>
          <w:color w:val="000000" w:themeColor="text1"/>
          <w14:textFill>
            <w14:solidFill>
              <w14:schemeClr w14:val="tx1"/>
            </w14:solidFill>
          </w14:textFill>
        </w:rPr>
        <w:t xml:space="preserve">1.2.2 </w:t>
      </w:r>
      <w:r>
        <w:rPr>
          <w:rFonts w:hint="eastAsia"/>
          <w:color w:val="000000" w:themeColor="text1"/>
          <w14:textFill>
            <w14:solidFill>
              <w14:schemeClr w14:val="tx1"/>
            </w14:solidFill>
          </w14:textFill>
        </w:rPr>
        <w:t>总体蓝图（分层描述）</w:t>
      </w:r>
    </w:p>
    <w:p w14:paraId="30443E7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本系统采用”四端接入、一体后台、双向对接、数据贯通”的总体蓝图，自下而上分为五个层次：</w:t>
      </w:r>
    </w:p>
    <w:p w14:paraId="0BE819C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接入层</w:t>
      </w:r>
      <w:r>
        <w:rPr>
          <w:rFonts w:hint="eastAsia"/>
          <w:color w:val="000000" w:themeColor="text1"/>
          <w14:textFill>
            <w14:solidFill>
              <w14:schemeClr w14:val="tx1"/>
            </w14:solidFill>
          </w14:textFill>
        </w:rPr>
        <w:t>：移动端（H5）、微信小程序端、微信公众号端面向群众；后台管理端面向管理人员。四端共享统一的业务服务与数据。</w:t>
      </w:r>
    </w:p>
    <w:p w14:paraId="49938C9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应用层</w:t>
      </w:r>
      <w:r>
        <w:rPr>
          <w:rFonts w:hint="eastAsia"/>
          <w:color w:val="000000" w:themeColor="text1"/>
          <w14:textFill>
            <w14:solidFill>
              <w14:schemeClr w14:val="tx1"/>
            </w14:solidFill>
          </w14:textFill>
        </w:rPr>
        <w:t>：以八大业务域（房源管理、合同管理、优惠券管理、消息管理、个人中心、运营中心、支付管理、数据看板）承载全部业务功能。</w:t>
      </w:r>
    </w:p>
    <w:p w14:paraId="1CE84B0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服务层</w:t>
      </w:r>
      <w:r>
        <w:rPr>
          <w:rFonts w:hint="eastAsia"/>
          <w:color w:val="000000" w:themeColor="text1"/>
          <w14:textFill>
            <w14:solidFill>
              <w14:schemeClr w14:val="tx1"/>
            </w14:solidFill>
          </w14:textFill>
        </w:rPr>
        <w:t>：以统一的业务服务、权限服务、支付服务、签约服务、核验服务、消息服务等构成后端能力底座。</w:t>
      </w:r>
    </w:p>
    <w:p w14:paraId="2F50F36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对接层</w:t>
      </w:r>
      <w:r>
        <w:rPr>
          <w:rFonts w:hint="eastAsia"/>
          <w:color w:val="000000" w:themeColor="text1"/>
          <w14:textFill>
            <w14:solidFill>
              <w14:schemeClr w14:val="tx1"/>
            </w14:solidFill>
          </w14:textFill>
        </w:rPr>
        <w:t>：对上联通郑好办用户体系与港区政务数据接口、港区支付接口、电子签章、人脸识别等外部能力。</w:t>
      </w:r>
    </w:p>
    <w:p w14:paraId="2AEF45F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数据层</w:t>
      </w:r>
      <w:r>
        <w:rPr>
          <w:rFonts w:hint="eastAsia"/>
          <w:color w:val="000000" w:themeColor="text1"/>
          <w14:textFill>
            <w14:solidFill>
              <w14:schemeClr w14:val="tx1"/>
            </w14:solidFill>
          </w14:textFill>
        </w:rPr>
        <w:t>：以关系型数据库为核心，配合缓存与文件存储，沉淀房源、租户、合同、资金、运营等全量数据，向数据看板输出决策视图。</w:t>
      </w:r>
    </w:p>
    <w:p w14:paraId="656E4129">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28881070"/>
            <wp:effectExtent l="0" t="0" r="0" b="0"/>
            <wp:docPr id="19" name="Picture" descr="图1-1 系统总体蓝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图1-1 系统总体蓝图"/>
                    <pic:cNvPicPr>
                      <a:picLocks noChangeAspect="1" noChangeArrowheads="1"/>
                    </pic:cNvPicPr>
                  </pic:nvPicPr>
                  <pic:blipFill>
                    <a:blip r:embed="rId5"/>
                    <a:stretch>
                      <a:fillRect/>
                    </a:stretch>
                  </pic:blipFill>
                  <pic:spPr>
                    <a:xfrm>
                      <a:off x="0" y="0"/>
                      <a:ext cx="5334000" cy="28881102"/>
                    </a:xfrm>
                    <a:prstGeom prst="rect">
                      <a:avLst/>
                    </a:prstGeom>
                    <a:noFill/>
                    <a:ln w="9525">
                      <a:noFill/>
                    </a:ln>
                  </pic:spPr>
                </pic:pic>
              </a:graphicData>
            </a:graphic>
          </wp:inline>
        </w:drawing>
      </w:r>
    </w:p>
    <w:p w14:paraId="5F4A6060">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图1-1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系统总体蓝图</w:t>
      </w:r>
    </w:p>
    <w:p w14:paraId="4EA36018">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图1-1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系统总体蓝图</w:t>
      </w:r>
    </w:p>
    <w:bookmarkEnd w:id="9"/>
    <w:bookmarkEnd w:id="11"/>
    <w:p w14:paraId="3D435CAB">
      <w:pPr>
        <w:pStyle w:val="4"/>
        <w:rPr>
          <w:color w:val="000000" w:themeColor="text1"/>
          <w14:textFill>
            <w14:solidFill>
              <w14:schemeClr w14:val="tx1"/>
            </w14:solidFill>
          </w14:textFill>
        </w:rPr>
      </w:pPr>
      <w:bookmarkStart w:id="12" w:name="建设内容全景以租赁全生命周期为主轴"/>
      <w:r>
        <w:rPr>
          <w:color w:val="000000" w:themeColor="text1"/>
          <w14:textFill>
            <w14:solidFill>
              <w14:schemeClr w14:val="tx1"/>
            </w14:solidFill>
          </w14:textFill>
        </w:rPr>
        <w:t xml:space="preserve">1.3 </w:t>
      </w:r>
      <w:r>
        <w:rPr>
          <w:rFonts w:hint="eastAsia"/>
          <w:color w:val="000000" w:themeColor="text1"/>
          <w14:textFill>
            <w14:solidFill>
              <w14:schemeClr w14:val="tx1"/>
            </w14:solidFill>
          </w14:textFill>
        </w:rPr>
        <w:t>建设内容全景（以租赁全生命周期为主轴）</w:t>
      </w:r>
    </w:p>
    <w:p w14:paraId="26DA2EE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区别于按”端”或”模块”简单罗列，本方案从</w:t>
      </w:r>
      <w:r>
        <w:rPr>
          <w:rFonts w:hint="eastAsia"/>
          <w:b/>
          <w:bCs/>
          <w:color w:val="000000" w:themeColor="text1"/>
          <w14:textFill>
            <w14:solidFill>
              <w14:schemeClr w14:val="tx1"/>
            </w14:solidFill>
          </w14:textFill>
        </w:rPr>
        <w:t>租户在系统中经历的完整生命周期</w:t>
      </w:r>
      <w:r>
        <w:rPr>
          <w:rFonts w:hint="eastAsia"/>
          <w:color w:val="000000" w:themeColor="text1"/>
          <w14:textFill>
            <w14:solidFill>
              <w14:schemeClr w14:val="tx1"/>
            </w14:solidFill>
          </w14:textFill>
        </w:rPr>
        <w:t>出发梳理建设内容，使功能覆盖与真实业务动线一一对应。</w:t>
      </w:r>
    </w:p>
    <w:p w14:paraId="27D13B47">
      <w:pPr>
        <w:pStyle w:val="5"/>
        <w:rPr>
          <w:color w:val="000000" w:themeColor="text1"/>
          <w14:textFill>
            <w14:solidFill>
              <w14:schemeClr w14:val="tx1"/>
            </w14:solidFill>
          </w14:textFill>
        </w:rPr>
      </w:pPr>
      <w:bookmarkStart w:id="13" w:name="生命周期主线找房-核验-选房-签约-缴费-入住-在租-续租退租-开票"/>
      <w:r>
        <w:rPr>
          <w:color w:val="000000" w:themeColor="text1"/>
          <w14:textFill>
            <w14:solidFill>
              <w14:schemeClr w14:val="tx1"/>
            </w14:solidFill>
          </w14:textFill>
        </w:rPr>
        <w:t xml:space="preserve">1.3.1 </w:t>
      </w:r>
      <w:r>
        <w:rPr>
          <w:rFonts w:hint="eastAsia"/>
          <w:color w:val="000000" w:themeColor="text1"/>
          <w14:textFill>
            <w14:solidFill>
              <w14:schemeClr w14:val="tx1"/>
            </w14:solidFill>
          </w14:textFill>
        </w:rPr>
        <w:t>生命周期主线：找房</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核验</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选房</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签约</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缴费</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入住</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在租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续租/退租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开票</w:t>
      </w:r>
    </w:p>
    <w:p w14:paraId="5379F9E6">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768350"/>
            <wp:effectExtent l="0" t="0" r="0" b="0"/>
            <wp:docPr id="24" name="Picture" descr="图1-2 租赁全生命周期主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图1-2 租赁全生命周期主线"/>
                    <pic:cNvPicPr>
                      <a:picLocks noChangeAspect="1" noChangeArrowheads="1"/>
                    </pic:cNvPicPr>
                  </pic:nvPicPr>
                  <pic:blipFill>
                    <a:blip r:embed="rId6"/>
                    <a:stretch>
                      <a:fillRect/>
                    </a:stretch>
                  </pic:blipFill>
                  <pic:spPr>
                    <a:xfrm>
                      <a:off x="0" y="0"/>
                      <a:ext cx="5334000" cy="768803"/>
                    </a:xfrm>
                    <a:prstGeom prst="rect">
                      <a:avLst/>
                    </a:prstGeom>
                    <a:noFill/>
                    <a:ln w="9525">
                      <a:noFill/>
                    </a:ln>
                  </pic:spPr>
                </pic:pic>
              </a:graphicData>
            </a:graphic>
          </wp:inline>
        </w:drawing>
      </w:r>
    </w:p>
    <w:p w14:paraId="021A8291">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图1-2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租赁全生命周期主线</w:t>
      </w:r>
    </w:p>
    <w:p w14:paraId="1D8415E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图1-2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租赁全生命周期主线</w:t>
      </w:r>
    </w:p>
    <w:tbl>
      <w:tblPr>
        <w:tblStyle w:val="41"/>
        <w:tblW w:w="5000" w:type="pct"/>
        <w:tblInd w:w="0" w:type="dxa"/>
        <w:tblLayout w:type="fixed"/>
        <w:tblCellMar>
          <w:top w:w="0" w:type="dxa"/>
          <w:left w:w="108" w:type="dxa"/>
          <w:bottom w:w="0" w:type="dxa"/>
          <w:right w:w="108" w:type="dxa"/>
        </w:tblCellMar>
      </w:tblPr>
      <w:tblGrid>
        <w:gridCol w:w="1181"/>
        <w:gridCol w:w="2952"/>
        <w:gridCol w:w="2952"/>
        <w:gridCol w:w="1771"/>
      </w:tblGrid>
      <w:tr w14:paraId="718C9D7C">
        <w:trPr>
          <w:tblHeader/>
        </w:trPr>
        <w:tc>
          <w:p w14:paraId="0851FD3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阶段</w:t>
            </w:r>
          </w:p>
        </w:tc>
        <w:tc>
          <w:p w14:paraId="68CA3E6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群众端建设内容</w:t>
            </w:r>
          </w:p>
        </w:tc>
        <w:tc>
          <w:p w14:paraId="19B0EA4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管理端支撑内容</w:t>
            </w:r>
          </w:p>
        </w:tc>
        <w:tc>
          <w:p w14:paraId="2F384C2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关键对接</w:t>
            </w:r>
          </w:p>
        </w:tc>
      </w:tr>
      <w:tr w14:paraId="6B37508D">
        <w:tc>
          <w:p w14:paraId="2166016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找房</w:t>
            </w:r>
          </w:p>
        </w:tc>
        <w:tc>
          <w:p w14:paraId="7A4CE1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首页金刚位、搜索、地图找房、项目/房源列表与详情、VR看房</w:t>
            </w:r>
          </w:p>
        </w:tc>
        <w:tc>
          <w:p w14:paraId="399B4C2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项目/楼栋/单元/房源维护、房源上下架、地图点位维护</w:t>
            </w:r>
          </w:p>
        </w:tc>
        <w:tc>
          <w:p w14:paraId="5F67C99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地图服务</w:t>
            </w:r>
          </w:p>
        </w:tc>
      </w:tr>
      <w:tr w14:paraId="79785907">
        <w:tc>
          <w:p w14:paraId="5C66E06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核验</w:t>
            </w:r>
          </w:p>
        </w:tc>
        <w:tc>
          <w:p w14:paraId="252616C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资格自动校验、不符项展示、在线申诉、申诉记录</w:t>
            </w:r>
          </w:p>
        </w:tc>
        <w:tc>
          <w:p w14:paraId="09D6BC2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资格规则配置、申诉审批</w:t>
            </w:r>
          </w:p>
        </w:tc>
        <w:tc>
          <w:p w14:paraId="557DA1D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郑好办、政务数据（社保/婚姻/学历/住房/保租房）</w:t>
            </w:r>
          </w:p>
        </w:tc>
      </w:tr>
      <w:tr w14:paraId="70CA381D">
        <w:tc>
          <w:p w14:paraId="5E6443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选房</w:t>
            </w:r>
          </w:p>
        </w:tc>
        <w:tc>
          <w:p w14:paraId="3CFF2BC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承诺书签署、房源筛选、选定房源、预约看房、人脸识别</w:t>
            </w:r>
          </w:p>
        </w:tc>
        <w:tc>
          <w:p w14:paraId="19D5C51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选房规则、承诺书模板、看房预约管理</w:t>
            </w:r>
          </w:p>
        </w:tc>
        <w:tc>
          <w:p w14:paraId="6E94D0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人脸识别</w:t>
            </w:r>
          </w:p>
        </w:tc>
      </w:tr>
      <w:tr w14:paraId="547D4BE1">
        <w:tc>
          <w:p w14:paraId="3C62225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签约</w:t>
            </w:r>
          </w:p>
        </w:tc>
        <w:tc>
          <w:p w14:paraId="621AD48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在线签署合同、合同下载</w:t>
            </w:r>
          </w:p>
        </w:tc>
        <w:tc>
          <w:p w14:paraId="3D54995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合同模板、签署监控、合同归档</w:t>
            </w:r>
          </w:p>
        </w:tc>
        <w:tc>
          <w:p w14:paraId="43BA65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电子签章</w:t>
            </w:r>
          </w:p>
        </w:tc>
      </w:tr>
      <w:tr w14:paraId="48E7CC42">
        <w:tc>
          <w:p w14:paraId="5C8A7E2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缴费</w:t>
            </w:r>
          </w:p>
        </w:tc>
        <w:tc>
          <w:p w14:paraId="466C7FE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押金/租金在线缴纳、优惠计算、账期选择</w:t>
            </w:r>
          </w:p>
        </w:tc>
        <w:tc>
          <w:p w14:paraId="7990665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账单生成、优惠券核销、缴费台账、对账</w:t>
            </w:r>
          </w:p>
        </w:tc>
        <w:tc>
          <w:p w14:paraId="6D62A60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港区支付</w:t>
            </w:r>
          </w:p>
        </w:tc>
      </w:tr>
      <w:tr w14:paraId="39AD2AA6">
        <w:tc>
          <w:p w14:paraId="734D86A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入住</w:t>
            </w:r>
          </w:p>
        </w:tc>
        <w:tc>
          <w:p w14:paraId="39781DC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入住申请、物品核对、签字确认、入住详情</w:t>
            </w:r>
          </w:p>
        </w:tc>
        <w:tc>
          <w:p w14:paraId="31729B3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入住审批、物品清单、入住确认</w:t>
            </w:r>
          </w:p>
        </w:tc>
        <w:tc>
          <w:p w14:paraId="3F8DCFCE">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w:t>
            </w:r>
          </w:p>
        </w:tc>
      </w:tr>
      <w:tr w14:paraId="3E0EF175">
        <w:tc>
          <w:p w14:paraId="3A3BA86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在租</w:t>
            </w:r>
          </w:p>
        </w:tc>
        <w:tc>
          <w:p w14:paraId="45F3677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我的合同、我的房源、账单、消息、优惠券、投诉/保洁/搬家/报修服务</w:t>
            </w:r>
          </w:p>
        </w:tc>
        <w:tc>
          <w:p w14:paraId="0B54599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合同台账、账单管理、服务工单、消息推送</w:t>
            </w:r>
          </w:p>
        </w:tc>
        <w:tc>
          <w:p w14:paraId="5CD8097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港区支付</w:t>
            </w:r>
          </w:p>
        </w:tc>
      </w:tr>
      <w:tr w14:paraId="79025829">
        <w:tc>
          <w:p w14:paraId="46E4A5D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续租/退租</w:t>
            </w:r>
          </w:p>
        </w:tc>
        <w:tc>
          <w:p w14:paraId="515BA03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续租校验、续租签约、退租申请、退租确认与退费、签字</w:t>
            </w:r>
          </w:p>
        </w:tc>
        <w:tc>
          <w:p w14:paraId="576B255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续租审批、退租审批、退款核算与执行</w:t>
            </w:r>
          </w:p>
        </w:tc>
        <w:tc>
          <w:p w14:paraId="566F28A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电子签章、港区支付</w:t>
            </w:r>
          </w:p>
        </w:tc>
      </w:tr>
      <w:tr w14:paraId="6EDF1EC0">
        <w:tc>
          <w:p w14:paraId="2B31573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开票</w:t>
            </w:r>
          </w:p>
        </w:tc>
        <w:tc>
          <w:p w14:paraId="4BFD263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申请开票、账期选择、发票预览与下载</w:t>
            </w:r>
          </w:p>
        </w:tc>
        <w:tc>
          <w:p w14:paraId="0F2FF25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开票管理</w:t>
            </w:r>
          </w:p>
        </w:tc>
        <w:tc>
          <w:p w14:paraId="2C493C3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开票/发票服务</w:t>
            </w:r>
          </w:p>
        </w:tc>
      </w:tr>
      <w:bookmarkEnd w:id="13"/>
    </w:tbl>
    <w:p w14:paraId="6021CE40">
      <w:pPr>
        <w:pStyle w:val="5"/>
        <w:rPr>
          <w:color w:val="000000" w:themeColor="text1"/>
          <w14:textFill>
            <w14:solidFill>
              <w14:schemeClr w14:val="tx1"/>
            </w14:solidFill>
          </w14:textFill>
        </w:rPr>
      </w:pPr>
      <w:bookmarkStart w:id="14" w:name="业态差异叠加三类业态在主线上的差异化"/>
      <w:r>
        <w:rPr>
          <w:color w:val="000000" w:themeColor="text1"/>
          <w14:textFill>
            <w14:solidFill>
              <w14:schemeClr w14:val="tx1"/>
            </w14:solidFill>
          </w14:textFill>
        </w:rPr>
        <w:t xml:space="preserve">1.3.2 </w:t>
      </w:r>
      <w:r>
        <w:rPr>
          <w:rFonts w:hint="eastAsia"/>
          <w:color w:val="000000" w:themeColor="text1"/>
          <w14:textFill>
            <w14:solidFill>
              <w14:schemeClr w14:val="tx1"/>
            </w14:solidFill>
          </w14:textFill>
        </w:rPr>
        <w:t>业态差异叠加：三类业态在主线上的差异化</w:t>
      </w:r>
    </w:p>
    <w:p w14:paraId="6F4C773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在统一生命周期主线之上，三类业态叠加差异化规则：</w:t>
      </w:r>
    </w:p>
    <w:p w14:paraId="0B02F6A5">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2231390"/>
            <wp:effectExtent l="0" t="0" r="0" b="0"/>
            <wp:docPr id="28" name="Picture" descr="图1-3 三类业态差异化承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1-3 三类业态差异化承载"/>
                    <pic:cNvPicPr>
                      <a:picLocks noChangeAspect="1" noChangeArrowheads="1"/>
                    </pic:cNvPicPr>
                  </pic:nvPicPr>
                  <pic:blipFill>
                    <a:blip r:embed="rId7"/>
                    <a:stretch>
                      <a:fillRect/>
                    </a:stretch>
                  </pic:blipFill>
                  <pic:spPr>
                    <a:xfrm>
                      <a:off x="0" y="0"/>
                      <a:ext cx="5334000" cy="2231571"/>
                    </a:xfrm>
                    <a:prstGeom prst="rect">
                      <a:avLst/>
                    </a:prstGeom>
                    <a:noFill/>
                    <a:ln w="9525">
                      <a:noFill/>
                    </a:ln>
                  </pic:spPr>
                </pic:pic>
              </a:graphicData>
            </a:graphic>
          </wp:inline>
        </w:drawing>
      </w:r>
    </w:p>
    <w:p w14:paraId="7CEFC0F1">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图1-3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三类业态差异化承载</w:t>
      </w:r>
    </w:p>
    <w:p w14:paraId="2CDD308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图1-3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三类业态差异化承载</w:t>
      </w:r>
    </w:p>
    <w:p w14:paraId="3BEE376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保租房</w:t>
      </w:r>
      <w:r>
        <w:rPr>
          <w:rFonts w:hint="eastAsia"/>
          <w:color w:val="000000" w:themeColor="text1"/>
          <w14:textFill>
            <w14:solidFill>
              <w14:schemeClr w14:val="tx1"/>
            </w14:solidFill>
          </w14:textFill>
        </w:rPr>
        <w:t>：强调准入资格核验（社保、住房等）、租金政策优惠、资格申诉闭环；</w:t>
      </w:r>
    </w:p>
    <w:p w14:paraId="02AA949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人才公寓</w:t>
      </w:r>
      <w:r>
        <w:rPr>
          <w:rFonts w:hint="eastAsia"/>
          <w:color w:val="000000" w:themeColor="text1"/>
          <w14:textFill>
            <w14:solidFill>
              <w14:schemeClr w14:val="tx1"/>
            </w14:solidFill>
          </w14:textFill>
        </w:rPr>
        <w:t>：强调人才资格与层次核验、“一人一套”约束、租金按人才层次与户型分档、人才家园信息展示；</w:t>
      </w:r>
    </w:p>
    <w:p w14:paraId="33511D4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市场租赁</w:t>
      </w:r>
      <w:r>
        <w:rPr>
          <w:rFonts w:hint="eastAsia"/>
          <w:color w:val="000000" w:themeColor="text1"/>
          <w14:textFill>
            <w14:solidFill>
              <w14:schemeClr w14:val="tx1"/>
            </w14:solidFill>
          </w14:textFill>
        </w:rPr>
        <w:t>：准入相对宽松，强调房源展示、预约看房、合同倒计时提醒等市场化运营特性。</w:t>
      </w:r>
    </w:p>
    <w:p w14:paraId="2F02805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系统通过”统一流程引擎</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业态规则参数化”的方式承载差异，既保证群众端体验一致，又满足三类业态各自的管理要求。</w:t>
      </w:r>
    </w:p>
    <w:bookmarkEnd w:id="14"/>
    <w:p w14:paraId="5AFDD353">
      <w:pPr>
        <w:pStyle w:val="5"/>
        <w:rPr>
          <w:color w:val="000000" w:themeColor="text1"/>
          <w14:textFill>
            <w14:solidFill>
              <w14:schemeClr w14:val="tx1"/>
            </w14:solidFill>
          </w14:textFill>
        </w:rPr>
      </w:pPr>
      <w:bookmarkStart w:id="15" w:name="增值服务与企业客户"/>
      <w:r>
        <w:rPr>
          <w:color w:val="000000" w:themeColor="text1"/>
          <w14:textFill>
            <w14:solidFill>
              <w14:schemeClr w14:val="tx1"/>
            </w14:solidFill>
          </w14:textFill>
        </w:rPr>
        <w:t xml:space="preserve">1.3.3 </w:t>
      </w:r>
      <w:r>
        <w:rPr>
          <w:rFonts w:hint="eastAsia"/>
          <w:color w:val="000000" w:themeColor="text1"/>
          <w14:textFill>
            <w14:solidFill>
              <w14:schemeClr w14:val="tx1"/>
            </w14:solidFill>
          </w14:textFill>
        </w:rPr>
        <w:t>增值服务与企业客户</w:t>
      </w:r>
    </w:p>
    <w:p w14:paraId="4A05EC7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除个人租赁主线外，系统还建设：</w:t>
      </w:r>
    </w:p>
    <w:p w14:paraId="5C4EBC1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生活服务</w:t>
      </w:r>
      <w:r>
        <w:rPr>
          <w:rFonts w:hint="eastAsia"/>
          <w:color w:val="000000" w:themeColor="text1"/>
          <w14:textFill>
            <w14:solidFill>
              <w14:schemeClr w14:val="tx1"/>
            </w14:solidFill>
          </w14:textFill>
        </w:rPr>
        <w:t>：投诉建议、保洁订单、搬家订单、物业报修等生活服务的下单、记录、评价闭环；</w:t>
      </w:r>
    </w:p>
    <w:p w14:paraId="74A3542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企业客户</w:t>
      </w:r>
      <w:r>
        <w:rPr>
          <w:rFonts w:hint="eastAsia"/>
          <w:color w:val="000000" w:themeColor="text1"/>
          <w14:textFill>
            <w14:solidFill>
              <w14:schemeClr w14:val="tx1"/>
            </w14:solidFill>
          </w14:textFill>
        </w:rPr>
        <w:t>：面向集中配租的企业客户，提供在线缴费、批量入住办理（上传入住人员名单）、退租办理、合同备案、代购补贴申请等功能。</w:t>
      </w:r>
    </w:p>
    <w:bookmarkEnd w:id="15"/>
    <w:p w14:paraId="459A18A9">
      <w:pPr>
        <w:pStyle w:val="5"/>
        <w:rPr>
          <w:color w:val="000000" w:themeColor="text1"/>
          <w14:textFill>
            <w14:solidFill>
              <w14:schemeClr w14:val="tx1"/>
            </w14:solidFill>
          </w14:textFill>
        </w:rPr>
      </w:pPr>
      <w:bookmarkStart w:id="16" w:name="后台管理与数据看板"/>
      <w:r>
        <w:rPr>
          <w:color w:val="000000" w:themeColor="text1"/>
          <w14:textFill>
            <w14:solidFill>
              <w14:schemeClr w14:val="tx1"/>
            </w14:solidFill>
          </w14:textFill>
        </w:rPr>
        <w:t xml:space="preserve">1.3.4 </w:t>
      </w:r>
      <w:r>
        <w:rPr>
          <w:rFonts w:hint="eastAsia"/>
          <w:color w:val="000000" w:themeColor="text1"/>
          <w14:textFill>
            <w14:solidFill>
              <w14:schemeClr w14:val="tx1"/>
            </w14:solidFill>
          </w14:textFill>
        </w:rPr>
        <w:t>后台管理与数据看板</w:t>
      </w:r>
    </w:p>
    <w:p w14:paraId="090F352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建设登录、首页数据概览、房源管理、合同管理、账单/支付管理、优惠券管理、消息管理、运营中心、系统管理及数据看板，形成对全部前端业务的统一管控与数据沉淀，数据看板围绕财务、房源、用户转化等维度输出管理视图。</w:t>
      </w:r>
    </w:p>
    <w:bookmarkEnd w:id="16"/>
    <w:p w14:paraId="07244743">
      <w:pPr>
        <w:pStyle w:val="5"/>
        <w:rPr>
          <w:color w:val="000000" w:themeColor="text1"/>
          <w14:textFill>
            <w14:solidFill>
              <w14:schemeClr w14:val="tx1"/>
            </w14:solidFill>
          </w14:textFill>
        </w:rPr>
      </w:pPr>
      <w:bookmarkStart w:id="17" w:name="系统对接数据迁移与培训"/>
      <w:r>
        <w:rPr>
          <w:color w:val="000000" w:themeColor="text1"/>
          <w14:textFill>
            <w14:solidFill>
              <w14:schemeClr w14:val="tx1"/>
            </w14:solidFill>
          </w14:textFill>
        </w:rPr>
        <w:t xml:space="preserve">1.3.5 </w:t>
      </w:r>
      <w:r>
        <w:rPr>
          <w:rFonts w:hint="eastAsia"/>
          <w:color w:val="000000" w:themeColor="text1"/>
          <w14:textFill>
            <w14:solidFill>
              <w14:schemeClr w14:val="tx1"/>
            </w14:solidFill>
          </w14:textFill>
        </w:rPr>
        <w:t>系统对接、数据迁移与培训</w:t>
      </w:r>
    </w:p>
    <w:p w14:paraId="396BFBC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系统对接</w:t>
      </w:r>
      <w:r>
        <w:rPr>
          <w:rFonts w:hint="eastAsia"/>
          <w:color w:val="000000" w:themeColor="text1"/>
          <w14:textFill>
            <w14:solidFill>
              <w14:schemeClr w14:val="tx1"/>
            </w14:solidFill>
          </w14:textFill>
        </w:rPr>
        <w:t>：郑好办用户体系、港区政务数据接口、港区支付接口、电子签章、人脸识别、地图服务、开票服务；</w:t>
      </w:r>
    </w:p>
    <w:p w14:paraId="231DD2C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数据迁移</w:t>
      </w:r>
      <w:r>
        <w:rPr>
          <w:rFonts w:hint="eastAsia"/>
          <w:color w:val="000000" w:themeColor="text1"/>
          <w14:textFill>
            <w14:solidFill>
              <w14:schemeClr w14:val="tx1"/>
            </w14:solidFill>
          </w14:textFill>
        </w:rPr>
        <w:t>：将存量房源、租户、合同、缴费等数据清洗、转换、迁移入新系统，保证业务连续；</w:t>
      </w:r>
    </w:p>
    <w:p w14:paraId="71E89AB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培训与移交</w:t>
      </w:r>
      <w:r>
        <w:rPr>
          <w:rFonts w:hint="eastAsia"/>
          <w:color w:val="000000" w:themeColor="text1"/>
          <w14:textFill>
            <w14:solidFill>
              <w14:schemeClr w14:val="tx1"/>
            </w14:solidFill>
          </w14:textFill>
        </w:rPr>
        <w:t>：面向管理人员的操作培训与面向运维的知识转移，交付完整文档与源代码。</w:t>
      </w:r>
    </w:p>
    <w:bookmarkEnd w:id="12"/>
    <w:bookmarkEnd w:id="17"/>
    <w:p w14:paraId="1C226CCD">
      <w:pPr>
        <w:pStyle w:val="4"/>
        <w:rPr>
          <w:color w:val="000000" w:themeColor="text1"/>
          <w14:textFill>
            <w14:solidFill>
              <w14:schemeClr w14:val="tx1"/>
            </w14:solidFill>
          </w14:textFill>
        </w:rPr>
      </w:pPr>
      <w:bookmarkStart w:id="18" w:name="业务需求分析以三类业态为主轴"/>
      <w:r>
        <w:rPr>
          <w:color w:val="000000" w:themeColor="text1"/>
          <w14:textFill>
            <w14:solidFill>
              <w14:schemeClr w14:val="tx1"/>
            </w14:solidFill>
          </w14:textFill>
        </w:rPr>
        <w:t xml:space="preserve">1.4 </w:t>
      </w:r>
      <w:r>
        <w:rPr>
          <w:rFonts w:hint="eastAsia"/>
          <w:color w:val="000000" w:themeColor="text1"/>
          <w14:textFill>
            <w14:solidFill>
              <w14:schemeClr w14:val="tx1"/>
            </w14:solidFill>
          </w14:textFill>
        </w:rPr>
        <w:t>业务需求分析（以三类业态为主轴）</w:t>
      </w:r>
    </w:p>
    <w:p w14:paraId="5668BCDB">
      <w:pPr>
        <w:pStyle w:val="5"/>
        <w:rPr>
          <w:color w:val="000000" w:themeColor="text1"/>
          <w14:textFill>
            <w14:solidFill>
              <w14:schemeClr w14:val="tx1"/>
            </w14:solidFill>
          </w14:textFill>
        </w:rPr>
      </w:pPr>
      <w:bookmarkStart w:id="19" w:name="三类业态的业务角色与权责"/>
      <w:r>
        <w:rPr>
          <w:color w:val="000000" w:themeColor="text1"/>
          <w14:textFill>
            <w14:solidFill>
              <w14:schemeClr w14:val="tx1"/>
            </w14:solidFill>
          </w14:textFill>
        </w:rPr>
        <w:t xml:space="preserve">1.4.1 </w:t>
      </w:r>
      <w:r>
        <w:rPr>
          <w:rFonts w:hint="eastAsia"/>
          <w:color w:val="000000" w:themeColor="text1"/>
          <w14:textFill>
            <w14:solidFill>
              <w14:schemeClr w14:val="tx1"/>
            </w14:solidFill>
          </w14:textFill>
        </w:rPr>
        <w:t>三类业态的业务角色与权责</w:t>
      </w:r>
    </w:p>
    <w:p w14:paraId="00E8F25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业务角色主要包括：租户（新市民/人才/普通租户）、企业客户、房源管家、业务审批人员、运营人员、系统管理员。各角色在三类业态下的权责通过统一的角色—权限模型（RBAC）进行管理，并支持数据权限（按项目/业态范围）控制，确保”该看的看得到、不该看的看不到”。</w:t>
      </w:r>
    </w:p>
    <w:p w14:paraId="66B99C57">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角色权责与权限矩阵</w:t>
      </w:r>
      <w:r>
        <w:rPr>
          <w:rFonts w:hint="eastAsia"/>
          <w:color w:val="000000" w:themeColor="text1"/>
          <w14:textFill>
            <w14:solidFill>
              <w14:schemeClr w14:val="tx1"/>
            </w14:solidFill>
          </w14:textFill>
        </w:rPr>
        <w:t>：</w:t>
      </w:r>
    </w:p>
    <w:tbl>
      <w:tblPr>
        <w:tblStyle w:val="41"/>
        <w:tblW w:w="5000" w:type="pct"/>
        <w:tblInd w:w="0" w:type="dxa"/>
        <w:tblLayout w:type="fixed"/>
        <w:tblCellMar>
          <w:top w:w="0" w:type="dxa"/>
          <w:left w:w="108" w:type="dxa"/>
          <w:bottom w:w="0" w:type="dxa"/>
          <w:right w:w="108" w:type="dxa"/>
        </w:tblCellMar>
      </w:tblPr>
      <w:tblGrid>
        <w:gridCol w:w="1384"/>
        <w:gridCol w:w="2491"/>
        <w:gridCol w:w="2491"/>
        <w:gridCol w:w="2491"/>
      </w:tblGrid>
      <w:tr w14:paraId="58AEBE7E">
        <w:trPr>
          <w:tblHeader/>
        </w:trPr>
        <w:tc>
          <w:p w14:paraId="1BAB7B7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角色</w:t>
            </w:r>
          </w:p>
        </w:tc>
        <w:tc>
          <w:p w14:paraId="07050AA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主要职责</w:t>
            </w:r>
          </w:p>
        </w:tc>
        <w:tc>
          <w:p w14:paraId="18F949A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关键权限</w:t>
            </w:r>
          </w:p>
        </w:tc>
        <w:tc>
          <w:p w14:paraId="7BBFA97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数据范围</w:t>
            </w:r>
          </w:p>
        </w:tc>
      </w:tr>
      <w:tr w14:paraId="30943791">
        <w:tc>
          <w:p w14:paraId="6E66253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租户</w:t>
            </w:r>
          </w:p>
        </w:tc>
        <w:tc>
          <w:p w14:paraId="761E23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办理找房、核验、选房、签约、缴费、退租、开票</w:t>
            </w:r>
          </w:p>
        </w:tc>
        <w:tc>
          <w:p w14:paraId="2B888AD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仅限本人业务办理与查询</w:t>
            </w:r>
          </w:p>
        </w:tc>
        <w:tc>
          <w:p w14:paraId="68B3C6C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仅本人数据</w:t>
            </w:r>
          </w:p>
        </w:tc>
      </w:tr>
      <w:tr w14:paraId="7E211B89">
        <w:tc>
          <w:p w14:paraId="3B51D6C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企业客户</w:t>
            </w:r>
          </w:p>
        </w:tc>
        <w:tc>
          <w:p w14:paraId="7D8124D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集中缴费、批量入住、退租、合同备案、补贴申请</w:t>
            </w:r>
          </w:p>
        </w:tc>
        <w:tc>
          <w:p w14:paraId="48729BF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本企业相关业务办理</w:t>
            </w:r>
          </w:p>
        </w:tc>
        <w:tc>
          <w:p w14:paraId="0A3050C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本企业名下数据</w:t>
            </w:r>
          </w:p>
        </w:tc>
      </w:tr>
      <w:tr w14:paraId="6EE954E3">
        <w:tc>
          <w:p w14:paraId="237E306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c>
          <w:p w14:paraId="4FF77D5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房源维护、看房预约、入住确认、日常运营</w:t>
            </w:r>
          </w:p>
        </w:tc>
        <w:tc>
          <w:p w14:paraId="4CBBBB1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房源与客户运营相关操作</w:t>
            </w:r>
          </w:p>
        </w:tc>
        <w:tc>
          <w:p w14:paraId="16D1054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所辖项目/业态</w:t>
            </w:r>
          </w:p>
        </w:tc>
      </w:tr>
      <w:tr w14:paraId="7AB42605">
        <w:tc>
          <w:p w14:paraId="1DCD00C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业务审批人员</w:t>
            </w:r>
          </w:p>
        </w:tc>
        <w:tc>
          <w:p w14:paraId="7A729EB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资格申诉审批、入住/退租/续租审批</w:t>
            </w:r>
          </w:p>
        </w:tc>
        <w:tc>
          <w:p w14:paraId="0C49E58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审批类操作</w:t>
            </w:r>
          </w:p>
        </w:tc>
        <w:tc>
          <w:p w14:paraId="60BD0AD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所辖项目/业态</w:t>
            </w:r>
          </w:p>
        </w:tc>
      </w:tr>
      <w:tr w14:paraId="6BE00C92">
        <w:tc>
          <w:p w14:paraId="6BA046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运营人员</w:t>
            </w:r>
          </w:p>
        </w:tc>
        <w:tc>
          <w:p w14:paraId="4C912F2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优惠券、消息、公告、活动运营与数据分析</w:t>
            </w:r>
          </w:p>
        </w:tc>
        <w:tc>
          <w:p w14:paraId="7C70C79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运营配置与数据查看</w:t>
            </w:r>
          </w:p>
        </w:tc>
        <w:tc>
          <w:p w14:paraId="71AEAEF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授权业态范围</w:t>
            </w:r>
          </w:p>
        </w:tc>
      </w:tr>
      <w:tr w14:paraId="18D674E4">
        <w:tc>
          <w:p w14:paraId="256C987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系统管理员</w:t>
            </w:r>
          </w:p>
        </w:tc>
        <w:tc>
          <w:p w14:paraId="340636E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用户/角色/权限/字典/参数配置与系统维护</w:t>
            </w:r>
          </w:p>
        </w:tc>
        <w:tc>
          <w:p w14:paraId="7E49843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系统管理全部功能</w:t>
            </w:r>
          </w:p>
        </w:tc>
        <w:tc>
          <w:p w14:paraId="4B81311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全局（受审计约束）</w:t>
            </w:r>
          </w:p>
        </w:tc>
      </w:tr>
    </w:tbl>
    <w:p w14:paraId="29160A38">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权限模型采用”角色—菜单—按钮—数据”四级控制：菜单权限决定可见模块，按钮权限决定可执行操作，数据权限决定可访问的数据范围，敏感操作（退款、批量导出等）额外记录操作审计日志，做到权责清晰、行为可溯。</w:t>
      </w:r>
    </w:p>
    <w:bookmarkEnd w:id="19"/>
    <w:p w14:paraId="26229A62">
      <w:pPr>
        <w:pStyle w:val="5"/>
        <w:rPr>
          <w:color w:val="000000" w:themeColor="text1"/>
          <w14:textFill>
            <w14:solidFill>
              <w14:schemeClr w14:val="tx1"/>
            </w14:solidFill>
          </w14:textFill>
        </w:rPr>
      </w:pPr>
      <w:bookmarkStart w:id="20" w:name="保租房业务需求"/>
      <w:r>
        <w:rPr>
          <w:color w:val="000000" w:themeColor="text1"/>
          <w14:textFill>
            <w14:solidFill>
              <w14:schemeClr w14:val="tx1"/>
            </w14:solidFill>
          </w14:textFill>
        </w:rPr>
        <w:t xml:space="preserve">1.4.2 </w:t>
      </w:r>
      <w:r>
        <w:rPr>
          <w:rFonts w:hint="eastAsia"/>
          <w:color w:val="000000" w:themeColor="text1"/>
          <w14:textFill>
            <w14:solidFill>
              <w14:schemeClr w14:val="tx1"/>
            </w14:solidFill>
          </w14:textFill>
        </w:rPr>
        <w:t>保租房业务需求</w:t>
      </w:r>
    </w:p>
    <w:p w14:paraId="13B2AA5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准入以资格核验为前提，核验维度包括社保、住房、婚姻等；</w:t>
      </w:r>
    </w:p>
    <w:p w14:paraId="3C46E101">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支持资格不符项的展示、手动刷新与在线申诉，申诉经审批后可继续办理；</w:t>
      </w:r>
    </w:p>
    <w:p w14:paraId="6C672C51">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租金执行保租房政策价，支持优惠券；</w:t>
      </w:r>
    </w:p>
    <w:p w14:paraId="3593B81E">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覆盖选房、签约、押金/租金缴纳、入住、续租、退租、开票全流程。</w:t>
      </w:r>
    </w:p>
    <w:p w14:paraId="0576BDA3">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保租房准入核验维度明细</w:t>
      </w:r>
      <w:r>
        <w:rPr>
          <w:rFonts w:hint="eastAsia"/>
          <w:color w:val="000000" w:themeColor="text1"/>
          <w14:textFill>
            <w14:solidFill>
              <w14:schemeClr w14:val="tx1"/>
            </w14:solidFill>
          </w14:textFill>
        </w:rPr>
        <w:t>：</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3EE84FDC">
        <w:trPr>
          <w:tblHeader/>
        </w:trPr>
        <w:tc>
          <w:p w14:paraId="34E44EE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核验维度</w:t>
            </w:r>
          </w:p>
        </w:tc>
        <w:tc>
          <w:p w14:paraId="0288D68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核验要点</w:t>
            </w:r>
          </w:p>
        </w:tc>
        <w:tc>
          <w:p w14:paraId="00DB8E1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数据来源</w:t>
            </w:r>
          </w:p>
        </w:tc>
        <w:tc>
          <w:p w14:paraId="6E302B3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不符处理</w:t>
            </w:r>
          </w:p>
        </w:tc>
      </w:tr>
      <w:tr w14:paraId="29708B81">
        <w:tc>
          <w:p w14:paraId="5056EC1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社保</w:t>
            </w:r>
          </w:p>
        </w:tc>
        <w:tc>
          <w:p w14:paraId="11A253E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在本地连续缴纳社保达规定月数</w:t>
            </w:r>
          </w:p>
        </w:tc>
        <w:tc>
          <w:p w14:paraId="23227A7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港区政务数据</w:t>
            </w:r>
          </w:p>
        </w:tc>
        <w:tc>
          <w:p w14:paraId="49CC025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展示不符项、支持申诉</w:t>
            </w:r>
          </w:p>
        </w:tc>
      </w:tr>
      <w:tr w14:paraId="6AAC68B6">
        <w:tc>
          <w:p w14:paraId="1A2AC78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住房</w:t>
            </w:r>
          </w:p>
        </w:tc>
        <w:tc>
          <w:p w14:paraId="08EFE10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在规定范围内无自有住房/未享受其他住房保障</w:t>
            </w:r>
          </w:p>
        </w:tc>
        <w:tc>
          <w:p w14:paraId="35633AF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港区政务数据</w:t>
            </w:r>
          </w:p>
        </w:tc>
        <w:tc>
          <w:p w14:paraId="1E785DC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展示不符项、支持申诉</w:t>
            </w:r>
          </w:p>
        </w:tc>
      </w:tr>
      <w:tr w14:paraId="60EC226C">
        <w:tc>
          <w:p w14:paraId="4B3D33F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婚姻</w:t>
            </w:r>
          </w:p>
        </w:tc>
        <w:tc>
          <w:p w14:paraId="2FDE300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婚姻状况符合家庭申请口径</w:t>
            </w:r>
          </w:p>
        </w:tc>
        <w:tc>
          <w:p w14:paraId="21C499C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港区政务数据</w:t>
            </w:r>
          </w:p>
        </w:tc>
        <w:tc>
          <w:p w14:paraId="33CA6A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展示不符项、支持申诉</w:t>
            </w:r>
          </w:p>
        </w:tc>
      </w:tr>
      <w:tr w14:paraId="1E6ACD21">
        <w:tc>
          <w:p w14:paraId="28CC2B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既有保租房</w:t>
            </w:r>
          </w:p>
        </w:tc>
        <w:tc>
          <w:p w14:paraId="10F65A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未重复承租保租房</w:t>
            </w:r>
          </w:p>
        </w:tc>
        <w:tc>
          <w:p w14:paraId="03164D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系统内数据+政务数据</w:t>
            </w:r>
          </w:p>
        </w:tc>
        <w:tc>
          <w:p w14:paraId="0D6ECE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阻断并提示</w:t>
            </w:r>
          </w:p>
        </w:tc>
      </w:tr>
      <w:tr w14:paraId="50E14717">
        <w:tc>
          <w:p w14:paraId="3B360F8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身份实名</w:t>
            </w:r>
          </w:p>
        </w:tc>
        <w:tc>
          <w:p w14:paraId="638EC36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实名与人脸核身一致</w:t>
            </w:r>
          </w:p>
        </w:tc>
        <w:tc>
          <w:p w14:paraId="4E7F7EC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郑好办/人脸识别</w:t>
            </w:r>
          </w:p>
        </w:tc>
        <w:tc>
          <w:p w14:paraId="49A8EAC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阻断并提示</w:t>
            </w:r>
          </w:p>
        </w:tc>
      </w:tr>
    </w:tbl>
    <w:p w14:paraId="0C1AAB2D">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保租房业务的关键在于”资格核验的严谨性与申诉的人性化”并重：核验结果直接决定能否办事，因此必须准确、留痕；同时对因数据时延或口径导致的误判，提供手动刷新与在线申诉通道，由管理人员审批复核，避免”一刀切”影响群众合理权益。</w:t>
      </w:r>
    </w:p>
    <w:bookmarkEnd w:id="20"/>
    <w:p w14:paraId="731AE3DE">
      <w:pPr>
        <w:pStyle w:val="5"/>
        <w:rPr>
          <w:color w:val="000000" w:themeColor="text1"/>
          <w14:textFill>
            <w14:solidFill>
              <w14:schemeClr w14:val="tx1"/>
            </w14:solidFill>
          </w14:textFill>
        </w:rPr>
      </w:pPr>
      <w:bookmarkStart w:id="21" w:name="人才公寓业务需求"/>
      <w:r>
        <w:rPr>
          <w:color w:val="000000" w:themeColor="text1"/>
          <w14:textFill>
            <w14:solidFill>
              <w14:schemeClr w14:val="tx1"/>
            </w14:solidFill>
          </w14:textFill>
        </w:rPr>
        <w:t xml:space="preserve">1.4.3 </w:t>
      </w:r>
      <w:r>
        <w:rPr>
          <w:rFonts w:hint="eastAsia"/>
          <w:color w:val="000000" w:themeColor="text1"/>
          <w14:textFill>
            <w14:solidFill>
              <w14:schemeClr w14:val="tx1"/>
            </w14:solidFill>
          </w14:textFill>
        </w:rPr>
        <w:t>人才公寓业务需求</w:t>
      </w:r>
    </w:p>
    <w:p w14:paraId="61FA7C96">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准入以人才资格与层次核验为前提，遵循”一人一套”约束；</w:t>
      </w:r>
    </w:p>
    <w:p w14:paraId="592FAB0A">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租金按人才层次与户型面积分档计算（含特定层次、特定面积的差异化规则）；</w:t>
      </w:r>
    </w:p>
    <w:p w14:paraId="5F2D85F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提供人才家园信息展示；</w:t>
      </w:r>
    </w:p>
    <w:p w14:paraId="5006315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其余流程与保租房一致，差异集中在准入与计租规则。</w:t>
      </w:r>
    </w:p>
    <w:p w14:paraId="7DEB63BC">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人才公寓计租规则示意</w:t>
      </w:r>
      <w:r>
        <w:rPr>
          <w:rFonts w:hint="eastAsia"/>
          <w:color w:val="000000" w:themeColor="text1"/>
          <w14:textFill>
            <w14:solidFill>
              <w14:schemeClr w14:val="tx1"/>
            </w14:solidFill>
          </w14:textFill>
        </w:rPr>
        <w:t>：人才公寓租金按”人才层次</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户型面积档”二维分档确定，并可叠加阶段性优惠。系统将计租规则抽象为可配置的规则表，管理人员可在后台维护层次与面积档的对应租金标准，无需修改代码即可适配政策调整：</w:t>
      </w:r>
    </w:p>
    <w:tbl>
      <w:tblPr>
        <w:tblStyle w:val="41"/>
        <w:tblW w:w="0" w:type="auto"/>
        <w:tblInd w:w="0" w:type="dxa"/>
        <w:tblLayout w:type="autofit"/>
        <w:tblCellMar>
          <w:top w:w="0" w:type="dxa"/>
          <w:left w:w="108" w:type="dxa"/>
          <w:bottom w:w="0" w:type="dxa"/>
          <w:right w:w="108" w:type="dxa"/>
        </w:tblCellMar>
      </w:tblPr>
      <w:tblGrid>
        <w:gridCol w:w="1416"/>
        <w:gridCol w:w="1736"/>
        <w:gridCol w:w="3576"/>
        <w:gridCol w:w="1176"/>
      </w:tblGrid>
      <w:tr w14:paraId="089F118C">
        <w:trPr>
          <w:tblHeader/>
        </w:trPr>
        <w:tc>
          <w:p w14:paraId="5AF378C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人才层次</w:t>
            </w:r>
          </w:p>
        </w:tc>
        <w:tc>
          <w:p w14:paraId="716D26D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可租户型档</w:t>
            </w:r>
          </w:p>
        </w:tc>
        <w:tc>
          <w:p w14:paraId="365F82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计租方式</w:t>
            </w:r>
          </w:p>
        </w:tc>
        <w:tc>
          <w:p w14:paraId="02E70C7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特殊约束</w:t>
            </w:r>
          </w:p>
        </w:tc>
      </w:tr>
      <w:tr w14:paraId="03D06011">
        <w:tc>
          <w:p w14:paraId="0FABC73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高层次人才</w:t>
            </w:r>
          </w:p>
        </w:tc>
        <w:tc>
          <w:p w14:paraId="4CEC23C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大户型/多居室</w:t>
            </w:r>
          </w:p>
        </w:tc>
        <w:tc>
          <w:p w14:paraId="61DD98F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政策优惠价，可享更高补贴比例</w:t>
            </w:r>
          </w:p>
        </w:tc>
        <w:tc>
          <w:p w14:paraId="7E17D20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一人一套</w:t>
            </w:r>
          </w:p>
        </w:tc>
      </w:tr>
      <w:tr w14:paraId="2292B9FC">
        <w:tc>
          <w:p w14:paraId="457CBFD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中层次人才</w:t>
            </w:r>
          </w:p>
        </w:tc>
        <w:tc>
          <w:p w14:paraId="0411F13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中等户型</w:t>
            </w:r>
          </w:p>
        </w:tc>
        <w:tc>
          <w:p w14:paraId="3AEE0BD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政策优惠价</w:t>
            </w:r>
          </w:p>
        </w:tc>
        <w:tc>
          <w:p w14:paraId="579C6EB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一人一套</w:t>
            </w:r>
          </w:p>
        </w:tc>
      </w:tr>
      <w:tr w14:paraId="1878233B">
        <w:tc>
          <w:p w14:paraId="478AB0A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基础人才</w:t>
            </w:r>
          </w:p>
        </w:tc>
        <w:tc>
          <w:p w14:paraId="30A4F5C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标准户型</w:t>
            </w:r>
          </w:p>
        </w:tc>
        <w:tc>
          <w:p w14:paraId="591810F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政策优惠价</w:t>
            </w:r>
          </w:p>
        </w:tc>
        <w:tc>
          <w:p w14:paraId="08E9DDE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一人一套</w:t>
            </w:r>
          </w:p>
        </w:tc>
      </w:tr>
    </w:tbl>
    <w:p w14:paraId="1F2A9DA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“一人一套”约束在系统中通过用户维度的在租校验实现：同一自然人在人才公寓业态下已有生效合同时，不得重复选房签约，从源头杜绝一人多套。</w:t>
      </w:r>
    </w:p>
    <w:bookmarkEnd w:id="21"/>
    <w:p w14:paraId="5082689B">
      <w:pPr>
        <w:pStyle w:val="5"/>
        <w:rPr>
          <w:color w:val="000000" w:themeColor="text1"/>
          <w14:textFill>
            <w14:solidFill>
              <w14:schemeClr w14:val="tx1"/>
            </w14:solidFill>
          </w14:textFill>
        </w:rPr>
      </w:pPr>
      <w:bookmarkStart w:id="22" w:name="市场租赁业务需求"/>
      <w:r>
        <w:rPr>
          <w:color w:val="000000" w:themeColor="text1"/>
          <w14:textFill>
            <w14:solidFill>
              <w14:schemeClr w14:val="tx1"/>
            </w14:solidFill>
          </w14:textFill>
        </w:rPr>
        <w:t xml:space="preserve">1.4.4 </w:t>
      </w:r>
      <w:r>
        <w:rPr>
          <w:rFonts w:hint="eastAsia"/>
          <w:color w:val="000000" w:themeColor="text1"/>
          <w14:textFill>
            <w14:solidFill>
              <w14:schemeClr w14:val="tx1"/>
            </w14:solidFill>
          </w14:textFill>
        </w:rPr>
        <w:t>市场租赁业务需求</w:t>
      </w:r>
    </w:p>
    <w:p w14:paraId="1A6E0D2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准入相对宽松，突出房源展示、预约看房、合同管理；</w:t>
      </w:r>
    </w:p>
    <w:p w14:paraId="0F066C7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支持新签约合同倒计时提醒等市场化特性；</w:t>
      </w:r>
    </w:p>
    <w:p w14:paraId="5BF3BB0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覆盖选房、签约、缴费、入住、续租、退租、开票全流程。</w:t>
      </w:r>
    </w:p>
    <w:bookmarkEnd w:id="22"/>
    <w:p w14:paraId="7658A98B">
      <w:pPr>
        <w:pStyle w:val="5"/>
        <w:rPr>
          <w:color w:val="000000" w:themeColor="text1"/>
          <w14:textFill>
            <w14:solidFill>
              <w14:schemeClr w14:val="tx1"/>
            </w14:solidFill>
          </w14:textFill>
        </w:rPr>
      </w:pPr>
      <w:bookmarkStart w:id="23" w:name="企业客户业务需求"/>
      <w:r>
        <w:rPr>
          <w:color w:val="000000" w:themeColor="text1"/>
          <w14:textFill>
            <w14:solidFill>
              <w14:schemeClr w14:val="tx1"/>
            </w14:solidFill>
          </w14:textFill>
        </w:rPr>
        <w:t xml:space="preserve">1.4.5 </w:t>
      </w:r>
      <w:r>
        <w:rPr>
          <w:rFonts w:hint="eastAsia"/>
          <w:color w:val="000000" w:themeColor="text1"/>
          <w14:textFill>
            <w14:solidFill>
              <w14:schemeClr w14:val="tx1"/>
            </w14:solidFill>
          </w14:textFill>
        </w:rPr>
        <w:t>企业客户业务需求</w:t>
      </w:r>
    </w:p>
    <w:p w14:paraId="52419B9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面向集中配租场景，支持企业以单位为主体的在线缴费、批量入住（上传人员名单）、退租办理、合同备案与代购补贴申请，满足企业集中承租的管理需要。</w:t>
      </w:r>
    </w:p>
    <w:bookmarkEnd w:id="23"/>
    <w:p w14:paraId="1ED36E0E">
      <w:pPr>
        <w:pStyle w:val="5"/>
        <w:rPr>
          <w:color w:val="000000" w:themeColor="text1"/>
          <w14:textFill>
            <w14:solidFill>
              <w14:schemeClr w14:val="tx1"/>
            </w14:solidFill>
          </w14:textFill>
        </w:rPr>
      </w:pPr>
      <w:bookmarkStart w:id="24" w:name="核心业务流程需求举要"/>
      <w:r>
        <w:rPr>
          <w:color w:val="000000" w:themeColor="text1"/>
          <w14:textFill>
            <w14:solidFill>
              <w14:schemeClr w14:val="tx1"/>
            </w14:solidFill>
          </w14:textFill>
        </w:rPr>
        <w:t xml:space="preserve">1.4.6 </w:t>
      </w:r>
      <w:r>
        <w:rPr>
          <w:rFonts w:hint="eastAsia"/>
          <w:color w:val="000000" w:themeColor="text1"/>
          <w14:textFill>
            <w14:solidFill>
              <w14:schemeClr w14:val="tx1"/>
            </w14:solidFill>
          </w14:textFill>
        </w:rPr>
        <w:t>核心业务流程需求（举要）</w:t>
      </w:r>
    </w:p>
    <w:p w14:paraId="2080593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资格核验流程</w:t>
      </w:r>
      <w:r>
        <w:rPr>
          <w:rFonts w:hint="eastAsia"/>
          <w:color w:val="000000" w:themeColor="text1"/>
          <w14:textFill>
            <w14:solidFill>
              <w14:schemeClr w14:val="tx1"/>
            </w14:solidFill>
          </w14:textFill>
        </w:rPr>
        <w:t>：进入办事</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系统自动调取政务数据核验</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展示不符项</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用户手动刷新/在线申诉</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审批</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通过后继续；</w:t>
      </w:r>
    </w:p>
    <w:p w14:paraId="76DC1BE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选房签约流程</w:t>
      </w:r>
      <w:r>
        <w:rPr>
          <w:rFonts w:hint="eastAsia"/>
          <w:color w:val="000000" w:themeColor="text1"/>
          <w14:textFill>
            <w14:solidFill>
              <w14:schemeClr w14:val="tx1"/>
            </w14:solidFill>
          </w14:textFill>
        </w:rPr>
        <w:t>：签承诺书</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筛选房源</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选定</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人脸识别核身</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在线签约</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合同归档；</w:t>
      </w:r>
    </w:p>
    <w:p w14:paraId="3AA1C85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缴费流程</w:t>
      </w:r>
      <w:r>
        <w:rPr>
          <w:rFonts w:hint="eastAsia"/>
          <w:color w:val="000000" w:themeColor="text1"/>
          <w14:textFill>
            <w14:solidFill>
              <w14:schemeClr w14:val="tx1"/>
            </w14:solidFill>
          </w14:textFill>
        </w:rPr>
        <w:t>：生成账单</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选择账期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优惠计算</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港区支付</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回调确认</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台账更新（押金未缴不得选租期账单）；</w:t>
      </w:r>
    </w:p>
    <w:p w14:paraId="5C6964A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入住流程</w:t>
      </w:r>
      <w:r>
        <w:rPr>
          <w:rFonts w:hint="eastAsia"/>
          <w:color w:val="000000" w:themeColor="text1"/>
          <w14:textFill>
            <w14:solidFill>
              <w14:schemeClr w14:val="tx1"/>
            </w14:solidFill>
          </w14:textFill>
        </w:rPr>
        <w:t>：入住申请</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审批签收</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物品核对</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签字确认入住；</w:t>
      </w:r>
    </w:p>
    <w:p w14:paraId="44D4816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退租流程</w:t>
      </w:r>
      <w:r>
        <w:rPr>
          <w:rFonts w:hint="eastAsia"/>
          <w:color w:val="000000" w:themeColor="text1"/>
          <w14:textFill>
            <w14:solidFill>
              <w14:schemeClr w14:val="tx1"/>
            </w14:solidFill>
          </w14:textFill>
        </w:rPr>
        <w:t>：退租申请</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审批</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实际退租日期核定</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按日精算退款</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签字确认</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房源状态释放；</w:t>
      </w:r>
    </w:p>
    <w:p w14:paraId="5D11EBA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续租流程</w:t>
      </w:r>
      <w:r>
        <w:rPr>
          <w:rFonts w:hint="eastAsia"/>
          <w:color w:val="000000" w:themeColor="text1"/>
          <w14:textFill>
            <w14:solidFill>
              <w14:schemeClr w14:val="tx1"/>
            </w14:solidFill>
          </w14:textFill>
        </w:rPr>
        <w:t>：续租校验（资格/欠费）→</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签署续租合同</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缴费。</w:t>
      </w:r>
    </w:p>
    <w:bookmarkEnd w:id="24"/>
    <w:p w14:paraId="68BE526F">
      <w:pPr>
        <w:pStyle w:val="5"/>
        <w:rPr>
          <w:color w:val="000000" w:themeColor="text1"/>
          <w14:textFill>
            <w14:solidFill>
              <w14:schemeClr w14:val="tx1"/>
            </w14:solidFill>
          </w14:textFill>
        </w:rPr>
      </w:pPr>
      <w:bookmarkStart w:id="25" w:name="非功能性业务约束"/>
      <w:r>
        <w:rPr>
          <w:color w:val="000000" w:themeColor="text1"/>
          <w14:textFill>
            <w14:solidFill>
              <w14:schemeClr w14:val="tx1"/>
            </w14:solidFill>
          </w14:textFill>
        </w:rPr>
        <w:t xml:space="preserve">1.4.7 </w:t>
      </w:r>
      <w:r>
        <w:rPr>
          <w:rFonts w:hint="eastAsia"/>
          <w:color w:val="000000" w:themeColor="text1"/>
          <w14:textFill>
            <w14:solidFill>
              <w14:schemeClr w14:val="tx1"/>
            </w14:solidFill>
          </w14:textFill>
        </w:rPr>
        <w:t>非功能性业务约束</w:t>
      </w:r>
    </w:p>
    <w:p w14:paraId="46D9A64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资金类操作必须准确、可对账、可追溯，杜绝重复扣款与漏账；</w:t>
      </w:r>
    </w:p>
    <w:p w14:paraId="46EFF2CB">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群众个人敏感信息（身份、人脸、支付）须依法保护；</w:t>
      </w:r>
    </w:p>
    <w:p w14:paraId="04463EBA">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业务高峰（集中选房、集中缴费）期间系统须稳定可用。</w:t>
      </w:r>
    </w:p>
    <w:bookmarkEnd w:id="18"/>
    <w:bookmarkEnd w:id="25"/>
    <w:p w14:paraId="4A185DE9">
      <w:pPr>
        <w:pStyle w:val="4"/>
        <w:rPr>
          <w:color w:val="000000" w:themeColor="text1"/>
          <w14:textFill>
            <w14:solidFill>
              <w14:schemeClr w14:val="tx1"/>
            </w14:solidFill>
          </w14:textFill>
        </w:rPr>
      </w:pPr>
      <w:bookmarkStart w:id="26" w:name="应用功能需求分析"/>
      <w:r>
        <w:rPr>
          <w:color w:val="000000" w:themeColor="text1"/>
          <w14:textFill>
            <w14:solidFill>
              <w14:schemeClr w14:val="tx1"/>
            </w14:solidFill>
          </w14:textFill>
        </w:rPr>
        <w:t xml:space="preserve">1.5 </w:t>
      </w:r>
      <w:r>
        <w:rPr>
          <w:rFonts w:hint="eastAsia"/>
          <w:color w:val="000000" w:themeColor="text1"/>
          <w14:textFill>
            <w14:solidFill>
              <w14:schemeClr w14:val="tx1"/>
            </w14:solidFill>
          </w14:textFill>
        </w:rPr>
        <w:t>应用功能需求分析</w:t>
      </w:r>
    </w:p>
    <w:p w14:paraId="4B87B3F9">
      <w:pPr>
        <w:pStyle w:val="5"/>
        <w:rPr>
          <w:color w:val="000000" w:themeColor="text1"/>
          <w14:textFill>
            <w14:solidFill>
              <w14:schemeClr w14:val="tx1"/>
            </w14:solidFill>
          </w14:textFill>
        </w:rPr>
      </w:pPr>
      <w:bookmarkStart w:id="27" w:name="移动端小程序端公众号端功能需求"/>
      <w:r>
        <w:rPr>
          <w:color w:val="000000" w:themeColor="text1"/>
          <w14:textFill>
            <w14:solidFill>
              <w14:schemeClr w14:val="tx1"/>
            </w14:solidFill>
          </w14:textFill>
        </w:rPr>
        <w:t xml:space="preserve">1.5.1 </w:t>
      </w:r>
      <w:r>
        <w:rPr>
          <w:rFonts w:hint="eastAsia"/>
          <w:color w:val="000000" w:themeColor="text1"/>
          <w14:textFill>
            <w14:solidFill>
              <w14:schemeClr w14:val="tx1"/>
            </w14:solidFill>
          </w14:textFill>
        </w:rPr>
        <w:t>移动端/小程序端/公众号端功能需求</w:t>
      </w:r>
    </w:p>
    <w:p w14:paraId="58F16C1F">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三端面向群众，功能主线一致（找房、核验、选房、签约、缴费、入住、在租服务、续租退租、开票、生活服务、企业客户、个人中心），因渠道特性略有差异：小程序端强调即用即走与人脸识别等原生能力，公众号端强调消息触达与轻量入口，H5端强调兼容性与分享传播。三端共享同一套后端服务与业务数据，保证功能与数据一致。</w:t>
      </w:r>
    </w:p>
    <w:bookmarkEnd w:id="27"/>
    <w:p w14:paraId="428B343F">
      <w:pPr>
        <w:pStyle w:val="5"/>
        <w:rPr>
          <w:color w:val="000000" w:themeColor="text1"/>
          <w14:textFill>
            <w14:solidFill>
              <w14:schemeClr w14:val="tx1"/>
            </w14:solidFill>
          </w14:textFill>
        </w:rPr>
      </w:pPr>
      <w:bookmarkStart w:id="28" w:name="后台管理端功能需求"/>
      <w:r>
        <w:rPr>
          <w:color w:val="000000" w:themeColor="text1"/>
          <w14:textFill>
            <w14:solidFill>
              <w14:schemeClr w14:val="tx1"/>
            </w14:solidFill>
          </w14:textFill>
        </w:rPr>
        <w:t xml:space="preserve">1.5.2 </w:t>
      </w:r>
      <w:r>
        <w:rPr>
          <w:rFonts w:hint="eastAsia"/>
          <w:color w:val="000000" w:themeColor="text1"/>
          <w14:textFill>
            <w14:solidFill>
              <w14:schemeClr w14:val="tx1"/>
            </w14:solidFill>
          </w14:textFill>
        </w:rPr>
        <w:t>后台管理端功能需求</w:t>
      </w:r>
    </w:p>
    <w:p w14:paraId="6CA871E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需覆盖：登录与权限、首页数据概览、房源管理（项目/楼栋/单元/房源/地图/VR）、合同管理、账单与支付管理、优惠券管理、消息管理、运营中心、企业客户管理、生活服务工单管理、系统管理与数据看板，满足三类业态的集中运营与分类管理。</w:t>
      </w:r>
    </w:p>
    <w:bookmarkEnd w:id="28"/>
    <w:p w14:paraId="314C1394">
      <w:pPr>
        <w:pStyle w:val="5"/>
        <w:rPr>
          <w:color w:val="000000" w:themeColor="text1"/>
          <w14:textFill>
            <w14:solidFill>
              <w14:schemeClr w14:val="tx1"/>
            </w14:solidFill>
          </w14:textFill>
        </w:rPr>
      </w:pPr>
      <w:bookmarkStart w:id="29" w:name="实施与对接功能需求"/>
      <w:r>
        <w:rPr>
          <w:color w:val="000000" w:themeColor="text1"/>
          <w14:textFill>
            <w14:solidFill>
              <w14:schemeClr w14:val="tx1"/>
            </w14:solidFill>
          </w14:textFill>
        </w:rPr>
        <w:t xml:space="preserve">1.5.3 </w:t>
      </w:r>
      <w:r>
        <w:rPr>
          <w:rFonts w:hint="eastAsia"/>
          <w:color w:val="000000" w:themeColor="text1"/>
          <w14:textFill>
            <w14:solidFill>
              <w14:schemeClr w14:val="tx1"/>
            </w14:solidFill>
          </w14:textFill>
        </w:rPr>
        <w:t>实施与对接功能需求</w:t>
      </w:r>
    </w:p>
    <w:p w14:paraId="6731F00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与郑好办完成用户体系对接与单点登录/授权；</w:t>
      </w:r>
    </w:p>
    <w:p w14:paraId="0B3DE46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与港区政务数据接口完成社保、婚姻、学历、住房、保租房等资格数据核验对接；</w:t>
      </w:r>
    </w:p>
    <w:p w14:paraId="67822B3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与港区支付接口完成缴费与退款对接；</w:t>
      </w:r>
    </w:p>
    <w:p w14:paraId="5F018A06">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与电子签章、人脸识别、地图、开票等第三方能力对接；</w:t>
      </w:r>
    </w:p>
    <w:p w14:paraId="24D6791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完成存量数据迁移与上线切换。</w:t>
      </w:r>
    </w:p>
    <w:bookmarkEnd w:id="29"/>
    <w:p w14:paraId="48C186AE">
      <w:pPr>
        <w:pStyle w:val="5"/>
        <w:rPr>
          <w:color w:val="000000" w:themeColor="text1"/>
          <w14:textFill>
            <w14:solidFill>
              <w14:schemeClr w14:val="tx1"/>
            </w14:solidFill>
          </w14:textFill>
        </w:rPr>
      </w:pPr>
      <w:bookmarkStart w:id="30" w:name="功能需求理解小结"/>
      <w:r>
        <w:rPr>
          <w:color w:val="000000" w:themeColor="text1"/>
          <w14:textFill>
            <w14:solidFill>
              <w14:schemeClr w14:val="tx1"/>
            </w14:solidFill>
          </w14:textFill>
        </w:rPr>
        <w:t xml:space="preserve">1.5.4 </w:t>
      </w:r>
      <w:r>
        <w:rPr>
          <w:rFonts w:hint="eastAsia"/>
          <w:color w:val="000000" w:themeColor="text1"/>
          <w14:textFill>
            <w14:solidFill>
              <w14:schemeClr w14:val="tx1"/>
            </w14:solidFill>
          </w14:textFill>
        </w:rPr>
        <w:t>功能需求理解小结</w:t>
      </w:r>
    </w:p>
    <w:p w14:paraId="2E4AB05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功能可归纳为”一条主线（租赁全生命周期）、三类业态（保租/人才/市场）、四个渠道（移动/小程序/公众号/后台）、八大业务域、多方对接”，本方案后续各章将围绕这一结构展开设计、实施、安全与运维安排。</w:t>
      </w:r>
    </w:p>
    <w:bookmarkEnd w:id="26"/>
    <w:bookmarkEnd w:id="30"/>
    <w:p w14:paraId="7CDF7FE6">
      <w:pPr>
        <w:pStyle w:val="4"/>
        <w:rPr>
          <w:color w:val="000000" w:themeColor="text1"/>
          <w14:textFill>
            <w14:solidFill>
              <w14:schemeClr w14:val="tx1"/>
            </w14:solidFill>
          </w14:textFill>
        </w:rPr>
      </w:pPr>
      <w:bookmarkStart w:id="31" w:name="建设重难点解析与应对思路"/>
      <w:r>
        <w:rPr>
          <w:color w:val="000000" w:themeColor="text1"/>
          <w14:textFill>
            <w14:solidFill>
              <w14:schemeClr w14:val="tx1"/>
            </w14:solidFill>
          </w14:textFill>
        </w:rPr>
        <w:t xml:space="preserve">1.6 </w:t>
      </w:r>
      <w:r>
        <w:rPr>
          <w:rFonts w:hint="eastAsia"/>
          <w:color w:val="000000" w:themeColor="text1"/>
          <w14:textFill>
            <w14:solidFill>
              <w14:schemeClr w14:val="tx1"/>
            </w14:solidFill>
          </w14:textFill>
        </w:rPr>
        <w:t>建设重难点解析与应对思路</w:t>
      </w:r>
    </w:p>
    <w:p w14:paraId="5F177582">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本方案对重难点的识别，立足于”三类业态</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多方对接</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资金安全</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群众高频使用”的项目特征，逐项给出应对思路（详细设计见后续章节）。</w:t>
      </w:r>
    </w:p>
    <w:p w14:paraId="7B304A8E">
      <w:pPr>
        <w:pStyle w:val="5"/>
        <w:rPr>
          <w:color w:val="000000" w:themeColor="text1"/>
          <w14:textFill>
            <w14:solidFill>
              <w14:schemeClr w14:val="tx1"/>
            </w14:solidFill>
          </w14:textFill>
        </w:rPr>
      </w:pPr>
      <w:bookmarkStart w:id="32" w:name="重难点一三类业态差异化规则的统一承载"/>
      <w:r>
        <w:rPr>
          <w:color w:val="000000" w:themeColor="text1"/>
          <w14:textFill>
            <w14:solidFill>
              <w14:schemeClr w14:val="tx1"/>
            </w14:solidFill>
          </w14:textFill>
        </w:rPr>
        <w:t xml:space="preserve">1.6.1 </w:t>
      </w:r>
      <w:r>
        <w:rPr>
          <w:rFonts w:hint="eastAsia"/>
          <w:color w:val="000000" w:themeColor="text1"/>
          <w14:textFill>
            <w14:solidFill>
              <w14:schemeClr w14:val="tx1"/>
            </w14:solidFill>
          </w14:textFill>
        </w:rPr>
        <w:t>重难点一：三类业态差异化规则的统一承载</w:t>
      </w:r>
    </w:p>
    <w:p w14:paraId="564B3D86">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难在哪</w:t>
      </w:r>
      <w:r>
        <w:rPr>
          <w:rFonts w:hint="eastAsia"/>
          <w:color w:val="000000" w:themeColor="text1"/>
          <w14:textFill>
            <w14:solidFill>
              <w14:schemeClr w14:val="tx1"/>
            </w14:solidFill>
          </w14:textFill>
        </w:rPr>
        <w:t>：保租、人才、市场三类业态在准入、计租、优惠、配租上规则各异，若为每类业态单独开发，将造成代码重复、维护困难。</w:t>
      </w:r>
    </w:p>
    <w:p w14:paraId="7C36605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怎么解</w:t>
      </w:r>
      <w:r>
        <w:rPr>
          <w:rFonts w:hint="eastAsia"/>
          <w:color w:val="000000" w:themeColor="text1"/>
          <w14:textFill>
            <w14:solidFill>
              <w14:schemeClr w14:val="tx1"/>
            </w14:solidFill>
          </w14:textFill>
        </w:rPr>
        <w:t>：采用”统一流程引擎</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业态规则参数化”，将共性流程沉淀为通用能力，将差异规则抽象为可配置参数与策略，新增或调整业态规则时以配置为主、编码为辅。</w:t>
      </w:r>
    </w:p>
    <w:bookmarkEnd w:id="32"/>
    <w:p w14:paraId="553F336F">
      <w:pPr>
        <w:pStyle w:val="5"/>
        <w:rPr>
          <w:color w:val="000000" w:themeColor="text1"/>
          <w14:textFill>
            <w14:solidFill>
              <w14:schemeClr w14:val="tx1"/>
            </w14:solidFill>
          </w14:textFill>
        </w:rPr>
      </w:pPr>
      <w:bookmarkStart w:id="33" w:name="重难点二多渠道政务数据对接与自动资格核验"/>
      <w:r>
        <w:rPr>
          <w:color w:val="000000" w:themeColor="text1"/>
          <w14:textFill>
            <w14:solidFill>
              <w14:schemeClr w14:val="tx1"/>
            </w14:solidFill>
          </w14:textFill>
        </w:rPr>
        <w:t xml:space="preserve">1.6.2 </w:t>
      </w:r>
      <w:r>
        <w:rPr>
          <w:rFonts w:hint="eastAsia"/>
          <w:color w:val="000000" w:themeColor="text1"/>
          <w14:textFill>
            <w14:solidFill>
              <w14:schemeClr w14:val="tx1"/>
            </w14:solidFill>
          </w14:textFill>
        </w:rPr>
        <w:t>重难点二：多渠道政务数据对接与自动资格核验</w:t>
      </w:r>
    </w:p>
    <w:p w14:paraId="11D164DC">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难在哪</w:t>
      </w:r>
      <w:r>
        <w:rPr>
          <w:rFonts w:hint="eastAsia"/>
          <w:color w:val="000000" w:themeColor="text1"/>
          <w14:textFill>
            <w14:solidFill>
              <w14:schemeClr w14:val="tx1"/>
            </w14:solidFill>
          </w14:textFill>
        </w:rPr>
        <w:t>：资格核验涉及郑好办及多个政务数据源，接口协议、可用性、数据口径不一，且核验结果直接决定群众能否办事，容错要求高。</w:t>
      </w:r>
    </w:p>
    <w:p w14:paraId="694F8A50">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怎么解</w:t>
      </w:r>
      <w:r>
        <w:rPr>
          <w:rFonts w:hint="eastAsia"/>
          <w:color w:val="000000" w:themeColor="text1"/>
          <w14:textFill>
            <w14:solidFill>
              <w14:schemeClr w14:val="tx1"/>
            </w14:solidFill>
          </w14:textFill>
        </w:rPr>
        <w:t>：建立统一核验服务，屏蔽各数据源差异；对接口调用做超时、重试、降级与留痕；核验不通过时提供清晰的不符项展示与在线申诉闭环，兼顾严谨与人性化。</w:t>
      </w:r>
    </w:p>
    <w:bookmarkEnd w:id="33"/>
    <w:p w14:paraId="38D9767D">
      <w:pPr>
        <w:pStyle w:val="5"/>
        <w:rPr>
          <w:color w:val="000000" w:themeColor="text1"/>
          <w14:textFill>
            <w14:solidFill>
              <w14:schemeClr w14:val="tx1"/>
            </w14:solidFill>
          </w14:textFill>
        </w:rPr>
      </w:pPr>
      <w:bookmarkStart w:id="34" w:name="重难点三资金安全与账单准确性"/>
      <w:r>
        <w:rPr>
          <w:color w:val="000000" w:themeColor="text1"/>
          <w14:textFill>
            <w14:solidFill>
              <w14:schemeClr w14:val="tx1"/>
            </w14:solidFill>
          </w14:textFill>
        </w:rPr>
        <w:t xml:space="preserve">1.6.3 </w:t>
      </w:r>
      <w:r>
        <w:rPr>
          <w:rFonts w:hint="eastAsia"/>
          <w:color w:val="000000" w:themeColor="text1"/>
          <w14:textFill>
            <w14:solidFill>
              <w14:schemeClr w14:val="tx1"/>
            </w14:solidFill>
          </w14:textFill>
        </w:rPr>
        <w:t>重难点三：资金安全与账单准确性</w:t>
      </w:r>
    </w:p>
    <w:p w14:paraId="052A017C">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难在哪</w:t>
      </w:r>
      <w:r>
        <w:rPr>
          <w:rFonts w:hint="eastAsia"/>
          <w:color w:val="000000" w:themeColor="text1"/>
          <w14:textFill>
            <w14:solidFill>
              <w14:schemeClr w14:val="tx1"/>
            </w14:solidFill>
          </w14:textFill>
        </w:rPr>
        <w:t>：押金、租金的收缴与退款直接关系群众利益与资金安全，存在重复支付、回调丢失、退款错算等风险。</w:t>
      </w:r>
    </w:p>
    <w:p w14:paraId="7D317581">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怎么解</w:t>
      </w:r>
      <w:r>
        <w:rPr>
          <w:rFonts w:hint="eastAsia"/>
          <w:color w:val="000000" w:themeColor="text1"/>
          <w14:textFill>
            <w14:solidFill>
              <w14:schemeClr w14:val="tx1"/>
            </w14:solidFill>
          </w14:textFill>
        </w:rPr>
        <w:t>：支付以港区支付接口为唯一通道，订单与回调严格幂等；账单按账期制管理，押金未缴不得缴租期账单；退租退款以核定的实际退租日期按日精算并”一次定死”、全程台账化。</w:t>
      </w:r>
    </w:p>
    <w:bookmarkEnd w:id="34"/>
    <w:p w14:paraId="649E38BE">
      <w:pPr>
        <w:pStyle w:val="5"/>
        <w:rPr>
          <w:color w:val="000000" w:themeColor="text1"/>
          <w14:textFill>
            <w14:solidFill>
              <w14:schemeClr w14:val="tx1"/>
            </w14:solidFill>
          </w14:textFill>
        </w:rPr>
      </w:pPr>
      <w:bookmarkStart w:id="35" w:name="重难点四存量数据迁移的完整性与业务连续性"/>
      <w:r>
        <w:rPr>
          <w:color w:val="000000" w:themeColor="text1"/>
          <w14:textFill>
            <w14:solidFill>
              <w14:schemeClr w14:val="tx1"/>
            </w14:solidFill>
          </w14:textFill>
        </w:rPr>
        <w:t xml:space="preserve">1.6.4 </w:t>
      </w:r>
      <w:r>
        <w:rPr>
          <w:rFonts w:hint="eastAsia"/>
          <w:color w:val="000000" w:themeColor="text1"/>
          <w14:textFill>
            <w14:solidFill>
              <w14:schemeClr w14:val="tx1"/>
            </w14:solidFill>
          </w14:textFill>
        </w:rPr>
        <w:t>重难点四：存量数据迁移的完整性与业务连续性</w:t>
      </w:r>
    </w:p>
    <w:p w14:paraId="3339282C">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难在哪</w:t>
      </w:r>
      <w:r>
        <w:rPr>
          <w:rFonts w:hint="eastAsia"/>
          <w:color w:val="000000" w:themeColor="text1"/>
          <w14:textFill>
            <w14:solidFill>
              <w14:schemeClr w14:val="tx1"/>
            </w14:solidFill>
          </w14:textFill>
        </w:rPr>
        <w:t>：存量房源、合同、缴费数据来源多样、质量参差，迁移既要完整准确，又不能中断在办业务。</w:t>
      </w:r>
    </w:p>
    <w:p w14:paraId="2CF7777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怎么解</w:t>
      </w:r>
      <w:r>
        <w:rPr>
          <w:rFonts w:hint="eastAsia"/>
          <w:color w:val="000000" w:themeColor="text1"/>
          <w14:textFill>
            <w14:solidFill>
              <w14:schemeClr w14:val="tx1"/>
            </w14:solidFill>
          </w14:textFill>
        </w:rPr>
        <w:t>：采用”抽取—清洗—转换—校验—试迁—正式迁移”的分步策略，迁移前全表核对、冲突实体差异化处理，迁移后逐表校验残留与一致性，对历史迁入数据坚持”零干预”原则，确保群众端能正常查看自己的合同与账单。</w:t>
      </w:r>
    </w:p>
    <w:bookmarkEnd w:id="35"/>
    <w:p w14:paraId="3D7BEE25">
      <w:pPr>
        <w:pStyle w:val="5"/>
        <w:rPr>
          <w:color w:val="000000" w:themeColor="text1"/>
          <w14:textFill>
            <w14:solidFill>
              <w14:schemeClr w14:val="tx1"/>
            </w14:solidFill>
          </w14:textFill>
        </w:rPr>
      </w:pPr>
      <w:bookmarkStart w:id="36" w:name="重难点五四端一致性与低成本维护"/>
      <w:r>
        <w:rPr>
          <w:color w:val="000000" w:themeColor="text1"/>
          <w14:textFill>
            <w14:solidFill>
              <w14:schemeClr w14:val="tx1"/>
            </w14:solidFill>
          </w14:textFill>
        </w:rPr>
        <w:t xml:space="preserve">1.6.5 </w:t>
      </w:r>
      <w:r>
        <w:rPr>
          <w:rFonts w:hint="eastAsia"/>
          <w:color w:val="000000" w:themeColor="text1"/>
          <w14:textFill>
            <w14:solidFill>
              <w14:schemeClr w14:val="tx1"/>
            </w14:solidFill>
          </w14:textFill>
        </w:rPr>
        <w:t>重难点五：四端一致性与低成本维护</w:t>
      </w:r>
    </w:p>
    <w:p w14:paraId="32B9B255">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难在哪</w:t>
      </w:r>
      <w:r>
        <w:rPr>
          <w:rFonts w:hint="eastAsia"/>
          <w:color w:val="000000" w:themeColor="text1"/>
          <w14:textFill>
            <w14:solidFill>
              <w14:schemeClr w14:val="tx1"/>
            </w14:solidFill>
          </w14:textFill>
        </w:rPr>
        <w:t>：四端并存，若各端逻辑分散，将导致体验不一致与维护成本高。</w:t>
      </w:r>
    </w:p>
    <w:p w14:paraId="48BE0BFA">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怎么解</w:t>
      </w:r>
      <w:r>
        <w:rPr>
          <w:rFonts w:hint="eastAsia"/>
          <w:color w:val="000000" w:themeColor="text1"/>
          <w14:textFill>
            <w14:solidFill>
              <w14:schemeClr w14:val="tx1"/>
            </w14:solidFill>
          </w14:textFill>
        </w:rPr>
        <w:t>：四端共享统一后端服务与业务规则，前端按渠道差异做适配而非重复实现业务逻辑，配合统一的技术规范与代码复用，降低长期维护成本。</w:t>
      </w:r>
    </w:p>
    <w:bookmarkEnd w:id="36"/>
    <w:p w14:paraId="676D5D94">
      <w:pPr>
        <w:pStyle w:val="5"/>
        <w:rPr>
          <w:color w:val="000000" w:themeColor="text1"/>
          <w14:textFill>
            <w14:solidFill>
              <w14:schemeClr w14:val="tx1"/>
            </w14:solidFill>
          </w14:textFill>
        </w:rPr>
      </w:pPr>
      <w:bookmarkStart w:id="37" w:name="关键难点驻场模式下的进度与质量双控"/>
      <w:r>
        <w:rPr>
          <w:color w:val="000000" w:themeColor="text1"/>
          <w14:textFill>
            <w14:solidFill>
              <w14:schemeClr w14:val="tx1"/>
            </w14:solidFill>
          </w14:textFill>
        </w:rPr>
        <w:t xml:space="preserve">1.6.6 </w:t>
      </w:r>
      <w:r>
        <w:rPr>
          <w:rFonts w:hint="eastAsia"/>
          <w:color w:val="000000" w:themeColor="text1"/>
          <w14:textFill>
            <w14:solidFill>
              <w14:schemeClr w14:val="tx1"/>
            </w14:solidFill>
          </w14:textFill>
        </w:rPr>
        <w:t>关键难点：驻场模式下的进度与质量双控</w:t>
      </w:r>
    </w:p>
    <w:p w14:paraId="2900AA6F">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难在哪</w:t>
      </w:r>
      <w:r>
        <w:rPr>
          <w:rFonts w:hint="eastAsia"/>
          <w:color w:val="000000" w:themeColor="text1"/>
          <w14:textFill>
            <w14:solidFill>
              <w14:schemeClr w14:val="tx1"/>
            </w14:solidFill>
          </w14:textFill>
        </w:rPr>
        <w:t>：驻场开发边建边用，需求持续、节点密集，进度与质量易顾此失彼。</w:t>
      </w:r>
    </w:p>
    <w:p w14:paraId="74C46EA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怎么解</w:t>
      </w:r>
      <w:r>
        <w:rPr>
          <w:rFonts w:hint="eastAsia"/>
          <w:color w:val="000000" w:themeColor="text1"/>
          <w14:textFill>
            <w14:solidFill>
              <w14:schemeClr w14:val="tx1"/>
            </w14:solidFill>
          </w14:textFill>
        </w:rPr>
        <w:t>：以迭代开发+里程碑基线管控进度，以编码规范、代码评审、多层测试、缺陷闭环管控质量，以周报月报与例会保障与招标人的同频推进（详见第三章）。</w:t>
      </w:r>
    </w:p>
    <w:bookmarkEnd w:id="31"/>
    <w:bookmarkEnd w:id="37"/>
    <w:p w14:paraId="60635ACB">
      <w:pPr>
        <w:pStyle w:val="4"/>
        <w:rPr>
          <w:color w:val="000000" w:themeColor="text1"/>
          <w14:textFill>
            <w14:solidFill>
              <w14:schemeClr w14:val="tx1"/>
            </w14:solidFill>
          </w14:textFill>
        </w:rPr>
      </w:pPr>
      <w:bookmarkStart w:id="38" w:name="系统非功能性需求分析"/>
      <w:r>
        <w:rPr>
          <w:color w:val="000000" w:themeColor="text1"/>
          <w14:textFill>
            <w14:solidFill>
              <w14:schemeClr w14:val="tx1"/>
            </w14:solidFill>
          </w14:textFill>
        </w:rPr>
        <w:t xml:space="preserve">1.7 </w:t>
      </w:r>
      <w:r>
        <w:rPr>
          <w:rFonts w:hint="eastAsia"/>
          <w:color w:val="000000" w:themeColor="text1"/>
          <w14:textFill>
            <w14:solidFill>
              <w14:schemeClr w14:val="tx1"/>
            </w14:solidFill>
          </w14:textFill>
        </w:rPr>
        <w:t>系统非功能性需求分析</w:t>
      </w:r>
    </w:p>
    <w:p w14:paraId="63E5BF3F">
      <w:pPr>
        <w:pStyle w:val="5"/>
        <w:rPr>
          <w:color w:val="000000" w:themeColor="text1"/>
          <w14:textFill>
            <w14:solidFill>
              <w14:schemeClr w14:val="tx1"/>
            </w14:solidFill>
          </w14:textFill>
        </w:rPr>
      </w:pPr>
      <w:bookmarkStart w:id="39" w:name="性能需求"/>
      <w:r>
        <w:rPr>
          <w:color w:val="000000" w:themeColor="text1"/>
          <w14:textFill>
            <w14:solidFill>
              <w14:schemeClr w14:val="tx1"/>
            </w14:solidFill>
          </w14:textFill>
        </w:rPr>
        <w:t xml:space="preserve">1.7.1 </w:t>
      </w:r>
      <w:r>
        <w:rPr>
          <w:rFonts w:hint="eastAsia"/>
          <w:color w:val="000000" w:themeColor="text1"/>
          <w14:textFill>
            <w14:solidFill>
              <w14:schemeClr w14:val="tx1"/>
            </w14:solidFill>
          </w14:textFill>
        </w:rPr>
        <w:t>性能需求</w:t>
      </w:r>
    </w:p>
    <w:p w14:paraId="5B18D2F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系统面向群众高频使用，须保证常规操作页面响应迅速、支付与核验等关键交易在可接受时间内完成，并能承受集中选房、集中缴费等业务高峰的并发压力（性能指标与压测方案见第三章）。</w:t>
      </w:r>
    </w:p>
    <w:p w14:paraId="54300C9D">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本方案设定如下可度量的性能目标，作为设计、开发与验收测试的量化依据：</w:t>
      </w:r>
    </w:p>
    <w:tbl>
      <w:tblPr>
        <w:tblStyle w:val="41"/>
        <w:tblW w:w="5000" w:type="pct"/>
        <w:tblInd w:w="0" w:type="dxa"/>
        <w:tblLayout w:type="fixed"/>
        <w:tblCellMar>
          <w:top w:w="0" w:type="dxa"/>
          <w:left w:w="108" w:type="dxa"/>
          <w:bottom w:w="0" w:type="dxa"/>
          <w:right w:w="108" w:type="dxa"/>
        </w:tblCellMar>
      </w:tblPr>
      <w:tblGrid>
        <w:gridCol w:w="3623"/>
        <w:gridCol w:w="2818"/>
        <w:gridCol w:w="2415"/>
      </w:tblGrid>
      <w:tr w14:paraId="031A0F68">
        <w:trPr>
          <w:tblHeader/>
        </w:trPr>
        <w:tc>
          <w:p w14:paraId="557B95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性能指标</w:t>
            </w:r>
          </w:p>
        </w:tc>
        <w:tc>
          <w:p w14:paraId="0A1DD9A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目标值</w:t>
            </w:r>
          </w:p>
        </w:tc>
        <w:tc>
          <w:p w14:paraId="17E5FD5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38CC574D">
        <w:tc>
          <w:p w14:paraId="40BA0C1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常规页面响应</w:t>
            </w:r>
          </w:p>
        </w:tc>
        <w:tc>
          <w:p w14:paraId="20E8298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95%请求≤2秒</w:t>
            </w:r>
          </w:p>
        </w:tc>
        <w:tc>
          <w:p w14:paraId="32EA93E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列表、详情等常规查询</w:t>
            </w:r>
          </w:p>
        </w:tc>
      </w:tr>
      <w:tr w14:paraId="50D5D129">
        <w:tc>
          <w:p w14:paraId="047EC69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关键交易响应</w:t>
            </w:r>
          </w:p>
        </w:tc>
        <w:tc>
          <w:p w14:paraId="6952441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支付下单/核验≤3秒（不含第三方耗时）</w:t>
            </w:r>
          </w:p>
        </w:tc>
        <w:tc>
          <w:p w14:paraId="5779843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端到端可接受时延</w:t>
            </w:r>
          </w:p>
        </w:tc>
      </w:tr>
      <w:tr w14:paraId="7A21A349">
        <w:tc>
          <w:p w14:paraId="6615E3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系统并发</w:t>
            </w:r>
          </w:p>
        </w:tc>
        <w:tc>
          <w:p w14:paraId="6407D1A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支持业务高峰并发在线，弹性可扩展</w:t>
            </w:r>
          </w:p>
        </w:tc>
        <w:tc>
          <w:p w14:paraId="24067C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通过水平扩展应对峰值</w:t>
            </w:r>
          </w:p>
        </w:tc>
      </w:tr>
      <w:tr w14:paraId="6761025D">
        <w:tc>
          <w:p w14:paraId="0063E9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接口成功率</w:t>
            </w:r>
          </w:p>
        </w:tc>
        <w:tc>
          <w:p w14:paraId="4488CFA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核心接口成功率≥99.9%</w:t>
            </w:r>
          </w:p>
        </w:tc>
        <w:tc>
          <w:p w14:paraId="46281AD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剔除第三方不可用因素</w:t>
            </w:r>
          </w:p>
        </w:tc>
      </w:tr>
      <w:tr w14:paraId="6679ED90">
        <w:tc>
          <w:p w14:paraId="43461A6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数据库</w:t>
            </w:r>
          </w:p>
        </w:tc>
        <w:tc>
          <w:p w14:paraId="59A508D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慢查询受控、主备延迟秒级</w:t>
            </w:r>
          </w:p>
        </w:tc>
        <w:tc>
          <w:p w14:paraId="0663A57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索引优化+读写分离预留</w:t>
            </w:r>
          </w:p>
        </w:tc>
      </w:tr>
    </w:tbl>
    <w:p w14:paraId="764EA8A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上述目标通过”缓存加速热点数据、数据库索引与慢查询治理、静态资源分离、关键交易异步化与幂等、应用无状态化便于水平扩展”等设计手段保障，并在系统测试阶段以压力测试验证。</w:t>
      </w:r>
    </w:p>
    <w:bookmarkEnd w:id="39"/>
    <w:p w14:paraId="28347DC2">
      <w:pPr>
        <w:pStyle w:val="5"/>
        <w:rPr>
          <w:color w:val="000000" w:themeColor="text1"/>
          <w14:textFill>
            <w14:solidFill>
              <w14:schemeClr w14:val="tx1"/>
            </w14:solidFill>
          </w14:textFill>
        </w:rPr>
      </w:pPr>
      <w:bookmarkStart w:id="40" w:name="可用性与可靠性需求"/>
      <w:r>
        <w:rPr>
          <w:color w:val="000000" w:themeColor="text1"/>
          <w14:textFill>
            <w14:solidFill>
              <w14:schemeClr w14:val="tx1"/>
            </w14:solidFill>
          </w14:textFill>
        </w:rPr>
        <w:t xml:space="preserve">1.7.2 </w:t>
      </w:r>
      <w:r>
        <w:rPr>
          <w:rFonts w:hint="eastAsia"/>
          <w:color w:val="000000" w:themeColor="text1"/>
          <w14:textFill>
            <w14:solidFill>
              <w14:schemeClr w14:val="tx1"/>
            </w14:solidFill>
          </w14:textFill>
        </w:rPr>
        <w:t>可用性与可靠性需求</w:t>
      </w:r>
    </w:p>
    <w:p w14:paraId="4055C6D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系统须具备高可用能力，关键业务7×24小时可用；具备完善的备份与恢复机制，保证数据不丢失、故障可快速恢复（运维保障见第五章）。</w:t>
      </w:r>
    </w:p>
    <w:bookmarkEnd w:id="40"/>
    <w:p w14:paraId="48688D59">
      <w:pPr>
        <w:pStyle w:val="5"/>
        <w:rPr>
          <w:color w:val="000000" w:themeColor="text1"/>
          <w14:textFill>
            <w14:solidFill>
              <w14:schemeClr w14:val="tx1"/>
            </w14:solidFill>
          </w14:textFill>
        </w:rPr>
      </w:pPr>
      <w:bookmarkStart w:id="41" w:name="兼容性需求"/>
      <w:r>
        <w:rPr>
          <w:color w:val="000000" w:themeColor="text1"/>
          <w14:textFill>
            <w14:solidFill>
              <w14:schemeClr w14:val="tx1"/>
            </w14:solidFill>
          </w14:textFill>
        </w:rPr>
        <w:t xml:space="preserve">1.7.3 </w:t>
      </w:r>
      <w:r>
        <w:rPr>
          <w:rFonts w:hint="eastAsia"/>
          <w:color w:val="000000" w:themeColor="text1"/>
          <w14:textFill>
            <w14:solidFill>
              <w14:schemeClr w14:val="tx1"/>
            </w14:solidFill>
          </w14:textFill>
        </w:rPr>
        <w:t>兼容性需求</w:t>
      </w:r>
    </w:p>
    <w:p w14:paraId="61F59FE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移动端/小程序/公众号须兼容主流手机机型与微信版本，后台管理端须兼容主流浏览器，保证不同终端下功能与展示正常。</w:t>
      </w:r>
    </w:p>
    <w:bookmarkEnd w:id="41"/>
    <w:p w14:paraId="5FA36C5C">
      <w:pPr>
        <w:pStyle w:val="5"/>
        <w:rPr>
          <w:color w:val="000000" w:themeColor="text1"/>
          <w14:textFill>
            <w14:solidFill>
              <w14:schemeClr w14:val="tx1"/>
            </w14:solidFill>
          </w14:textFill>
        </w:rPr>
      </w:pPr>
      <w:bookmarkStart w:id="42" w:name="易用性需求"/>
      <w:r>
        <w:rPr>
          <w:color w:val="000000" w:themeColor="text1"/>
          <w14:textFill>
            <w14:solidFill>
              <w14:schemeClr w14:val="tx1"/>
            </w14:solidFill>
          </w14:textFill>
        </w:rPr>
        <w:t xml:space="preserve">1.7.4 </w:t>
      </w:r>
      <w:r>
        <w:rPr>
          <w:rFonts w:hint="eastAsia"/>
          <w:color w:val="000000" w:themeColor="text1"/>
          <w14:textFill>
            <w14:solidFill>
              <w14:schemeClr w14:val="tx1"/>
            </w14:solidFill>
          </w14:textFill>
        </w:rPr>
        <w:t>易用性需求</w:t>
      </w:r>
    </w:p>
    <w:p w14:paraId="43B9C65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面向普通群众的端应做到界面清晰、操作路径短、提示明确，尽量降低使用门槛；面向管理人员的后台应做到布局合理、操作高效。</w:t>
      </w:r>
    </w:p>
    <w:bookmarkEnd w:id="42"/>
    <w:p w14:paraId="4BD93BBF">
      <w:pPr>
        <w:pStyle w:val="5"/>
        <w:rPr>
          <w:color w:val="000000" w:themeColor="text1"/>
          <w14:textFill>
            <w14:solidFill>
              <w14:schemeClr w14:val="tx1"/>
            </w14:solidFill>
          </w14:textFill>
        </w:rPr>
      </w:pPr>
      <w:bookmarkStart w:id="43" w:name="可扩展性与可维护性需求"/>
      <w:r>
        <w:rPr>
          <w:color w:val="000000" w:themeColor="text1"/>
          <w14:textFill>
            <w14:solidFill>
              <w14:schemeClr w14:val="tx1"/>
            </w14:solidFill>
          </w14:textFill>
        </w:rPr>
        <w:t xml:space="preserve">1.7.5 </w:t>
      </w:r>
      <w:r>
        <w:rPr>
          <w:rFonts w:hint="eastAsia"/>
          <w:color w:val="000000" w:themeColor="text1"/>
          <w14:textFill>
            <w14:solidFill>
              <w14:schemeClr w14:val="tx1"/>
            </w14:solidFill>
          </w14:textFill>
        </w:rPr>
        <w:t>可扩展性与可维护性需求</w:t>
      </w:r>
    </w:p>
    <w:p w14:paraId="1381C84F">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系统架构应支持业务功能的平滑扩展与业态规则的灵活调整，代码结构清晰、注释完整、文档齐备，便于长期驻场运维与二次开发。</w:t>
      </w:r>
    </w:p>
    <w:bookmarkEnd w:id="43"/>
    <w:p w14:paraId="17393E22">
      <w:pPr>
        <w:pStyle w:val="5"/>
        <w:rPr>
          <w:color w:val="000000" w:themeColor="text1"/>
          <w14:textFill>
            <w14:solidFill>
              <w14:schemeClr w14:val="tx1"/>
            </w14:solidFill>
          </w14:textFill>
        </w:rPr>
      </w:pPr>
      <w:bookmarkStart w:id="44" w:name="安全合规需求"/>
      <w:r>
        <w:rPr>
          <w:color w:val="000000" w:themeColor="text1"/>
          <w14:textFill>
            <w14:solidFill>
              <w14:schemeClr w14:val="tx1"/>
            </w14:solidFill>
          </w14:textFill>
        </w:rPr>
        <w:t xml:space="preserve">1.7.6 </w:t>
      </w:r>
      <w:r>
        <w:rPr>
          <w:rFonts w:hint="eastAsia"/>
          <w:color w:val="000000" w:themeColor="text1"/>
          <w14:textFill>
            <w14:solidFill>
              <w14:schemeClr w14:val="tx1"/>
            </w14:solidFill>
          </w14:textFill>
        </w:rPr>
        <w:t>安全合规需求</w:t>
      </w:r>
    </w:p>
    <w:p w14:paraId="292D3C3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系统须满足信息系统安全技术与安全管理要求，适配二级等保各项控制措施，依法保护个人信息，保障资金与数据安全（详见第四章）。</w:t>
      </w:r>
    </w:p>
    <w:bookmarkEnd w:id="38"/>
    <w:bookmarkEnd w:id="44"/>
    <w:p w14:paraId="66D9321B">
      <w:pPr>
        <w:pStyle w:val="4"/>
        <w:rPr>
          <w:color w:val="000000" w:themeColor="text1"/>
          <w14:textFill>
            <w14:solidFill>
              <w14:schemeClr w14:val="tx1"/>
            </w14:solidFill>
          </w14:textFill>
        </w:rPr>
      </w:pPr>
      <w:bookmarkStart w:id="45" w:name="术语与定义"/>
      <w:r>
        <w:rPr>
          <w:color w:val="000000" w:themeColor="text1"/>
          <w14:textFill>
            <w14:solidFill>
              <w14:schemeClr w14:val="tx1"/>
            </w14:solidFill>
          </w14:textFill>
        </w:rPr>
        <w:t xml:space="preserve">1.8 </w:t>
      </w:r>
      <w:r>
        <w:rPr>
          <w:rFonts w:hint="eastAsia"/>
          <w:color w:val="000000" w:themeColor="text1"/>
          <w14:textFill>
            <w14:solidFill>
              <w14:schemeClr w14:val="tx1"/>
            </w14:solidFill>
          </w14:textFill>
        </w:rPr>
        <w:t>术语与定义</w:t>
      </w:r>
    </w:p>
    <w:p w14:paraId="0616F03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保租房</w:t>
      </w:r>
      <w:r>
        <w:rPr>
          <w:rFonts w:hint="eastAsia"/>
          <w:color w:val="000000" w:themeColor="text1"/>
          <w14:textFill>
            <w14:solidFill>
              <w14:schemeClr w14:val="tx1"/>
            </w14:solidFill>
          </w14:textFill>
        </w:rPr>
        <w:t>：保障性租赁住房，面向新市民、青年人等群体的政策性租赁住房。</w:t>
      </w:r>
    </w:p>
    <w:p w14:paraId="1FF0DC8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人才公寓</w:t>
      </w:r>
      <w:r>
        <w:rPr>
          <w:rFonts w:hint="eastAsia"/>
          <w:color w:val="000000" w:themeColor="text1"/>
          <w14:textFill>
            <w14:solidFill>
              <w14:schemeClr w14:val="tx1"/>
            </w14:solidFill>
          </w14:textFill>
        </w:rPr>
        <w:t>：面向各层次人才提供的、享受租金优惠等政策的租赁住房。</w:t>
      </w:r>
    </w:p>
    <w:p w14:paraId="59C2F56A">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市场租赁</w:t>
      </w:r>
      <w:r>
        <w:rPr>
          <w:rFonts w:hint="eastAsia"/>
          <w:color w:val="000000" w:themeColor="text1"/>
          <w14:textFill>
            <w14:solidFill>
              <w14:schemeClr w14:val="tx1"/>
            </w14:solidFill>
          </w14:textFill>
        </w:rPr>
        <w:t>：按市场化方式出租的房源。</w:t>
      </w:r>
    </w:p>
    <w:p w14:paraId="671C897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郑好办</w:t>
      </w:r>
      <w:r>
        <w:rPr>
          <w:rFonts w:hint="eastAsia"/>
          <w:color w:val="000000" w:themeColor="text1"/>
          <w14:textFill>
            <w14:solidFill>
              <w14:schemeClr w14:val="tx1"/>
            </w14:solidFill>
          </w14:textFill>
        </w:rPr>
        <w:t>：郑州市政务服务统一平台，提供统一用户体系与政务服务入口。</w:t>
      </w:r>
    </w:p>
    <w:p w14:paraId="4093F25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资格核验</w:t>
      </w:r>
      <w:r>
        <w:rPr>
          <w:rFonts w:hint="eastAsia"/>
          <w:color w:val="000000" w:themeColor="text1"/>
          <w14:textFill>
            <w14:solidFill>
              <w14:schemeClr w14:val="tx1"/>
            </w14:solidFill>
          </w14:textFill>
        </w:rPr>
        <w:t>：通过政务数据自动核对租户是否符合保租房/人才公寓准入条件的过程。</w:t>
      </w:r>
    </w:p>
    <w:p w14:paraId="26B4CC5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账期制账单</w:t>
      </w:r>
      <w:r>
        <w:rPr>
          <w:rFonts w:hint="eastAsia"/>
          <w:color w:val="000000" w:themeColor="text1"/>
          <w14:textFill>
            <w14:solidFill>
              <w14:schemeClr w14:val="tx1"/>
            </w14:solidFill>
          </w14:textFill>
        </w:rPr>
        <w:t>：按租金所属期间（起止日期）生成与管理账单的机制。</w:t>
      </w:r>
    </w:p>
    <w:p w14:paraId="64959C6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实际退租日期</w:t>
      </w:r>
      <w:r>
        <w:rPr>
          <w:rFonts w:hint="eastAsia"/>
          <w:color w:val="000000" w:themeColor="text1"/>
          <w14:textFill>
            <w14:solidFill>
              <w14:schemeClr w14:val="tx1"/>
            </w14:solidFill>
          </w14:textFill>
        </w:rPr>
        <w:t>：退租审批时由管理人员核定、作为退款按日精算基准的日期。</w:t>
      </w:r>
    </w:p>
    <w:p w14:paraId="52D1628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业态</w:t>
      </w:r>
      <w:r>
        <w:rPr>
          <w:rFonts w:hint="eastAsia"/>
          <w:color w:val="000000" w:themeColor="text1"/>
          <w14:textFill>
            <w14:solidFill>
              <w14:schemeClr w14:val="tx1"/>
            </w14:solidFill>
          </w14:textFill>
        </w:rPr>
        <w:t>：保租房、人才公寓、市场租赁三类租赁业务类型的统称。</w:t>
      </w:r>
    </w:p>
    <w:p w14:paraId="68A0C36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四端</w:t>
      </w:r>
      <w:r>
        <w:rPr>
          <w:rFonts w:hint="eastAsia"/>
          <w:color w:val="000000" w:themeColor="text1"/>
          <w14:textFill>
            <w14:solidFill>
              <w14:schemeClr w14:val="tx1"/>
            </w14:solidFill>
          </w14:textFill>
        </w:rPr>
        <w:t>：移动端（H5）、微信小程序端、微信公众号端、后台管理端。</w:t>
      </w:r>
    </w:p>
    <w:bookmarkEnd w:id="45"/>
    <w:p w14:paraId="0FEF2D5D">
      <w:pPr>
        <w:pStyle w:val="4"/>
        <w:rPr>
          <w:color w:val="000000" w:themeColor="text1"/>
          <w14:textFill>
            <w14:solidFill>
              <w14:schemeClr w14:val="tx1"/>
            </w14:solidFill>
          </w14:textFill>
        </w:rPr>
      </w:pPr>
      <w:bookmarkStart w:id="46" w:name="总体建设原则"/>
      <w:r>
        <w:rPr>
          <w:color w:val="000000" w:themeColor="text1"/>
          <w14:textFill>
            <w14:solidFill>
              <w14:schemeClr w14:val="tx1"/>
            </w14:solidFill>
          </w14:textFill>
        </w:rPr>
        <w:t xml:space="preserve">1.9 </w:t>
      </w:r>
      <w:r>
        <w:rPr>
          <w:rFonts w:hint="eastAsia"/>
          <w:color w:val="000000" w:themeColor="text1"/>
          <w14:textFill>
            <w14:solidFill>
              <w14:schemeClr w14:val="tx1"/>
            </w14:solidFill>
          </w14:textFill>
        </w:rPr>
        <w:t>总体建设原则</w:t>
      </w:r>
    </w:p>
    <w:p w14:paraId="094FAA80">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基于上述需求分析，本方案确立六项贯穿全生命周期的建设原则，作为后续设计、实施、安全、运维各章节的统一遵循：</w:t>
      </w:r>
    </w:p>
    <w:p w14:paraId="61DF4134">
      <w:pPr>
        <w:pStyle w:val="24"/>
        <w:numPr>
          <w:ilvl w:val="0"/>
          <w:numId w:val="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业务优先、贴合实际</w:t>
      </w:r>
      <w:r>
        <w:rPr>
          <w:rFonts w:hint="eastAsia"/>
          <w:color w:val="000000" w:themeColor="text1"/>
          <w14:textFill>
            <w14:solidFill>
              <w14:schemeClr w14:val="tx1"/>
            </w14:solidFill>
          </w14:textFill>
        </w:rPr>
        <w:t>：一切设计从港区三类业态的真实业务动线出发，功能覆盖招标功能明细全部条目，不做与业务脱节的过度设计。</w:t>
      </w:r>
    </w:p>
    <w:p w14:paraId="7A7F21C7">
      <w:pPr>
        <w:pStyle w:val="24"/>
        <w:numPr>
          <w:ilvl w:val="0"/>
          <w:numId w:val="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稳定为本、连续不断</w:t>
      </w:r>
      <w:r>
        <w:rPr>
          <w:rFonts w:hint="eastAsia"/>
          <w:color w:val="000000" w:themeColor="text1"/>
          <w14:textFill>
            <w14:solidFill>
              <w14:schemeClr w14:val="tx1"/>
            </w14:solidFill>
          </w14:textFill>
        </w:rPr>
        <w:t>：把业务连续性作为红线，上线、变更、迁移均以”不中断在办业务、不影响资金安全”为前提。</w:t>
      </w:r>
    </w:p>
    <w:p w14:paraId="156FADD4">
      <w:pPr>
        <w:pStyle w:val="24"/>
        <w:numPr>
          <w:ilvl w:val="0"/>
          <w:numId w:val="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资金安全、账实相符</w:t>
      </w:r>
      <w:r>
        <w:rPr>
          <w:rFonts w:hint="eastAsia"/>
          <w:color w:val="000000" w:themeColor="text1"/>
          <w14:textFill>
            <w14:solidFill>
              <w14:schemeClr w14:val="tx1"/>
            </w14:solidFill>
          </w14:textFill>
        </w:rPr>
        <w:t>：涉及资金的每一笔操作均可对账、可追溯、幂等防重，杜绝重复扣款与漏账错账。</w:t>
      </w:r>
    </w:p>
    <w:p w14:paraId="7C4B4EB2">
      <w:pPr>
        <w:pStyle w:val="24"/>
        <w:numPr>
          <w:ilvl w:val="0"/>
          <w:numId w:val="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合规先行、保护隐私</w:t>
      </w:r>
      <w:r>
        <w:rPr>
          <w:rFonts w:hint="eastAsia"/>
          <w:color w:val="000000" w:themeColor="text1"/>
          <w14:textFill>
            <w14:solidFill>
              <w14:schemeClr w14:val="tx1"/>
            </w14:solidFill>
          </w14:textFill>
        </w:rPr>
        <w:t>：满足二级等保要求，依法保护群众身份、人脸、支付等敏感信息，安全贯穿开发到运维全过程。</w:t>
      </w:r>
    </w:p>
    <w:p w14:paraId="3EE4DED4">
      <w:pPr>
        <w:pStyle w:val="24"/>
        <w:numPr>
          <w:ilvl w:val="0"/>
          <w:numId w:val="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务实取舍、易于维护</w:t>
      </w:r>
      <w:r>
        <w:rPr>
          <w:rFonts w:hint="eastAsia"/>
          <w:color w:val="000000" w:themeColor="text1"/>
          <w14:textFill>
            <w14:solidFill>
              <w14:schemeClr w14:val="tx1"/>
            </w14:solidFill>
          </w14:textFill>
        </w:rPr>
        <w:t>：架构选型以”够用、稳定、易维护”为准，避免为技术而技术，降低六年运维期的长期维护成本。</w:t>
      </w:r>
    </w:p>
    <w:p w14:paraId="554451BE">
      <w:pPr>
        <w:pStyle w:val="24"/>
        <w:numPr>
          <w:ilvl w:val="0"/>
          <w:numId w:val="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持续演进、平滑扩展</w:t>
      </w:r>
      <w:r>
        <w:rPr>
          <w:rFonts w:hint="eastAsia"/>
          <w:color w:val="000000" w:themeColor="text1"/>
          <w14:textFill>
            <w14:solidFill>
              <w14:schemeClr w14:val="tx1"/>
            </w14:solidFill>
          </w14:textFill>
        </w:rPr>
        <w:t>：以参数化、模块化设计承载业态规则变化与功能扩展，支撑驻场团队”边建边用、持续迭代”的工作模式。</w:t>
      </w:r>
    </w:p>
    <w:p w14:paraId="3239450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上述原则将在第二章的架构与功能设计、第三章的实施管理、第四章的安全管理、第五章的运维管理、第六章的服务保障中逐一落地，形成”需求—设计—实施—安全—运维—保障”的完整闭环。</w:t>
      </w:r>
    </w:p>
    <w:p w14:paraId="1C39F1EC">
      <w:pPr>
        <w:rPr>
          <w:color w:val="000000" w:themeColor="text1"/>
          <w14:textFill>
            <w14:solidFill>
              <w14:schemeClr w14:val="tx1"/>
            </w14:solidFill>
          </w14:textFill>
        </w:rPr>
      </w:pPr>
      <w:r>
        <w:rPr>
          <w:color w:val="000000" w:themeColor="text1"/>
          <w14:textFill>
            <w14:solidFill>
              <w14:schemeClr w14:val="tx1"/>
            </w14:solidFill>
          </w14:textFill>
        </w:rPr>
        <w:br w:type="page"/>
      </w:r>
    </w:p>
    <w:bookmarkEnd w:id="1"/>
    <w:bookmarkEnd w:id="46"/>
    <w:p w14:paraId="4DE90154">
      <w:pPr>
        <w:pStyle w:val="2"/>
        <w:rPr>
          <w:color w:val="000000" w:themeColor="text1"/>
          <w14:textFill>
            <w14:solidFill>
              <w14:schemeClr w14:val="tx1"/>
            </w14:solidFill>
          </w14:textFill>
        </w:rPr>
      </w:pPr>
      <w:bookmarkStart w:id="47" w:name="第二章-应用系统功能设计"/>
      <w:r>
        <w:rPr>
          <w:rFonts w:hint="eastAsia"/>
          <w:color w:val="000000" w:themeColor="text1"/>
          <w14:textFill>
            <w14:solidFill>
              <w14:schemeClr w14:val="tx1"/>
            </w14:solidFill>
          </w14:textFill>
        </w:rPr>
        <w:t>第二章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应用系统功能设计</w:t>
      </w:r>
    </w:p>
    <w:p w14:paraId="7B7DFE21">
      <w:pPr>
        <w:pStyle w:val="4"/>
        <w:rPr>
          <w:color w:val="000000" w:themeColor="text1"/>
          <w14:textFill>
            <w14:solidFill>
              <w14:schemeClr w14:val="tx1"/>
            </w14:solidFill>
          </w14:textFill>
        </w:rPr>
      </w:pPr>
      <w:bookmarkStart w:id="48" w:name="应用系统功能执行标准"/>
      <w:r>
        <w:rPr>
          <w:color w:val="000000" w:themeColor="text1"/>
          <w14:textFill>
            <w14:solidFill>
              <w14:schemeClr w14:val="tx1"/>
            </w14:solidFill>
          </w14:textFill>
        </w:rPr>
        <w:t xml:space="preserve">2.1 </w:t>
      </w:r>
      <w:r>
        <w:rPr>
          <w:rFonts w:hint="eastAsia"/>
          <w:color w:val="000000" w:themeColor="text1"/>
          <w14:textFill>
            <w14:solidFill>
              <w14:schemeClr w14:val="tx1"/>
            </w14:solidFill>
          </w14:textFill>
        </w:rPr>
        <w:t>应用系统功能执行标准</w:t>
      </w:r>
    </w:p>
    <w:p w14:paraId="0E6C3FB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本系统的设计、开发、测试与验收，统一遵循国家、行业相关标准与招标人的技术要求，确保系统”建得规范、用得可靠、验得清楚”。主要执行标准如下：</w:t>
      </w:r>
    </w:p>
    <w:p w14:paraId="2AAF6E9B">
      <w:pPr>
        <w:pStyle w:val="5"/>
        <w:rPr>
          <w:color w:val="000000" w:themeColor="text1"/>
          <w14:textFill>
            <w14:solidFill>
              <w14:schemeClr w14:val="tx1"/>
            </w14:solidFill>
          </w14:textFill>
        </w:rPr>
      </w:pPr>
      <w:bookmarkStart w:id="49" w:name="软件工程与质量标准"/>
      <w:r>
        <w:rPr>
          <w:color w:val="000000" w:themeColor="text1"/>
          <w14:textFill>
            <w14:solidFill>
              <w14:schemeClr w14:val="tx1"/>
            </w14:solidFill>
          </w14:textFill>
        </w:rPr>
        <w:t xml:space="preserve">2.1.1 </w:t>
      </w:r>
      <w:r>
        <w:rPr>
          <w:rFonts w:hint="eastAsia"/>
          <w:color w:val="000000" w:themeColor="text1"/>
          <w14:textFill>
            <w14:solidFill>
              <w14:schemeClr w14:val="tx1"/>
            </w14:solidFill>
          </w14:textFill>
        </w:rPr>
        <w:t>软件工程与质量标准</w:t>
      </w:r>
    </w:p>
    <w:p w14:paraId="48494FB7">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8566 </w:t>
      </w:r>
      <w:r>
        <w:rPr>
          <w:rFonts w:hint="eastAsia"/>
          <w:color w:val="000000" w:themeColor="text1"/>
          <w14:textFill>
            <w14:solidFill>
              <w14:schemeClr w14:val="tx1"/>
            </w14:solidFill>
          </w14:textFill>
        </w:rPr>
        <w:t>信息技术</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软件生存周期过程；</w:t>
      </w:r>
    </w:p>
    <w:p w14:paraId="70D299BE">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8567 </w:t>
      </w:r>
      <w:r>
        <w:rPr>
          <w:rFonts w:hint="eastAsia"/>
          <w:color w:val="000000" w:themeColor="text1"/>
          <w14:textFill>
            <w14:solidFill>
              <w14:schemeClr w14:val="tx1"/>
            </w14:solidFill>
          </w14:textFill>
        </w:rPr>
        <w:t>计算机软件文档编制规范；</w:t>
      </w:r>
    </w:p>
    <w:p w14:paraId="45B7BA3D">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9385 </w:t>
      </w:r>
      <w:r>
        <w:rPr>
          <w:rFonts w:hint="eastAsia"/>
          <w:color w:val="000000" w:themeColor="text1"/>
          <w14:textFill>
            <w14:solidFill>
              <w14:schemeClr w14:val="tx1"/>
            </w14:solidFill>
          </w14:textFill>
        </w:rPr>
        <w:t>计算机软件需求规格说明规范；</w:t>
      </w:r>
    </w:p>
    <w:p w14:paraId="7A1CDC1E">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16260 </w:t>
      </w:r>
      <w:r>
        <w:rPr>
          <w:rFonts w:hint="eastAsia"/>
          <w:color w:val="000000" w:themeColor="text1"/>
          <w14:textFill>
            <w14:solidFill>
              <w14:schemeClr w14:val="tx1"/>
            </w14:solidFill>
          </w14:textFill>
        </w:rPr>
        <w:t>系统与软件工程</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系统与软件质量要求和评价（SQuaRE）；</w:t>
      </w:r>
    </w:p>
    <w:p w14:paraId="0B65CA1B">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25000 </w:t>
      </w:r>
      <w:r>
        <w:rPr>
          <w:rFonts w:hint="eastAsia"/>
          <w:color w:val="000000" w:themeColor="text1"/>
          <w14:textFill>
            <w14:solidFill>
              <w14:schemeClr w14:val="tx1"/>
            </w14:solidFill>
          </w14:textFill>
        </w:rPr>
        <w:t>系列</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系统与软件质量要求和评价。</w:t>
      </w:r>
    </w:p>
    <w:bookmarkEnd w:id="49"/>
    <w:p w14:paraId="1C1F9828">
      <w:pPr>
        <w:pStyle w:val="5"/>
        <w:rPr>
          <w:color w:val="000000" w:themeColor="text1"/>
          <w14:textFill>
            <w14:solidFill>
              <w14:schemeClr w14:val="tx1"/>
            </w14:solidFill>
          </w14:textFill>
        </w:rPr>
      </w:pPr>
      <w:bookmarkStart w:id="50" w:name="安全与等保标准"/>
      <w:r>
        <w:rPr>
          <w:color w:val="000000" w:themeColor="text1"/>
          <w14:textFill>
            <w14:solidFill>
              <w14:schemeClr w14:val="tx1"/>
            </w14:solidFill>
          </w14:textFill>
        </w:rPr>
        <w:t xml:space="preserve">2.1.2 </w:t>
      </w:r>
      <w:r>
        <w:rPr>
          <w:rFonts w:hint="eastAsia"/>
          <w:color w:val="000000" w:themeColor="text1"/>
          <w14:textFill>
            <w14:solidFill>
              <w14:schemeClr w14:val="tx1"/>
            </w14:solidFill>
          </w14:textFill>
        </w:rPr>
        <w:t>安全与等保标准</w:t>
      </w:r>
    </w:p>
    <w:p w14:paraId="2D2C444B">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22239 </w:t>
      </w:r>
      <w:r>
        <w:rPr>
          <w:rFonts w:hint="eastAsia"/>
          <w:color w:val="000000" w:themeColor="text1"/>
          <w14:textFill>
            <w14:solidFill>
              <w14:schemeClr w14:val="tx1"/>
            </w14:solidFill>
          </w14:textFill>
        </w:rPr>
        <w:t>信息安全技术</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网络安全等级保护基本要求（按二级要求适配）；</w:t>
      </w:r>
    </w:p>
    <w:p w14:paraId="4E08E3B8">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22240 </w:t>
      </w:r>
      <w:r>
        <w:rPr>
          <w:rFonts w:hint="eastAsia"/>
          <w:color w:val="000000" w:themeColor="text1"/>
          <w14:textFill>
            <w14:solidFill>
              <w14:schemeClr w14:val="tx1"/>
            </w14:solidFill>
          </w14:textFill>
        </w:rPr>
        <w:t>信息安全技术</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网络安全等级保护定级指南；</w:t>
      </w:r>
    </w:p>
    <w:p w14:paraId="17625571">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25070 </w:t>
      </w:r>
      <w:r>
        <w:rPr>
          <w:rFonts w:hint="eastAsia"/>
          <w:color w:val="000000" w:themeColor="text1"/>
          <w14:textFill>
            <w14:solidFill>
              <w14:schemeClr w14:val="tx1"/>
            </w14:solidFill>
          </w14:textFill>
        </w:rPr>
        <w:t>信息安全技术</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网络安全等级保护安全设计技术要求；</w:t>
      </w:r>
    </w:p>
    <w:p w14:paraId="6FAAC1FB">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28448 </w:t>
      </w:r>
      <w:r>
        <w:rPr>
          <w:rFonts w:hint="eastAsia"/>
          <w:color w:val="000000" w:themeColor="text1"/>
          <w14:textFill>
            <w14:solidFill>
              <w14:schemeClr w14:val="tx1"/>
            </w14:solidFill>
          </w14:textFill>
        </w:rPr>
        <w:t>信息安全技术</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网络安全等级保护测评要求；</w:t>
      </w:r>
    </w:p>
    <w:p w14:paraId="71E8D6CE">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35273 </w:t>
      </w:r>
      <w:r>
        <w:rPr>
          <w:rFonts w:hint="eastAsia"/>
          <w:color w:val="000000" w:themeColor="text1"/>
          <w14:textFill>
            <w14:solidFill>
              <w14:schemeClr w14:val="tx1"/>
            </w14:solidFill>
          </w14:textFill>
        </w:rPr>
        <w:t>信息安全技术</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个人信息安全规范。</w:t>
      </w:r>
    </w:p>
    <w:bookmarkEnd w:id="50"/>
    <w:p w14:paraId="191BC11D">
      <w:pPr>
        <w:pStyle w:val="5"/>
        <w:rPr>
          <w:color w:val="000000" w:themeColor="text1"/>
          <w14:textFill>
            <w14:solidFill>
              <w14:schemeClr w14:val="tx1"/>
            </w14:solidFill>
          </w14:textFill>
        </w:rPr>
      </w:pPr>
      <w:bookmarkStart w:id="51" w:name="数据与接口标准"/>
      <w:r>
        <w:rPr>
          <w:color w:val="000000" w:themeColor="text1"/>
          <w14:textFill>
            <w14:solidFill>
              <w14:schemeClr w14:val="tx1"/>
            </w14:solidFill>
          </w14:textFill>
        </w:rPr>
        <w:t xml:space="preserve">2.1.3 </w:t>
      </w:r>
      <w:r>
        <w:rPr>
          <w:rFonts w:hint="eastAsia"/>
          <w:color w:val="000000" w:themeColor="text1"/>
          <w14:textFill>
            <w14:solidFill>
              <w14:schemeClr w14:val="tx1"/>
            </w14:solidFill>
          </w14:textFill>
        </w:rPr>
        <w:t>数据与接口标准</w:t>
      </w:r>
    </w:p>
    <w:p w14:paraId="231B879B">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GB/T 32960 </w:t>
      </w:r>
      <w:r>
        <w:rPr>
          <w:rFonts w:hint="eastAsia"/>
          <w:color w:val="000000" w:themeColor="text1"/>
          <w14:textFill>
            <w14:solidFill>
              <w14:schemeClr w14:val="tx1"/>
            </w14:solidFill>
          </w14:textFill>
        </w:rPr>
        <w:t>数据接口相关规范及</w:t>
      </w:r>
      <w:r>
        <w:rPr>
          <w:color w:val="000000" w:themeColor="text1"/>
          <w14:textFill>
            <w14:solidFill>
              <w14:schemeClr w14:val="tx1"/>
            </w14:solidFill>
          </w14:textFill>
        </w:rPr>
        <w:t xml:space="preserve"> RESTful </w:t>
      </w:r>
      <w:r>
        <w:rPr>
          <w:rFonts w:hint="eastAsia"/>
          <w:color w:val="000000" w:themeColor="text1"/>
          <w14:textFill>
            <w14:solidFill>
              <w14:schemeClr w14:val="tx1"/>
            </w14:solidFill>
          </w14:textFill>
        </w:rPr>
        <w:t>接口设计规范；</w:t>
      </w:r>
    </w:p>
    <w:p w14:paraId="3749C0F0">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JSON </w:t>
      </w:r>
      <w:r>
        <w:rPr>
          <w:rFonts w:hint="eastAsia"/>
          <w:color w:val="000000" w:themeColor="text1"/>
          <w14:textFill>
            <w14:solidFill>
              <w14:schemeClr w14:val="tx1"/>
            </w14:solidFill>
          </w14:textFill>
        </w:rPr>
        <w:t>数据交换格式、HTTPS</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传输安全；</w:t>
      </w:r>
    </w:p>
    <w:p w14:paraId="3A272CD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遵循郑好办、港区政务数据接口、港区支付接口等各外部系统的对接规范。</w:t>
      </w:r>
    </w:p>
    <w:bookmarkEnd w:id="51"/>
    <w:p w14:paraId="65AC6B37">
      <w:pPr>
        <w:pStyle w:val="5"/>
        <w:rPr>
          <w:color w:val="000000" w:themeColor="text1"/>
          <w14:textFill>
            <w14:solidFill>
              <w14:schemeClr w14:val="tx1"/>
            </w14:solidFill>
          </w14:textFill>
        </w:rPr>
      </w:pPr>
      <w:bookmarkStart w:id="52" w:name="编码与交付标准"/>
      <w:r>
        <w:rPr>
          <w:color w:val="000000" w:themeColor="text1"/>
          <w14:textFill>
            <w14:solidFill>
              <w14:schemeClr w14:val="tx1"/>
            </w14:solidFill>
          </w14:textFill>
        </w:rPr>
        <w:t xml:space="preserve">2.1.4 </w:t>
      </w:r>
      <w:r>
        <w:rPr>
          <w:rFonts w:hint="eastAsia"/>
          <w:color w:val="000000" w:themeColor="text1"/>
          <w14:textFill>
            <w14:solidFill>
              <w14:schemeClr w14:val="tx1"/>
            </w14:solidFill>
          </w14:textFill>
        </w:rPr>
        <w:t>编码与交付标准</w:t>
      </w:r>
    </w:p>
    <w:p w14:paraId="7235AA6A">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遵循阿里巴巴《Java</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开发手册》与前端编码规范；</w:t>
      </w:r>
    </w:p>
    <w:p w14:paraId="6AD55F4B">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源代码可独立编译生成与生产环境一致的可执行文件，结构清晰、注释完整，附编译部署脚本与说明文档；</w:t>
      </w:r>
    </w:p>
    <w:p w14:paraId="08072F1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交付物符合</w:t>
      </w:r>
      <w:r>
        <w:rPr>
          <w:color w:val="000000" w:themeColor="text1"/>
          <w14:textFill>
            <w14:solidFill>
              <w14:schemeClr w14:val="tx1"/>
            </w14:solidFill>
          </w14:textFill>
        </w:rPr>
        <w:t xml:space="preserve"> GB/T 8567 </w:t>
      </w:r>
      <w:r>
        <w:rPr>
          <w:rFonts w:hint="eastAsia"/>
          <w:color w:val="000000" w:themeColor="text1"/>
          <w14:textFill>
            <w14:solidFill>
              <w14:schemeClr w14:val="tx1"/>
            </w14:solidFill>
          </w14:textFill>
        </w:rPr>
        <w:t>文档编制规范。</w:t>
      </w:r>
    </w:p>
    <w:bookmarkEnd w:id="52"/>
    <w:p w14:paraId="5B272308">
      <w:pPr>
        <w:pStyle w:val="5"/>
        <w:rPr>
          <w:color w:val="000000" w:themeColor="text1"/>
          <w14:textFill>
            <w14:solidFill>
              <w14:schemeClr w14:val="tx1"/>
            </w14:solidFill>
          </w14:textFill>
        </w:rPr>
      </w:pPr>
      <w:bookmarkStart w:id="53" w:name="质量目标"/>
      <w:r>
        <w:rPr>
          <w:color w:val="000000" w:themeColor="text1"/>
          <w14:textFill>
            <w14:solidFill>
              <w14:schemeClr w14:val="tx1"/>
            </w14:solidFill>
          </w14:textFill>
        </w:rPr>
        <w:t xml:space="preserve">2.1.5 </w:t>
      </w:r>
      <w:r>
        <w:rPr>
          <w:rFonts w:hint="eastAsia"/>
          <w:color w:val="000000" w:themeColor="text1"/>
          <w14:textFill>
            <w14:solidFill>
              <w14:schemeClr w14:val="tx1"/>
            </w14:solidFill>
          </w14:textFill>
        </w:rPr>
        <w:t>质量目标</w:t>
      </w:r>
    </w:p>
    <w:p w14:paraId="4D539A4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系统整体质量目标为”合格”，符合国家、行业相关合格质量标准及招标人要求，具体量化为：功能符合需求、关键交易零资金差错、核心接口高可用、缺陷密度受控、通过二级等保测评要求。</w:t>
      </w:r>
    </w:p>
    <w:bookmarkEnd w:id="48"/>
    <w:bookmarkEnd w:id="53"/>
    <w:p w14:paraId="6231931B">
      <w:pPr>
        <w:pStyle w:val="4"/>
        <w:rPr>
          <w:color w:val="000000" w:themeColor="text1"/>
          <w14:textFill>
            <w14:solidFill>
              <w14:schemeClr w14:val="tx1"/>
            </w14:solidFill>
          </w14:textFill>
        </w:rPr>
      </w:pPr>
      <w:bookmarkStart w:id="54" w:name="系统组成"/>
      <w:r>
        <w:rPr>
          <w:color w:val="000000" w:themeColor="text1"/>
          <w14:textFill>
            <w14:solidFill>
              <w14:schemeClr w14:val="tx1"/>
            </w14:solidFill>
          </w14:textFill>
        </w:rPr>
        <w:t xml:space="preserve">2.2 </w:t>
      </w:r>
      <w:r>
        <w:rPr>
          <w:rFonts w:hint="eastAsia"/>
          <w:color w:val="000000" w:themeColor="text1"/>
          <w14:textFill>
            <w14:solidFill>
              <w14:schemeClr w14:val="tx1"/>
            </w14:solidFill>
          </w14:textFill>
        </w:rPr>
        <w:t>系统组成</w:t>
      </w:r>
    </w:p>
    <w:p w14:paraId="71EAE76F">
      <w:pPr>
        <w:pStyle w:val="5"/>
        <w:rPr>
          <w:color w:val="000000" w:themeColor="text1"/>
          <w14:textFill>
            <w14:solidFill>
              <w14:schemeClr w14:val="tx1"/>
            </w14:solidFill>
          </w14:textFill>
        </w:rPr>
      </w:pPr>
      <w:bookmarkStart w:id="55" w:name="总体组成视图"/>
      <w:r>
        <w:rPr>
          <w:color w:val="000000" w:themeColor="text1"/>
          <w14:textFill>
            <w14:solidFill>
              <w14:schemeClr w14:val="tx1"/>
            </w14:solidFill>
          </w14:textFill>
        </w:rPr>
        <w:t xml:space="preserve">2.2.1 </w:t>
      </w:r>
      <w:r>
        <w:rPr>
          <w:rFonts w:hint="eastAsia"/>
          <w:color w:val="000000" w:themeColor="text1"/>
          <w14:textFill>
            <w14:solidFill>
              <w14:schemeClr w14:val="tx1"/>
            </w14:solidFill>
          </w14:textFill>
        </w:rPr>
        <w:t>总体组成视图</w:t>
      </w:r>
    </w:p>
    <w:p w14:paraId="5B6F8F4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系统由”四端应用</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一体后台</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能力底座</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对接网关</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数据资源”五个部分组成：</w:t>
      </w:r>
    </w:p>
    <w:p w14:paraId="7A827F7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四端应用</w:t>
      </w:r>
      <w:r>
        <w:rPr>
          <w:rFonts w:hint="eastAsia"/>
          <w:color w:val="000000" w:themeColor="text1"/>
          <w14:textFill>
            <w14:solidFill>
              <w14:schemeClr w14:val="tx1"/>
            </w14:solidFill>
          </w14:textFill>
        </w:rPr>
        <w:t>：移动端（H5）、微信小程序端、微信公众号端、后台管理端；</w:t>
      </w:r>
    </w:p>
    <w:p w14:paraId="5EB7A1D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一体后台</w:t>
      </w:r>
      <w:r>
        <w:rPr>
          <w:rFonts w:hint="eastAsia"/>
          <w:color w:val="000000" w:themeColor="text1"/>
          <w14:textFill>
            <w14:solidFill>
              <w14:schemeClr w14:val="tx1"/>
            </w14:solidFill>
          </w14:textFill>
        </w:rPr>
        <w:t>：承载八大业务域的应用服务集合；</w:t>
      </w:r>
    </w:p>
    <w:p w14:paraId="24FD561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能力底座</w:t>
      </w:r>
      <w:r>
        <w:rPr>
          <w:rFonts w:hint="eastAsia"/>
          <w:color w:val="000000" w:themeColor="text1"/>
          <w14:textFill>
            <w14:solidFill>
              <w14:schemeClr w14:val="tx1"/>
            </w14:solidFill>
          </w14:textFill>
        </w:rPr>
        <w:t>：认证鉴权、支付、签约、核验、消息、文件、任务调度等公共能力；</w:t>
      </w:r>
    </w:p>
    <w:p w14:paraId="02A3885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对接网关</w:t>
      </w:r>
      <w:r>
        <w:rPr>
          <w:rFonts w:hint="eastAsia"/>
          <w:color w:val="000000" w:themeColor="text1"/>
          <w14:textFill>
            <w14:solidFill>
              <w14:schemeClr w14:val="tx1"/>
            </w14:solidFill>
          </w14:textFill>
        </w:rPr>
        <w:t>：统一对外部系统（郑好办、政务数据、支付、签章、人脸、地图、开票）的调用与适配；</w:t>
      </w:r>
    </w:p>
    <w:p w14:paraId="38458E9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数据资源</w:t>
      </w:r>
      <w:r>
        <w:rPr>
          <w:rFonts w:hint="eastAsia"/>
          <w:color w:val="000000" w:themeColor="text1"/>
          <w14:textFill>
            <w14:solidFill>
              <w14:schemeClr w14:val="tx1"/>
            </w14:solidFill>
          </w14:textFill>
        </w:rPr>
        <w:t>：关系型数据库、缓存、文件存储及数据看板所需的数据视图。</w:t>
      </w:r>
    </w:p>
    <w:bookmarkEnd w:id="55"/>
    <w:p w14:paraId="2437DAA4">
      <w:pPr>
        <w:pStyle w:val="5"/>
        <w:rPr>
          <w:color w:val="000000" w:themeColor="text1"/>
          <w14:textFill>
            <w14:solidFill>
              <w14:schemeClr w14:val="tx1"/>
            </w14:solidFill>
          </w14:textFill>
        </w:rPr>
      </w:pPr>
      <w:bookmarkStart w:id="56" w:name="八大业务域组成"/>
      <w:r>
        <w:rPr>
          <w:color w:val="000000" w:themeColor="text1"/>
          <w14:textFill>
            <w14:solidFill>
              <w14:schemeClr w14:val="tx1"/>
            </w14:solidFill>
          </w14:textFill>
        </w:rPr>
        <w:t xml:space="preserve">2.2.2 </w:t>
      </w:r>
      <w:r>
        <w:rPr>
          <w:rFonts w:hint="eastAsia"/>
          <w:color w:val="000000" w:themeColor="text1"/>
          <w14:textFill>
            <w14:solidFill>
              <w14:schemeClr w14:val="tx1"/>
            </w14:solidFill>
          </w14:textFill>
        </w:rPr>
        <w:t>八大业务域组成</w:t>
      </w:r>
    </w:p>
    <w:tbl>
      <w:tblPr>
        <w:tblStyle w:val="41"/>
        <w:tblW w:w="5000" w:type="pct"/>
        <w:tblInd w:w="0" w:type="dxa"/>
        <w:tblLayout w:type="fixed"/>
        <w:tblCellMar>
          <w:top w:w="0" w:type="dxa"/>
          <w:left w:w="108" w:type="dxa"/>
          <w:bottom w:w="0" w:type="dxa"/>
          <w:right w:w="108" w:type="dxa"/>
        </w:tblCellMar>
      </w:tblPr>
      <w:tblGrid>
        <w:gridCol w:w="3875"/>
        <w:gridCol w:w="4981"/>
      </w:tblGrid>
      <w:tr w14:paraId="4CCEC3E3">
        <w:trPr>
          <w:tblHeader/>
        </w:trPr>
        <w:tc>
          <w:p w14:paraId="0FED3F3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业务域</w:t>
            </w:r>
          </w:p>
        </w:tc>
        <w:tc>
          <w:p w14:paraId="4483472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主要构成</w:t>
            </w:r>
          </w:p>
        </w:tc>
      </w:tr>
      <w:tr w14:paraId="08CE6DA9">
        <w:tc>
          <w:p w14:paraId="5B12A67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房源管理域</w:t>
            </w:r>
          </w:p>
        </w:tc>
        <w:tc>
          <w:p w14:paraId="56AA00A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项目、楼栋、单元、房源、户型、地图点位、VR资源、房源状态机</w:t>
            </w:r>
          </w:p>
        </w:tc>
      </w:tr>
      <w:tr w14:paraId="14B3660E">
        <w:tc>
          <w:p w14:paraId="65E405D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合同管理域</w:t>
            </w:r>
          </w:p>
        </w:tc>
        <w:tc>
          <w:p w14:paraId="51797BB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合同模板、签署、归档、状态机、续租/退租、企业合同备案</w:t>
            </w:r>
          </w:p>
        </w:tc>
      </w:tr>
      <w:tr w14:paraId="687EA3F0">
        <w:tc>
          <w:p w14:paraId="1A2E100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交易缴费域</w:t>
            </w:r>
          </w:p>
        </w:tc>
        <w:tc>
          <w:p w14:paraId="65BD2B8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账单、账期、押金/租金、优惠核销、支付订单、退款、对账</w:t>
            </w:r>
          </w:p>
        </w:tc>
      </w:tr>
      <w:tr w14:paraId="212B4376">
        <w:tc>
          <w:p w14:paraId="51DB418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优惠券域</w:t>
            </w:r>
          </w:p>
        </w:tc>
        <w:tc>
          <w:p w14:paraId="68BB47C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券模板、发放、领取、核销、失效</w:t>
            </w:r>
          </w:p>
        </w:tc>
      </w:tr>
      <w:tr w14:paraId="4966E022">
        <w:tc>
          <w:p w14:paraId="29AE364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消息通知域</w:t>
            </w:r>
          </w:p>
        </w:tc>
        <w:tc>
          <w:p w14:paraId="31FA243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站内信、模板消息、公告、政策文件推送</w:t>
            </w:r>
          </w:p>
        </w:tc>
      </w:tr>
      <w:tr w14:paraId="0F29D9B0">
        <w:tc>
          <w:p w14:paraId="1ABE470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个人中心域</w:t>
            </w:r>
          </w:p>
        </w:tc>
        <w:tc>
          <w:p w14:paraId="5E46400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我的合同/房源/账单/消息/优惠券、资料、资格与申诉</w:t>
            </w:r>
          </w:p>
        </w:tc>
      </w:tr>
      <w:tr w14:paraId="37882D67">
        <w:tc>
          <w:p w14:paraId="6455D3F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运营中心域</w:t>
            </w:r>
          </w:p>
        </w:tc>
        <w:tc>
          <w:p w14:paraId="5FDE6A4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首页配置、banner、金刚位、活动、内容运营</w:t>
            </w:r>
          </w:p>
        </w:tc>
      </w:tr>
      <w:tr w14:paraId="43DCA72C">
        <w:tc>
          <w:p w14:paraId="7F6916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数据看板域</w:t>
            </w:r>
          </w:p>
        </w:tc>
        <w:tc>
          <w:p w14:paraId="1F0C85B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财务、房源、用户转化等管理视图</w:t>
            </w:r>
          </w:p>
        </w:tc>
      </w:tr>
      <w:tr w14:paraId="2050E5F7">
        <w:tc>
          <w:p w14:paraId="5A3E5EB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生活服务域</w:t>
            </w:r>
          </w:p>
        </w:tc>
        <w:tc>
          <w:p w14:paraId="7AB49A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投诉建议、保洁、搬家、报修工单</w:t>
            </w:r>
          </w:p>
        </w:tc>
      </w:tr>
      <w:tr w14:paraId="7055A07D">
        <w:tc>
          <w:p w14:paraId="0DAEAF1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企业客户域</w:t>
            </w:r>
          </w:p>
        </w:tc>
        <w:tc>
          <w:p w14:paraId="54F6433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企业缴费、批量入住、退租、合同备案、代购补贴</w:t>
            </w:r>
          </w:p>
        </w:tc>
      </w:tr>
    </w:tbl>
    <w:p w14:paraId="36EB270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（业态规则以参数化方式贯穿于房源、合同、交易缴费等域中。）</w:t>
      </w:r>
    </w:p>
    <w:bookmarkEnd w:id="56"/>
    <w:p w14:paraId="1E01196A">
      <w:pPr>
        <w:pStyle w:val="5"/>
        <w:rPr>
          <w:color w:val="000000" w:themeColor="text1"/>
          <w14:textFill>
            <w14:solidFill>
              <w14:schemeClr w14:val="tx1"/>
            </w14:solidFill>
          </w14:textFill>
        </w:rPr>
      </w:pPr>
      <w:bookmarkStart w:id="57" w:name="能力底座组成"/>
      <w:r>
        <w:rPr>
          <w:color w:val="000000" w:themeColor="text1"/>
          <w14:textFill>
            <w14:solidFill>
              <w14:schemeClr w14:val="tx1"/>
            </w14:solidFill>
          </w14:textFill>
        </w:rPr>
        <w:t xml:space="preserve">2.2.3 </w:t>
      </w:r>
      <w:r>
        <w:rPr>
          <w:rFonts w:hint="eastAsia"/>
          <w:color w:val="000000" w:themeColor="text1"/>
          <w14:textFill>
            <w14:solidFill>
              <w14:schemeClr w14:val="tx1"/>
            </w14:solidFill>
          </w14:textFill>
        </w:rPr>
        <w:t>能力底座组成</w:t>
      </w:r>
    </w:p>
    <w:p w14:paraId="2B5B2CB0">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认证鉴权（含郑好办对接与本地RBAC）、支付服务（港区支付通道封装）、签约服务（电子签章封装）、核验服务（政务数据核验封装）、人脸核身服务、消息服务、文件服务、定时任务调度、日志与审计等公共能力，供各业务域复用。</w:t>
      </w:r>
    </w:p>
    <w:bookmarkEnd w:id="54"/>
    <w:bookmarkEnd w:id="57"/>
    <w:p w14:paraId="376C935B">
      <w:pPr>
        <w:pStyle w:val="4"/>
        <w:rPr>
          <w:color w:val="000000" w:themeColor="text1"/>
          <w14:textFill>
            <w14:solidFill>
              <w14:schemeClr w14:val="tx1"/>
            </w14:solidFill>
          </w14:textFill>
        </w:rPr>
      </w:pPr>
      <w:bookmarkStart w:id="58" w:name="系统结构"/>
      <w:r>
        <w:rPr>
          <w:color w:val="000000" w:themeColor="text1"/>
          <w14:textFill>
            <w14:solidFill>
              <w14:schemeClr w14:val="tx1"/>
            </w14:solidFill>
          </w14:textFill>
        </w:rPr>
        <w:t xml:space="preserve">2.3 </w:t>
      </w:r>
      <w:r>
        <w:rPr>
          <w:rFonts w:hint="eastAsia"/>
          <w:color w:val="000000" w:themeColor="text1"/>
          <w14:textFill>
            <w14:solidFill>
              <w14:schemeClr w14:val="tx1"/>
            </w14:solidFill>
          </w14:textFill>
        </w:rPr>
        <w:t>系统结构</w:t>
      </w:r>
    </w:p>
    <w:p w14:paraId="2D81E6D1">
      <w:pPr>
        <w:pStyle w:val="5"/>
        <w:rPr>
          <w:color w:val="000000" w:themeColor="text1"/>
          <w14:textFill>
            <w14:solidFill>
              <w14:schemeClr w14:val="tx1"/>
            </w14:solidFill>
          </w14:textFill>
        </w:rPr>
      </w:pPr>
      <w:bookmarkStart w:id="59" w:name="分层结构"/>
      <w:r>
        <w:rPr>
          <w:color w:val="000000" w:themeColor="text1"/>
          <w14:textFill>
            <w14:solidFill>
              <w14:schemeClr w14:val="tx1"/>
            </w14:solidFill>
          </w14:textFill>
        </w:rPr>
        <w:t xml:space="preserve">2.3.1 </w:t>
      </w:r>
      <w:r>
        <w:rPr>
          <w:rFonts w:hint="eastAsia"/>
          <w:color w:val="000000" w:themeColor="text1"/>
          <w14:textFill>
            <w14:solidFill>
              <w14:schemeClr w14:val="tx1"/>
            </w14:solidFill>
          </w14:textFill>
        </w:rPr>
        <w:t>分层结构</w:t>
      </w:r>
    </w:p>
    <w:p w14:paraId="31E0532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系统采用经典分层结构，自上而下为：</w:t>
      </w:r>
    </w:p>
    <w:p w14:paraId="0E9B6A5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表现层</w:t>
      </w:r>
      <w:r>
        <w:rPr>
          <w:rFonts w:hint="eastAsia"/>
          <w:color w:val="000000" w:themeColor="text1"/>
          <w14:textFill>
            <w14:solidFill>
              <w14:schemeClr w14:val="tx1"/>
            </w14:solidFill>
          </w14:textFill>
        </w:rPr>
        <w:t>：四端界面，负责交互与展示；</w:t>
      </w:r>
    </w:p>
    <w:p w14:paraId="3687212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接口层</w:t>
      </w:r>
      <w:r>
        <w:rPr>
          <w:rFonts w:hint="eastAsia"/>
          <w:color w:val="000000" w:themeColor="text1"/>
          <w14:textFill>
            <w14:solidFill>
              <w14:schemeClr w14:val="tx1"/>
            </w14:solidFill>
          </w14:textFill>
        </w:rPr>
        <w:t>：统一的</w:t>
      </w:r>
      <w:r>
        <w:rPr>
          <w:color w:val="000000" w:themeColor="text1"/>
          <w14:textFill>
            <w14:solidFill>
              <w14:schemeClr w14:val="tx1"/>
            </w14:solidFill>
          </w14:textFill>
        </w:rPr>
        <w:t xml:space="preserve"> RESTful API </w:t>
      </w:r>
      <w:r>
        <w:rPr>
          <w:rFonts w:hint="eastAsia"/>
          <w:color w:val="000000" w:themeColor="text1"/>
          <w14:textFill>
            <w14:solidFill>
              <w14:schemeClr w14:val="tx1"/>
            </w14:solidFill>
          </w14:textFill>
        </w:rPr>
        <w:t>网关，负责鉴权、路由、参数校验、限流；</w:t>
      </w:r>
    </w:p>
    <w:p w14:paraId="0522B6A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业务逻辑层</w:t>
      </w:r>
      <w:r>
        <w:rPr>
          <w:rFonts w:hint="eastAsia"/>
          <w:color w:val="000000" w:themeColor="text1"/>
          <w14:textFill>
            <w14:solidFill>
              <w14:schemeClr w14:val="tx1"/>
            </w14:solidFill>
          </w14:textFill>
        </w:rPr>
        <w:t>：八大业务域的服务实现，承载业务规则与流程编排；</w:t>
      </w:r>
    </w:p>
    <w:p w14:paraId="07088E2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能力层</w:t>
      </w:r>
      <w:r>
        <w:rPr>
          <w:rFonts w:hint="eastAsia"/>
          <w:color w:val="000000" w:themeColor="text1"/>
          <w14:textFill>
            <w14:solidFill>
              <w14:schemeClr w14:val="tx1"/>
            </w14:solidFill>
          </w14:textFill>
        </w:rPr>
        <w:t>：支付、签约、核验、消息等公共能力；</w:t>
      </w:r>
    </w:p>
    <w:p w14:paraId="33716CB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数据访问层</w:t>
      </w:r>
      <w:r>
        <w:rPr>
          <w:rFonts w:hint="eastAsia"/>
          <w:color w:val="000000" w:themeColor="text1"/>
          <w14:textFill>
            <w14:solidFill>
              <w14:schemeClr w14:val="tx1"/>
            </w14:solidFill>
          </w14:textFill>
        </w:rPr>
        <w:t>：统一的数据访问组件，负责与数据库、缓存、文件存储交互；</w:t>
      </w:r>
    </w:p>
    <w:p w14:paraId="5E45C35A">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数据层</w:t>
      </w:r>
      <w:r>
        <w:rPr>
          <w:rFonts w:hint="eastAsia"/>
          <w:color w:val="000000" w:themeColor="text1"/>
          <w14:textFill>
            <w14:solidFill>
              <w14:schemeClr w14:val="tx1"/>
            </w14:solidFill>
          </w14:textFill>
        </w:rPr>
        <w:t>：关系型数据库、缓存、文件存储。</w:t>
      </w:r>
    </w:p>
    <w:p w14:paraId="0112177B">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4185265"/>
            <wp:effectExtent l="0" t="0" r="0" b="0"/>
            <wp:docPr id="76" name="Picture" descr="图2-1 系统分层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图2-1 系统分层结构图"/>
                    <pic:cNvPicPr>
                      <a:picLocks noChangeAspect="1" noChangeArrowheads="1"/>
                    </pic:cNvPicPr>
                  </pic:nvPicPr>
                  <pic:blipFill>
                    <a:blip r:embed="rId8"/>
                    <a:stretch>
                      <a:fillRect/>
                    </a:stretch>
                  </pic:blipFill>
                  <pic:spPr>
                    <a:xfrm>
                      <a:off x="0" y="0"/>
                      <a:ext cx="5334000" cy="14185347"/>
                    </a:xfrm>
                    <a:prstGeom prst="rect">
                      <a:avLst/>
                    </a:prstGeom>
                    <a:noFill/>
                    <a:ln w="9525">
                      <a:noFill/>
                    </a:ln>
                  </pic:spPr>
                </pic:pic>
              </a:graphicData>
            </a:graphic>
          </wp:inline>
        </w:drawing>
      </w:r>
    </w:p>
    <w:p w14:paraId="2790AC18">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系统分层结构图</w:t>
      </w:r>
    </w:p>
    <w:p w14:paraId="121101C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系统分层结构图</w:t>
      </w:r>
    </w:p>
    <w:bookmarkEnd w:id="59"/>
    <w:p w14:paraId="1AB4DC79">
      <w:pPr>
        <w:pStyle w:val="5"/>
        <w:rPr>
          <w:color w:val="000000" w:themeColor="text1"/>
          <w14:textFill>
            <w14:solidFill>
              <w14:schemeClr w14:val="tx1"/>
            </w14:solidFill>
          </w14:textFill>
        </w:rPr>
      </w:pPr>
      <w:bookmarkStart w:id="60" w:name="技术架构前后端分离-模块化单体"/>
      <w:r>
        <w:rPr>
          <w:color w:val="000000" w:themeColor="text1"/>
          <w14:textFill>
            <w14:solidFill>
              <w14:schemeClr w14:val="tx1"/>
            </w14:solidFill>
          </w14:textFill>
        </w:rPr>
        <w:t xml:space="preserve">2.3.2 </w:t>
      </w:r>
      <w:r>
        <w:rPr>
          <w:rFonts w:hint="eastAsia"/>
          <w:color w:val="000000" w:themeColor="text1"/>
          <w14:textFill>
            <w14:solidFill>
              <w14:schemeClr w14:val="tx1"/>
            </w14:solidFill>
          </w14:textFill>
        </w:rPr>
        <w:t>技术架构：前后端分离</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模块化单体</w:t>
      </w:r>
    </w:p>
    <w:p w14:paraId="46C1B08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考虑本项目”驻场开发、六年运维、低成本维护”的定位，系统采用</w:t>
      </w:r>
      <w:r>
        <w:rPr>
          <w:rFonts w:hint="eastAsia"/>
          <w:b/>
          <w:bCs/>
          <w:color w:val="000000" w:themeColor="text1"/>
          <w14:textFill>
            <w14:solidFill>
              <w14:schemeClr w14:val="tx1"/>
            </w14:solidFill>
          </w14:textFill>
        </w:rPr>
        <w:t>前后端分离</w:t>
      </w:r>
      <w:r>
        <w:rPr>
          <w:b/>
          <w:bCs/>
          <w:color w:val="000000" w:themeColor="text1"/>
          <w14:textFill>
            <w14:solidFill>
              <w14:schemeClr w14:val="tx1"/>
            </w14:solidFill>
          </w14:textFill>
        </w:rPr>
        <w:t xml:space="preserve"> + </w:t>
      </w:r>
      <w:r>
        <w:rPr>
          <w:rFonts w:hint="eastAsia"/>
          <w:b/>
          <w:bCs/>
          <w:color w:val="000000" w:themeColor="text1"/>
          <w14:textFill>
            <w14:solidFill>
              <w14:schemeClr w14:val="tx1"/>
            </w14:solidFill>
          </w14:textFill>
        </w:rPr>
        <w:t>模块化单体（Modular</w:t>
      </w:r>
      <w:r>
        <w:rPr>
          <w:b/>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Monolith）</w:t>
      </w:r>
      <w:r>
        <w:rPr>
          <w:rFonts w:hint="eastAsia"/>
          <w:color w:val="000000" w:themeColor="text1"/>
          <w14:textFill>
            <w14:solidFill>
              <w14:schemeClr w14:val="tx1"/>
            </w14:solidFill>
          </w14:textFill>
        </w:rPr>
        <w:t>的技术架构，而非过度拆分的微服务：</w:t>
      </w:r>
    </w:p>
    <w:p w14:paraId="5B0FB18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前后端分离</w:t>
      </w:r>
      <w:r>
        <w:rPr>
          <w:rFonts w:hint="eastAsia"/>
          <w:color w:val="000000" w:themeColor="text1"/>
          <w14:textFill>
            <w14:solidFill>
              <w14:schemeClr w14:val="tx1"/>
            </w14:solidFill>
          </w14:textFill>
        </w:rPr>
        <w:t>：前端四端独立开发部署，后端提供统一</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API，前后端通过</w:t>
      </w:r>
      <w:r>
        <w:rPr>
          <w:color w:val="000000" w:themeColor="text1"/>
          <w14:textFill>
            <w14:solidFill>
              <w14:schemeClr w14:val="tx1"/>
            </w14:solidFill>
          </w14:textFill>
        </w:rPr>
        <w:t xml:space="preserve"> HTTPS + Token </w:t>
      </w:r>
      <w:r>
        <w:rPr>
          <w:rFonts w:hint="eastAsia"/>
          <w:color w:val="000000" w:themeColor="text1"/>
          <w14:textFill>
            <w14:solidFill>
              <w14:schemeClr w14:val="tx1"/>
            </w14:solidFill>
          </w14:textFill>
        </w:rPr>
        <w:t>交互；</w:t>
      </w:r>
    </w:p>
    <w:p w14:paraId="52749ED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模块化单体</w:t>
      </w:r>
      <w:r>
        <w:rPr>
          <w:rFonts w:hint="eastAsia"/>
          <w:color w:val="000000" w:themeColor="text1"/>
          <w14:textFill>
            <w14:solidFill>
              <w14:schemeClr w14:val="tx1"/>
            </w14:solidFill>
          </w14:textFill>
        </w:rPr>
        <w:t>：后端按业务域清晰分模块（高内聚、低耦合），部署为可水平扩展的应用实例，兼顾开发效率、运维成本与可扩展性；</w:t>
      </w:r>
    </w:p>
    <w:p w14:paraId="074DD6A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演进友好</w:t>
      </w:r>
      <w:r>
        <w:rPr>
          <w:rFonts w:hint="eastAsia"/>
          <w:color w:val="000000" w:themeColor="text1"/>
          <w14:textFill>
            <w14:solidFill>
              <w14:schemeClr w14:val="tx1"/>
            </w14:solidFill>
          </w14:textFill>
        </w:rPr>
        <w:t>：模块边界清晰，未来若某业务域需独立伸缩，可平滑演进为独立服务，避免一步到位的过度设计。</w:t>
      </w:r>
    </w:p>
    <w:p w14:paraId="325B9D6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这一取舍的理由是：项目由驻场小团队长期维护，模块化单体在保证清晰边界的同时，显著降低了分布式带来的运维复杂度与故障面，最契合本项目的实际。</w:t>
      </w:r>
    </w:p>
    <w:bookmarkEnd w:id="60"/>
    <w:p w14:paraId="5263138A">
      <w:pPr>
        <w:pStyle w:val="5"/>
        <w:rPr>
          <w:color w:val="000000" w:themeColor="text1"/>
          <w14:textFill>
            <w14:solidFill>
              <w14:schemeClr w14:val="tx1"/>
            </w14:solidFill>
          </w14:textFill>
        </w:rPr>
      </w:pPr>
      <w:bookmarkStart w:id="61" w:name="部署结构"/>
      <w:r>
        <w:rPr>
          <w:color w:val="000000" w:themeColor="text1"/>
          <w14:textFill>
            <w14:solidFill>
              <w14:schemeClr w14:val="tx1"/>
            </w14:solidFill>
          </w14:textFill>
        </w:rPr>
        <w:t xml:space="preserve">2.3.3 </w:t>
      </w:r>
      <w:r>
        <w:rPr>
          <w:rFonts w:hint="eastAsia"/>
          <w:color w:val="000000" w:themeColor="text1"/>
          <w14:textFill>
            <w14:solidFill>
              <w14:schemeClr w14:val="tx1"/>
            </w14:solidFill>
          </w14:textFill>
        </w:rPr>
        <w:t>部署结构</w:t>
      </w:r>
    </w:p>
    <w:p w14:paraId="247C7B2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系统采用负载均衡</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多应用实例</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数据库主备</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缓存</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文件存储</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政务网络代理的部署结构，通过反向代理统一入口，应用实例无状态可水平扩展，政务数据对接经由合规的网络代理通道访问（部署架构与网络分区详见第四、五章）。</w:t>
      </w:r>
    </w:p>
    <w:p w14:paraId="3FFDE819">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3326765"/>
            <wp:effectExtent l="0" t="0" r="0" b="0"/>
            <wp:docPr id="81" name="Picture" descr="图2-2 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图2-2 部署架构图"/>
                    <pic:cNvPicPr>
                      <a:picLocks noChangeAspect="1" noChangeArrowheads="1"/>
                    </pic:cNvPicPr>
                  </pic:nvPicPr>
                  <pic:blipFill>
                    <a:blip r:embed="rId9"/>
                    <a:stretch>
                      <a:fillRect/>
                    </a:stretch>
                  </pic:blipFill>
                  <pic:spPr>
                    <a:xfrm>
                      <a:off x="0" y="0"/>
                      <a:ext cx="5334000" cy="3326946"/>
                    </a:xfrm>
                    <a:prstGeom prst="rect">
                      <a:avLst/>
                    </a:prstGeom>
                    <a:noFill/>
                    <a:ln w="9525">
                      <a:noFill/>
                    </a:ln>
                  </pic:spPr>
                </pic:pic>
              </a:graphicData>
            </a:graphic>
          </wp:inline>
        </w:drawing>
      </w:r>
    </w:p>
    <w:p w14:paraId="298E9246">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部署架构图</w:t>
      </w:r>
    </w:p>
    <w:p w14:paraId="79A51F8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部署架构图</w:t>
      </w:r>
    </w:p>
    <w:bookmarkEnd w:id="58"/>
    <w:bookmarkEnd w:id="61"/>
    <w:p w14:paraId="06CF4FAC">
      <w:pPr>
        <w:pStyle w:val="4"/>
        <w:rPr>
          <w:color w:val="000000" w:themeColor="text1"/>
          <w14:textFill>
            <w14:solidFill>
              <w14:schemeClr w14:val="tx1"/>
            </w14:solidFill>
          </w14:textFill>
        </w:rPr>
      </w:pPr>
      <w:bookmarkStart w:id="62" w:name="系统支撑"/>
      <w:r>
        <w:rPr>
          <w:color w:val="000000" w:themeColor="text1"/>
          <w14:textFill>
            <w14:solidFill>
              <w14:schemeClr w14:val="tx1"/>
            </w14:solidFill>
          </w14:textFill>
        </w:rPr>
        <w:t xml:space="preserve">2.4 </w:t>
      </w:r>
      <w:r>
        <w:rPr>
          <w:rFonts w:hint="eastAsia"/>
          <w:color w:val="000000" w:themeColor="text1"/>
          <w14:textFill>
            <w14:solidFill>
              <w14:schemeClr w14:val="tx1"/>
            </w14:solidFill>
          </w14:textFill>
        </w:rPr>
        <w:t>系统支撑</w:t>
      </w:r>
    </w:p>
    <w:p w14:paraId="250F424A">
      <w:pPr>
        <w:pStyle w:val="5"/>
        <w:rPr>
          <w:color w:val="000000" w:themeColor="text1"/>
          <w14:textFill>
            <w14:solidFill>
              <w14:schemeClr w14:val="tx1"/>
            </w14:solidFill>
          </w14:textFill>
        </w:rPr>
      </w:pPr>
      <w:bookmarkStart w:id="63" w:name="技术选型及理由"/>
      <w:r>
        <w:rPr>
          <w:color w:val="000000" w:themeColor="text1"/>
          <w14:textFill>
            <w14:solidFill>
              <w14:schemeClr w14:val="tx1"/>
            </w14:solidFill>
          </w14:textFill>
        </w:rPr>
        <w:t xml:space="preserve">2.4.1 </w:t>
      </w:r>
      <w:r>
        <w:rPr>
          <w:rFonts w:hint="eastAsia"/>
          <w:color w:val="000000" w:themeColor="text1"/>
          <w14:textFill>
            <w14:solidFill>
              <w14:schemeClr w14:val="tx1"/>
            </w14:solidFill>
          </w14:textFill>
        </w:rPr>
        <w:t>技术选型及理由</w:t>
      </w:r>
    </w:p>
    <w:p w14:paraId="69D7332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系统技术选型立足”成熟稳定、生态完善、团队熟练、便于长期维护”的原则，与现有系统保持一致：</w:t>
      </w:r>
    </w:p>
    <w:tbl>
      <w:tblPr>
        <w:tblStyle w:val="41"/>
        <w:tblW w:w="5000" w:type="pct"/>
        <w:tblInd w:w="0" w:type="dxa"/>
        <w:tblLayout w:type="fixed"/>
        <w:tblCellMar>
          <w:top w:w="0" w:type="dxa"/>
          <w:left w:w="108" w:type="dxa"/>
          <w:bottom w:w="0" w:type="dxa"/>
          <w:right w:w="108" w:type="dxa"/>
        </w:tblCellMar>
      </w:tblPr>
      <w:tblGrid>
        <w:gridCol w:w="2214"/>
        <w:gridCol w:w="3321"/>
        <w:gridCol w:w="3321"/>
      </w:tblGrid>
      <w:tr w14:paraId="28D8ABA7">
        <w:trPr>
          <w:tblHeader/>
        </w:trPr>
        <w:tc>
          <w:p w14:paraId="6C80218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层次</w:t>
            </w:r>
          </w:p>
        </w:tc>
        <w:tc>
          <w:p w14:paraId="635D458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技术选型</w:t>
            </w:r>
          </w:p>
        </w:tc>
        <w:tc>
          <w:p w14:paraId="7E0BDF8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选型理由</w:t>
            </w:r>
          </w:p>
        </w:tc>
      </w:tr>
      <w:tr w14:paraId="5794EF67">
        <w:tc>
          <w:p w14:paraId="1F44B7D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后端框架</w:t>
            </w:r>
          </w:p>
        </w:tc>
        <w:tc>
          <w:p w14:paraId="23E7A659">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Spring Boot 3.5.x + Spring Security</w:t>
            </w:r>
          </w:p>
        </w:tc>
        <w:tc>
          <w:p w14:paraId="62A335F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主流企业级框架，生态成熟，安全组件完善</w:t>
            </w:r>
          </w:p>
        </w:tc>
      </w:tr>
      <w:tr w14:paraId="22E1B23F">
        <w:tc>
          <w:p w14:paraId="3BEC4A1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持久层</w:t>
            </w:r>
          </w:p>
        </w:tc>
        <w:tc>
          <w:p w14:paraId="59B7A456">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MyBatis-Plus</w:t>
            </w:r>
          </w:p>
        </w:tc>
        <w:tc>
          <w:p w14:paraId="22A7F52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通用</w:t>
            </w:r>
            <w:r>
              <w:rPr>
                <w:color w:val="000000" w:themeColor="text1"/>
                <w14:textFill>
                  <w14:solidFill>
                    <w14:schemeClr w14:val="tx1"/>
                  </w14:solidFill>
                </w14:textFill>
              </w:rPr>
              <w:t xml:space="preserve"> CRUD </w:t>
            </w:r>
            <w:r>
              <w:rPr>
                <w:rFonts w:hint="eastAsia"/>
                <w:color w:val="000000" w:themeColor="text1"/>
                <w14:textFill>
                  <w14:solidFill>
                    <w14:schemeClr w14:val="tx1"/>
                  </w14:solidFill>
                </w14:textFill>
              </w:rPr>
              <w:t>开箱即用，减少样板代码，便于驻场团队高效开发</w:t>
            </w:r>
          </w:p>
        </w:tc>
      </w:tr>
      <w:tr w14:paraId="466643BA">
        <w:tc>
          <w:p w14:paraId="45FFA18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数据库</w:t>
            </w:r>
          </w:p>
        </w:tc>
        <w:tc>
          <w:p w14:paraId="18C93BAF">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MySQL 8.x</w:t>
            </w:r>
          </w:p>
        </w:tc>
        <w:tc>
          <w:p w14:paraId="3D1DE7A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稳定可靠、运维成本低、社区支持广泛</w:t>
            </w:r>
          </w:p>
        </w:tc>
      </w:tr>
      <w:tr w14:paraId="21388CA4">
        <w:tc>
          <w:p w14:paraId="093D06A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缓存</w:t>
            </w:r>
          </w:p>
        </w:tc>
        <w:tc>
          <w:p w14:paraId="2D442EF1">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Redis</w:t>
            </w:r>
          </w:p>
        </w:tc>
        <w:tc>
          <w:p w14:paraId="6A9BFD7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高性能缓存与会话/令牌存储、分布式锁</w:t>
            </w:r>
          </w:p>
        </w:tc>
      </w:tr>
      <w:tr w14:paraId="778D4AA0">
        <w:tc>
          <w:p w14:paraId="2500953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鉴权</w:t>
            </w:r>
          </w:p>
        </w:tc>
        <w:tc>
          <w:p w14:paraId="70240611">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JWT + Redis</w:t>
            </w:r>
          </w:p>
        </w:tc>
        <w:tc>
          <w:p w14:paraId="1052B16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无状态令牌</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服务端可控失效，适配四端与前后端分离</w:t>
            </w:r>
          </w:p>
        </w:tc>
      </w:tr>
      <w:tr w14:paraId="41F8F0F4">
        <w:tc>
          <w:p w14:paraId="799214F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前端（后台）</w:t>
            </w:r>
          </w:p>
        </w:tc>
        <w:tc>
          <w:p w14:paraId="7E4D5BD9">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Vue 2.6 + Element UI</w:t>
            </w:r>
          </w:p>
        </w:tc>
        <w:tc>
          <w:p w14:paraId="0A7A30B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组件丰富、上手快，适合后台管理类中后台系统</w:t>
            </w:r>
          </w:p>
        </w:tc>
      </w:tr>
      <w:tr w14:paraId="6CA7E3B1">
        <w:tc>
          <w:p w14:paraId="7788FC1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前端（群众端）</w:t>
            </w:r>
          </w:p>
        </w:tc>
        <w:tc>
          <w:p w14:paraId="3385F5C0">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uni-app</w:t>
            </w:r>
          </w:p>
        </w:tc>
        <w:tc>
          <w:p w14:paraId="157340F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一套代码多端（H5/小程序/公众号），降低多端维护成本</w:t>
            </w:r>
          </w:p>
        </w:tc>
      </w:tr>
      <w:tr w14:paraId="3580A38C">
        <w:tc>
          <w:p w14:paraId="6C27AB1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接口文档</w:t>
            </w:r>
          </w:p>
        </w:tc>
        <w:tc>
          <w:p w14:paraId="042812A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SpringDoc（OpenAPI</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3.0）</w:t>
            </w:r>
          </w:p>
        </w:tc>
        <w:tc>
          <w:p w14:paraId="4680AB8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接口文档自动化，便于联调与交付</w:t>
            </w:r>
          </w:p>
        </w:tc>
      </w:tr>
      <w:tr w14:paraId="2AA610D2">
        <w:tc>
          <w:p w14:paraId="15A08BA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定时任务</w:t>
            </w:r>
          </w:p>
        </w:tc>
        <w:tc>
          <w:p w14:paraId="1174C86E">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Quartz</w:t>
            </w:r>
          </w:p>
        </w:tc>
        <w:tc>
          <w:p w14:paraId="46927FF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账单生成、超时处理、对账等定时作业</w:t>
            </w:r>
          </w:p>
        </w:tc>
      </w:tr>
    </w:tbl>
    <w:p w14:paraId="56FAE62D">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关于</w:t>
      </w:r>
      <w:r>
        <w:rPr>
          <w:b/>
          <w:bCs/>
          <w:color w:val="000000" w:themeColor="text1"/>
          <w14:textFill>
            <w14:solidFill>
              <w14:schemeClr w14:val="tx1"/>
            </w14:solidFill>
          </w14:textFill>
        </w:rPr>
        <w:t xml:space="preserve"> uni-app </w:t>
      </w:r>
      <w:r>
        <w:rPr>
          <w:rFonts w:hint="eastAsia"/>
          <w:b/>
          <w:bCs/>
          <w:color w:val="000000" w:themeColor="text1"/>
          <w14:textFill>
            <w14:solidFill>
              <w14:schemeClr w14:val="tx1"/>
            </w14:solidFill>
          </w14:textFill>
        </w:rPr>
        <w:t>的选型说明</w:t>
      </w:r>
      <w:r>
        <w:rPr>
          <w:rFonts w:hint="eastAsia"/>
          <w:color w:val="000000" w:themeColor="text1"/>
          <w14:textFill>
            <w14:solidFill>
              <w14:schemeClr w14:val="tx1"/>
            </w14:solidFill>
          </w14:textFill>
        </w:rPr>
        <w:t>：群众端需同时覆盖</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H5、微信小程序、公众号，uni-app”一套代码多端发布”能显著降低多端并行维护的人力成本，契合驻场小团队的长期运维定位，同时可调用小程序原生能力（如人脸识别）。</w:t>
      </w:r>
    </w:p>
    <w:bookmarkEnd w:id="63"/>
    <w:p w14:paraId="1E8F05D3">
      <w:pPr>
        <w:pStyle w:val="5"/>
        <w:rPr>
          <w:color w:val="000000" w:themeColor="text1"/>
          <w14:textFill>
            <w14:solidFill>
              <w14:schemeClr w14:val="tx1"/>
            </w14:solidFill>
          </w14:textFill>
        </w:rPr>
      </w:pPr>
      <w:bookmarkStart w:id="64" w:name="运行环境支撑"/>
      <w:r>
        <w:rPr>
          <w:color w:val="000000" w:themeColor="text1"/>
          <w14:textFill>
            <w14:solidFill>
              <w14:schemeClr w14:val="tx1"/>
            </w14:solidFill>
          </w14:textFill>
        </w:rPr>
        <w:t xml:space="preserve">2.4.2 </w:t>
      </w:r>
      <w:r>
        <w:rPr>
          <w:rFonts w:hint="eastAsia"/>
          <w:color w:val="000000" w:themeColor="text1"/>
          <w14:textFill>
            <w14:solidFill>
              <w14:schemeClr w14:val="tx1"/>
            </w14:solidFill>
          </w14:textFill>
        </w:rPr>
        <w:t>运行环境支撑</w:t>
      </w:r>
    </w:p>
    <w:p w14:paraId="2E443B5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操作系统</w:t>
      </w:r>
      <w:r>
        <w:rPr>
          <w:rFonts w:hint="eastAsia"/>
          <w:color w:val="000000" w:themeColor="text1"/>
          <w14:textFill>
            <w14:solidFill>
              <w14:schemeClr w14:val="tx1"/>
            </w14:solidFill>
          </w14:textFill>
        </w:rPr>
        <w:t>：主流</w:t>
      </w:r>
      <w:r>
        <w:rPr>
          <w:color w:val="000000" w:themeColor="text1"/>
          <w14:textFill>
            <w14:solidFill>
              <w14:schemeClr w14:val="tx1"/>
            </w14:solidFill>
          </w14:textFill>
        </w:rPr>
        <w:t xml:space="preserve"> Linux </w:t>
      </w:r>
      <w:r>
        <w:rPr>
          <w:rFonts w:hint="eastAsia"/>
          <w:color w:val="000000" w:themeColor="text1"/>
          <w14:textFill>
            <w14:solidFill>
              <w14:schemeClr w14:val="tx1"/>
            </w14:solidFill>
          </w14:textFill>
        </w:rPr>
        <w:t>服务器操作系统；</w:t>
      </w:r>
    </w:p>
    <w:p w14:paraId="633D903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应用运行</w:t>
      </w:r>
      <w:r>
        <w:rPr>
          <w:rFonts w:hint="eastAsia"/>
          <w:color w:val="000000" w:themeColor="text1"/>
          <w14:textFill>
            <w14:solidFill>
              <w14:schemeClr w14:val="tx1"/>
            </w14:solidFill>
          </w14:textFill>
        </w:rPr>
        <w:t>：JDK</w:t>
      </w:r>
      <w:r>
        <w:rPr>
          <w:color w:val="000000" w:themeColor="text1"/>
          <w14:textFill>
            <w14:solidFill>
              <w14:schemeClr w14:val="tx1"/>
            </w14:solidFill>
          </w14:textFill>
        </w:rPr>
        <w:t xml:space="preserve"> 17 </w:t>
      </w:r>
      <w:r>
        <w:rPr>
          <w:rFonts w:hint="eastAsia"/>
          <w:color w:val="000000" w:themeColor="text1"/>
          <w14:textFill>
            <w14:solidFill>
              <w14:schemeClr w14:val="tx1"/>
            </w14:solidFill>
          </w14:textFill>
        </w:rPr>
        <w:t>运行环境；</w:t>
      </w:r>
    </w:p>
    <w:p w14:paraId="49C4CBA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数据库/缓存</w:t>
      </w:r>
      <w:r>
        <w:rPr>
          <w:rFonts w:hint="eastAsia"/>
          <w:color w:val="000000" w:themeColor="text1"/>
          <w14:textFill>
            <w14:solidFill>
              <w14:schemeClr w14:val="tx1"/>
            </w14:solidFill>
          </w14:textFill>
        </w:rPr>
        <w:t>：MySQL</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8.x、Redis；</w:t>
      </w:r>
    </w:p>
    <w:p w14:paraId="4327F71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Web/代理</w:t>
      </w:r>
      <w:r>
        <w:rPr>
          <w:rFonts w:hint="eastAsia"/>
          <w:color w:val="000000" w:themeColor="text1"/>
          <w14:textFill>
            <w14:solidFill>
              <w14:schemeClr w14:val="tx1"/>
            </w14:solidFill>
          </w14:textFill>
        </w:rPr>
        <w:t>：Nginx/OpenResty</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作为反向代理与静态资源服务；</w:t>
      </w:r>
    </w:p>
    <w:p w14:paraId="5AE1810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容器化</w:t>
      </w:r>
      <w:r>
        <w:rPr>
          <w:rFonts w:hint="eastAsia"/>
          <w:color w:val="000000" w:themeColor="text1"/>
          <w14:textFill>
            <w14:solidFill>
              <w14:schemeClr w14:val="tx1"/>
            </w14:solidFill>
          </w14:textFill>
        </w:rPr>
        <w:t>：关键组件容器化部署，便于环境一致性与快速恢复；</w:t>
      </w:r>
    </w:p>
    <w:p w14:paraId="1E38F51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政务网络</w:t>
      </w:r>
      <w:r>
        <w:rPr>
          <w:rFonts w:hint="eastAsia"/>
          <w:color w:val="000000" w:themeColor="text1"/>
          <w14:textFill>
            <w14:solidFill>
              <w14:schemeClr w14:val="tx1"/>
            </w14:solidFill>
          </w14:textFill>
        </w:rPr>
        <w:t>：经合规代理通道访问港区政务数据接口。</w:t>
      </w:r>
    </w:p>
    <w:bookmarkEnd w:id="64"/>
    <w:p w14:paraId="372AF7A0">
      <w:pPr>
        <w:pStyle w:val="5"/>
        <w:rPr>
          <w:color w:val="000000" w:themeColor="text1"/>
          <w14:textFill>
            <w14:solidFill>
              <w14:schemeClr w14:val="tx1"/>
            </w14:solidFill>
          </w14:textFill>
        </w:rPr>
      </w:pPr>
      <w:bookmarkStart w:id="65" w:name="公共支撑能力"/>
      <w:r>
        <w:rPr>
          <w:color w:val="000000" w:themeColor="text1"/>
          <w14:textFill>
            <w14:solidFill>
              <w14:schemeClr w14:val="tx1"/>
            </w14:solidFill>
          </w14:textFill>
        </w:rPr>
        <w:t xml:space="preserve">2.4.3 </w:t>
      </w:r>
      <w:r>
        <w:rPr>
          <w:rFonts w:hint="eastAsia"/>
          <w:color w:val="000000" w:themeColor="text1"/>
          <w14:textFill>
            <w14:solidFill>
              <w14:schemeClr w14:val="tx1"/>
            </w14:solidFill>
          </w14:textFill>
        </w:rPr>
        <w:t>公共支撑能力</w:t>
      </w:r>
    </w:p>
    <w:p w14:paraId="42982F6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统一认证鉴权</w:t>
      </w:r>
      <w:r>
        <w:rPr>
          <w:rFonts w:hint="eastAsia"/>
          <w:color w:val="000000" w:themeColor="text1"/>
          <w14:textFill>
            <w14:solidFill>
              <w14:schemeClr w14:val="tx1"/>
            </w14:solidFill>
          </w14:textFill>
        </w:rPr>
        <w:t>：JWT</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令牌签发与校验、Redis</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会话管理、RBAC</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权限与数据权限；</w:t>
      </w:r>
    </w:p>
    <w:p w14:paraId="09B1A7A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统一支付能力</w:t>
      </w:r>
      <w:r>
        <w:rPr>
          <w:rFonts w:hint="eastAsia"/>
          <w:color w:val="000000" w:themeColor="text1"/>
          <w14:textFill>
            <w14:solidFill>
              <w14:schemeClr w14:val="tx1"/>
            </w14:solidFill>
          </w14:textFill>
        </w:rPr>
        <w:t>：封装港区支付接口，统一下单、回调、查询、退款、幂等控制；</w:t>
      </w:r>
    </w:p>
    <w:p w14:paraId="58E39D9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统一签约能力</w:t>
      </w:r>
      <w:r>
        <w:rPr>
          <w:rFonts w:hint="eastAsia"/>
          <w:color w:val="000000" w:themeColor="text1"/>
          <w14:textFill>
            <w14:solidFill>
              <w14:schemeClr w14:val="tx1"/>
            </w14:solidFill>
          </w14:textFill>
        </w:rPr>
        <w:t>：封装电子签章，统一模板管理、发起签署、结果回调、合同归档；</w:t>
      </w:r>
    </w:p>
    <w:p w14:paraId="25194CC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统一核验能力</w:t>
      </w:r>
      <w:r>
        <w:rPr>
          <w:rFonts w:hint="eastAsia"/>
          <w:color w:val="000000" w:themeColor="text1"/>
          <w14:textFill>
            <w14:solidFill>
              <w14:schemeClr w14:val="tx1"/>
            </w14:solidFill>
          </w14:textFill>
        </w:rPr>
        <w:t>：封装政务数据核验，统一调用、超时重试、降级、留痕；</w:t>
      </w:r>
    </w:p>
    <w:p w14:paraId="53C706D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统一消息能力</w:t>
      </w:r>
      <w:r>
        <w:rPr>
          <w:rFonts w:hint="eastAsia"/>
          <w:color w:val="000000" w:themeColor="text1"/>
          <w14:textFill>
            <w14:solidFill>
              <w14:schemeClr w14:val="tx1"/>
            </w14:solidFill>
          </w14:textFill>
        </w:rPr>
        <w:t>：站内信、模板消息、公告推送；</w:t>
      </w:r>
    </w:p>
    <w:p w14:paraId="2E4EFF4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统一文件能力</w:t>
      </w:r>
      <w:r>
        <w:rPr>
          <w:rFonts w:hint="eastAsia"/>
          <w:color w:val="000000" w:themeColor="text1"/>
          <w14:textFill>
            <w14:solidFill>
              <w14:schemeClr w14:val="tx1"/>
            </w14:solidFill>
          </w14:textFill>
        </w:rPr>
        <w:t>：上传、存储、访问（相对路径存储</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前端拼接访问地址）；</w:t>
      </w:r>
    </w:p>
    <w:p w14:paraId="292450E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统一任务调度</w:t>
      </w:r>
      <w:r>
        <w:rPr>
          <w:rFonts w:hint="eastAsia"/>
          <w:color w:val="000000" w:themeColor="text1"/>
          <w14:textFill>
            <w14:solidFill>
              <w14:schemeClr w14:val="tx1"/>
            </w14:solidFill>
          </w14:textFill>
        </w:rPr>
        <w:t>：账单生成、超时关单、自动解约、对账等定时作业；</w:t>
      </w:r>
    </w:p>
    <w:p w14:paraId="0D4F332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统一日志审计</w:t>
      </w:r>
      <w:r>
        <w:rPr>
          <w:rFonts w:hint="eastAsia"/>
          <w:color w:val="000000" w:themeColor="text1"/>
          <w14:textFill>
            <w14:solidFill>
              <w14:schemeClr w14:val="tx1"/>
            </w14:solidFill>
          </w14:textFill>
        </w:rPr>
        <w:t>：操作日志、登录日志、接口调用日志、安全审计日志。</w:t>
      </w:r>
    </w:p>
    <w:bookmarkEnd w:id="62"/>
    <w:bookmarkEnd w:id="65"/>
    <w:p w14:paraId="7D5C1C65">
      <w:pPr>
        <w:pStyle w:val="4"/>
        <w:rPr>
          <w:color w:val="000000" w:themeColor="text1"/>
          <w14:textFill>
            <w14:solidFill>
              <w14:schemeClr w14:val="tx1"/>
            </w14:solidFill>
          </w14:textFill>
        </w:rPr>
      </w:pPr>
      <w:bookmarkStart w:id="66" w:name="应用功能详细设计"/>
      <w:r>
        <w:rPr>
          <w:color w:val="000000" w:themeColor="text1"/>
          <w14:textFill>
            <w14:solidFill>
              <w14:schemeClr w14:val="tx1"/>
            </w14:solidFill>
          </w14:textFill>
        </w:rPr>
        <w:t xml:space="preserve">2.5 </w:t>
      </w:r>
      <w:r>
        <w:rPr>
          <w:rFonts w:hint="eastAsia"/>
          <w:color w:val="000000" w:themeColor="text1"/>
          <w14:textFill>
            <w14:solidFill>
              <w14:schemeClr w14:val="tx1"/>
            </w14:solidFill>
          </w14:textFill>
        </w:rPr>
        <w:t>应用功能详细设计</w:t>
      </w:r>
    </w:p>
    <w:p w14:paraId="27CC9690">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本节按八大业务域展开功能详细设计，每一业务域给出功能构成、关键规则与处理流程，力求”每一项功能都对应真实业务动线、每一条规则都可落地执行”。</w:t>
      </w:r>
    </w:p>
    <w:p w14:paraId="721E0120">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四端功能总清单</w:t>
      </w:r>
      <w:r>
        <w:rPr>
          <w:rFonts w:hint="eastAsia"/>
          <w:color w:val="000000" w:themeColor="text1"/>
          <w14:textFill>
            <w14:solidFill>
              <w14:schemeClr w14:val="tx1"/>
            </w14:solidFill>
          </w14:textFill>
        </w:rPr>
        <w:t>：为便于甲方整体把握系统功能覆盖，先给出四端功能总清单，后续各小节展开详细设计。</w:t>
      </w:r>
    </w:p>
    <w:tbl>
      <w:tblPr>
        <w:tblStyle w:val="41"/>
        <w:tblW w:w="5000" w:type="pct"/>
        <w:tblInd w:w="0" w:type="dxa"/>
        <w:tblLayout w:type="fixed"/>
        <w:tblCellMar>
          <w:top w:w="0" w:type="dxa"/>
          <w:left w:w="108" w:type="dxa"/>
          <w:bottom w:w="0" w:type="dxa"/>
          <w:right w:w="108" w:type="dxa"/>
        </w:tblCellMar>
      </w:tblPr>
      <w:tblGrid>
        <w:gridCol w:w="1265"/>
        <w:gridCol w:w="3796"/>
        <w:gridCol w:w="3796"/>
      </w:tblGrid>
      <w:tr w14:paraId="571239D6">
        <w:trPr>
          <w:tblHeader/>
        </w:trPr>
        <w:tc>
          <w:p w14:paraId="3A01500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端</w:t>
            </w:r>
          </w:p>
        </w:tc>
        <w:tc>
          <w:p w14:paraId="127C0E7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功能模块</w:t>
            </w:r>
          </w:p>
        </w:tc>
        <w:tc>
          <w:p w14:paraId="0E7846D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主要功能</w:t>
            </w:r>
          </w:p>
        </w:tc>
      </w:tr>
      <w:tr w14:paraId="3ED7C416">
        <w:tc>
          <w:p w14:paraId="30931FC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移动端/小程序/公众号（群众端）</w:t>
            </w:r>
          </w:p>
        </w:tc>
        <w:tc>
          <w:p w14:paraId="5FE8C4C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找房</w:t>
            </w:r>
          </w:p>
        </w:tc>
        <w:tc>
          <w:p w14:paraId="1E512C0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首页、地图找房、VR看房、房源列表与详情、搜索筛选</w:t>
            </w:r>
          </w:p>
        </w:tc>
      </w:tr>
      <w:tr w14:paraId="2F15853E">
        <w:tc>
          <w:p w14:paraId="195220E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c>
          <w:p w14:paraId="480D964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办事</w:t>
            </w:r>
          </w:p>
        </w:tc>
        <w:tc>
          <w:p w14:paraId="258465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资格核验、不符申诉、选房、承诺书签署、人脸核身</w:t>
            </w:r>
          </w:p>
        </w:tc>
      </w:tr>
      <w:tr w14:paraId="6F285FAC">
        <w:tc>
          <w:p w14:paraId="1C0F2E6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c>
          <w:p w14:paraId="5841581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w:t>
            </w:r>
          </w:p>
        </w:tc>
        <w:tc>
          <w:p w14:paraId="558C687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在线签署、合同查看下载、续租、退租申请</w:t>
            </w:r>
          </w:p>
        </w:tc>
      </w:tr>
      <w:tr w14:paraId="1280BED9">
        <w:tc>
          <w:p w14:paraId="2DFD3F6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c>
          <w:p w14:paraId="015652D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缴费</w:t>
            </w:r>
          </w:p>
        </w:tc>
        <w:tc>
          <w:p w14:paraId="6F785A1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押金/租金缴纳、优惠券核销、账单查看、开票申请</w:t>
            </w:r>
          </w:p>
        </w:tc>
      </w:tr>
      <w:tr w14:paraId="7720588E">
        <w:tc>
          <w:p w14:paraId="45B60AA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c>
          <w:p w14:paraId="4C2BD9A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入住</w:t>
            </w:r>
          </w:p>
        </w:tc>
        <w:tc>
          <w:p w14:paraId="36D22FD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入住申请、物品清单确认、入住详情</w:t>
            </w:r>
          </w:p>
        </w:tc>
      </w:tr>
      <w:tr w14:paraId="4F551B4B">
        <w:tc>
          <w:p w14:paraId="11CB715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c>
          <w:p w14:paraId="6982007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个人中心</w:t>
            </w:r>
          </w:p>
        </w:tc>
        <w:tc>
          <w:p w14:paraId="1E4E989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我的合同/房源/账单/消息/优惠券、资料上传、资格与申诉</w:t>
            </w:r>
          </w:p>
        </w:tc>
      </w:tr>
      <w:tr w14:paraId="16A80020">
        <w:tc>
          <w:p w14:paraId="0AA78E5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c>
          <w:p w14:paraId="7992E64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生活服务</w:t>
            </w:r>
          </w:p>
        </w:tc>
        <w:tc>
          <w:p w14:paraId="5D55658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投诉建议、保洁、搬家、报修下单与评价</w:t>
            </w:r>
          </w:p>
        </w:tc>
      </w:tr>
      <w:tr w14:paraId="0C1B643F">
        <w:tc>
          <w:p w14:paraId="26488C9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c>
          <w:p w14:paraId="479B24A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消息</w:t>
            </w:r>
          </w:p>
        </w:tc>
        <w:tc>
          <w:p w14:paraId="3C75A65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站内信、模板消息、公告、政策文件</w:t>
            </w:r>
          </w:p>
        </w:tc>
      </w:tr>
      <w:tr w14:paraId="47F10A40">
        <w:tc>
          <w:p w14:paraId="0124173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21835BC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房源管理</w:t>
            </w:r>
          </w:p>
        </w:tc>
        <w:tc>
          <w:p w14:paraId="03F76E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项目/楼栋/单元/房源/户型、地图点位、VR资源、上下架</w:t>
            </w:r>
          </w:p>
        </w:tc>
      </w:tr>
      <w:tr w14:paraId="2E40C574">
        <w:tc>
          <w:p w14:paraId="2E48B4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1B53DB1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合同管理</w:t>
            </w:r>
          </w:p>
        </w:tc>
        <w:tc>
          <w:p w14:paraId="71D89A5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合同、签署、归档、续租/退租、企业合同备案</w:t>
            </w:r>
          </w:p>
        </w:tc>
      </w:tr>
      <w:tr w14:paraId="5288E906">
        <w:tc>
          <w:p w14:paraId="6686117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16049CC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交易管理</w:t>
            </w:r>
          </w:p>
        </w:tc>
        <w:tc>
          <w:p w14:paraId="19FF446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账单、账期、支付订单、退款、对账、开票</w:t>
            </w:r>
          </w:p>
        </w:tc>
      </w:tr>
      <w:tr w14:paraId="5F1F9918">
        <w:tc>
          <w:p w14:paraId="457FBB5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47E6D3C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运营管理</w:t>
            </w:r>
          </w:p>
        </w:tc>
        <w:tc>
          <w:p w14:paraId="2E96CAE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首页配置、banner、金刚位、活动、优惠券、消息公告</w:t>
            </w:r>
          </w:p>
        </w:tc>
      </w:tr>
      <w:tr w14:paraId="2EF450D8">
        <w:tc>
          <w:p w14:paraId="1CA793A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1A1D54F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客户管理</w:t>
            </w:r>
          </w:p>
        </w:tc>
        <w:tc>
          <w:p w14:paraId="427BDFF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用户、企业客户、资格核验记录、申诉审批</w:t>
            </w:r>
          </w:p>
        </w:tc>
      </w:tr>
      <w:tr w14:paraId="58518C95">
        <w:tc>
          <w:p w14:paraId="32E3E65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5A44461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生活服务管理</w:t>
            </w:r>
          </w:p>
        </w:tc>
        <w:tc>
          <w:p w14:paraId="37DC80B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工单受理、派单、处理、反馈</w:t>
            </w:r>
          </w:p>
        </w:tc>
      </w:tr>
      <w:tr w14:paraId="59B2B5DE">
        <w:tc>
          <w:p w14:paraId="6972EEC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7070654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数据看板</w:t>
            </w:r>
          </w:p>
        </w:tc>
        <w:tc>
          <w:p w14:paraId="5E1A16E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财务、房源、用户转化看板</w:t>
            </w:r>
          </w:p>
        </w:tc>
      </w:tr>
      <w:tr w14:paraId="4A7C7C99">
        <w:tc>
          <w:p w14:paraId="6B9FE35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后台管理端</w:t>
            </w:r>
          </w:p>
        </w:tc>
        <w:tc>
          <w:p w14:paraId="14258BF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系统管理</w:t>
            </w:r>
          </w:p>
        </w:tc>
        <w:tc>
          <w:p w14:paraId="4E6F129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用户/角色/菜单/部门/岗位/字典/参数/日志</w:t>
            </w:r>
          </w:p>
        </w:tc>
      </w:tr>
    </w:tbl>
    <w:p w14:paraId="65ECD1B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上述功能以八大业务域为骨架、四端为触点组织，群众端与管理端共享统一后端与业务规则，保证功能完整、动线连贯。</w:t>
      </w:r>
    </w:p>
    <w:p w14:paraId="02883028">
      <w:pPr>
        <w:pStyle w:val="5"/>
        <w:rPr>
          <w:color w:val="000000" w:themeColor="text1"/>
          <w14:textFill>
            <w14:solidFill>
              <w14:schemeClr w14:val="tx1"/>
            </w14:solidFill>
          </w14:textFill>
        </w:rPr>
      </w:pPr>
      <w:bookmarkStart w:id="67" w:name="房源管理域"/>
      <w:r>
        <w:rPr>
          <w:color w:val="000000" w:themeColor="text1"/>
          <w14:textFill>
            <w14:solidFill>
              <w14:schemeClr w14:val="tx1"/>
            </w14:solidFill>
          </w14:textFill>
        </w:rPr>
        <w:t xml:space="preserve">2.5.1 </w:t>
      </w:r>
      <w:r>
        <w:rPr>
          <w:rFonts w:hint="eastAsia"/>
          <w:color w:val="000000" w:themeColor="text1"/>
          <w14:textFill>
            <w14:solidFill>
              <w14:schemeClr w14:val="tx1"/>
            </w14:solidFill>
          </w14:textFill>
        </w:rPr>
        <w:t>房源管理域</w:t>
      </w:r>
    </w:p>
    <w:p w14:paraId="66E44642">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：项目管理、楼栋管理、单元管理、房源管理、户型管理、地图找房、VR看房、房源上下架与状态管理。</w:t>
      </w:r>
    </w:p>
    <w:p w14:paraId="69D9374E">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w:t>
      </w:r>
    </w:p>
    <w:p w14:paraId="39A0A18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层级模型</w:t>
      </w:r>
      <w:r>
        <w:rPr>
          <w:rFonts w:hint="eastAsia"/>
          <w:color w:val="000000" w:themeColor="text1"/>
          <w14:textFill>
            <w14:solidFill>
              <w14:schemeClr w14:val="tx1"/>
            </w14:solidFill>
          </w14:textFill>
        </w:rPr>
        <w:t>：项目</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楼栋</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单元</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房源，房源关联户型（含面积、租金基准、设施）；</w:t>
      </w:r>
    </w:p>
    <w:p w14:paraId="726BB66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房源状态机</w:t>
      </w:r>
      <w:r>
        <w:rPr>
          <w:rFonts w:hint="eastAsia"/>
          <w:color w:val="000000" w:themeColor="text1"/>
          <w14:textFill>
            <w14:solidFill>
              <w14:schemeClr w14:val="tx1"/>
            </w14:solidFill>
          </w14:textFill>
        </w:rPr>
        <w:t>：空置、已预订、已签约、已入住、退租释放等状态按规则流转，选房/签约/入住/退租各环节自动驱动状态变化，避免”一房多签”；</w:t>
      </w:r>
    </w:p>
    <w:p w14:paraId="4120CDC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地图找房</w:t>
      </w:r>
      <w:r>
        <w:rPr>
          <w:rFonts w:hint="eastAsia"/>
          <w:color w:val="000000" w:themeColor="text1"/>
          <w14:textFill>
            <w14:solidFill>
              <w14:schemeClr w14:val="tx1"/>
            </w14:solidFill>
          </w14:textFill>
        </w:rPr>
        <w:t>：项目/房源在地图上以点位展示，支持按业态、区域筛选，点位维护经纬度采用腾讯地图；</w:t>
      </w:r>
    </w:p>
    <w:p w14:paraId="7654320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VR看房</w:t>
      </w:r>
      <w:r>
        <w:rPr>
          <w:rFonts w:hint="eastAsia"/>
          <w:color w:val="000000" w:themeColor="text1"/>
          <w14:textFill>
            <w14:solidFill>
              <w14:schemeClr w14:val="tx1"/>
            </w14:solidFill>
          </w14:textFill>
        </w:rPr>
        <w:t>：房源可关联</w:t>
      </w:r>
      <w:r>
        <w:rPr>
          <w:color w:val="000000" w:themeColor="text1"/>
          <w14:textFill>
            <w14:solidFill>
              <w14:schemeClr w14:val="tx1"/>
            </w14:solidFill>
          </w14:textFill>
        </w:rPr>
        <w:t xml:space="preserve"> VR </w:t>
      </w:r>
      <w:r>
        <w:rPr>
          <w:rFonts w:hint="eastAsia"/>
          <w:color w:val="000000" w:themeColor="text1"/>
          <w14:textFill>
            <w14:solidFill>
              <w14:schemeClr w14:val="tx1"/>
            </w14:solidFill>
          </w14:textFill>
        </w:rPr>
        <w:t>资源，群众端一键进入全景看房；</w:t>
      </w:r>
    </w:p>
    <w:p w14:paraId="71144F3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可见性控制</w:t>
      </w:r>
      <w:r>
        <w:rPr>
          <w:rFonts w:hint="eastAsia"/>
          <w:color w:val="000000" w:themeColor="text1"/>
          <w14:textFill>
            <w14:solidFill>
              <w14:schemeClr w14:val="tx1"/>
            </w14:solidFill>
          </w14:textFill>
        </w:rPr>
        <w:t>：按业态、配租方式、批次等控制房源在群众端的可见范围（如批次配租房源仅对特定用户可见）。</w:t>
      </w:r>
    </w:p>
    <w:p w14:paraId="309ACAF3">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0206990"/>
            <wp:effectExtent l="0" t="0" r="0" b="0"/>
            <wp:docPr id="90" name="Picture" descr="图2-8 房源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图2-8 房源状态机"/>
                    <pic:cNvPicPr>
                      <a:picLocks noChangeAspect="1" noChangeArrowheads="1"/>
                    </pic:cNvPicPr>
                  </pic:nvPicPr>
                  <pic:blipFill>
                    <a:blip r:embed="rId10"/>
                    <a:stretch>
                      <a:fillRect/>
                    </a:stretch>
                  </pic:blipFill>
                  <pic:spPr>
                    <a:xfrm>
                      <a:off x="0" y="0"/>
                      <a:ext cx="5334000" cy="10207255"/>
                    </a:xfrm>
                    <a:prstGeom prst="rect">
                      <a:avLst/>
                    </a:prstGeom>
                    <a:noFill/>
                    <a:ln w="9525">
                      <a:noFill/>
                    </a:ln>
                  </pic:spPr>
                </pic:pic>
              </a:graphicData>
            </a:graphic>
          </wp:inline>
        </w:drawing>
      </w:r>
    </w:p>
    <w:p w14:paraId="22608D03">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图2-8</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房源状态机</w:t>
      </w:r>
    </w:p>
    <w:p w14:paraId="11F8EBD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图2-8</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房源状态机</w:t>
      </w:r>
    </w:p>
    <w:p w14:paraId="770A49D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房源管理域功能清单</w:t>
      </w:r>
      <w:r>
        <w:rPr>
          <w:rFonts w:hint="eastAsia"/>
          <w:color w:val="000000" w:themeColor="text1"/>
          <w14:textFill>
            <w14:solidFill>
              <w14:schemeClr w14:val="tx1"/>
            </w14:solidFill>
          </w14:textFill>
        </w:rPr>
        <w:t>：</w:t>
      </w:r>
    </w:p>
    <w:tbl>
      <w:tblPr>
        <w:tblStyle w:val="41"/>
        <w:tblW w:w="5000" w:type="pct"/>
        <w:tblInd w:w="0" w:type="dxa"/>
        <w:tblLayout w:type="fixed"/>
        <w:tblCellMar>
          <w:top w:w="0" w:type="dxa"/>
          <w:left w:w="108" w:type="dxa"/>
          <w:bottom w:w="0" w:type="dxa"/>
          <w:right w:w="108" w:type="dxa"/>
        </w:tblCellMar>
      </w:tblPr>
      <w:tblGrid>
        <w:gridCol w:w="2479"/>
        <w:gridCol w:w="3188"/>
        <w:gridCol w:w="3188"/>
      </w:tblGrid>
      <w:tr w14:paraId="01757FE7">
        <w:trPr>
          <w:tblHeader/>
        </w:trPr>
        <w:tc>
          <w:p w14:paraId="0406835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功能项</w:t>
            </w:r>
          </w:p>
        </w:tc>
        <w:tc>
          <w:p w14:paraId="72C6D94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功能说明</w:t>
            </w:r>
          </w:p>
        </w:tc>
        <w:tc>
          <w:p w14:paraId="31BA562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使用角色</w:t>
            </w:r>
          </w:p>
        </w:tc>
      </w:tr>
      <w:tr w14:paraId="4832F563">
        <w:tc>
          <w:p w14:paraId="5CAFC27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项目管理</w:t>
            </w:r>
          </w:p>
        </w:tc>
        <w:tc>
          <w:p w14:paraId="37217B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维护项目基本信息、业态归属、位置、简介、封面</w:t>
            </w:r>
          </w:p>
        </w:tc>
        <w:tc>
          <w:p w14:paraId="74A9636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房源管家/管理员</w:t>
            </w:r>
          </w:p>
        </w:tc>
      </w:tr>
      <w:tr w14:paraId="4D5E9547">
        <w:tc>
          <w:p w14:paraId="709ED43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楼栋管理</w:t>
            </w:r>
          </w:p>
        </w:tc>
        <w:tc>
          <w:p w14:paraId="48C632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维护楼栋编号、楼层、朝向等属性</w:t>
            </w:r>
          </w:p>
        </w:tc>
        <w:tc>
          <w:p w14:paraId="59195B0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r w14:paraId="1C753EB7">
        <w:tc>
          <w:p w14:paraId="41D5FB6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单元管理</w:t>
            </w:r>
          </w:p>
        </w:tc>
        <w:tc>
          <w:p w14:paraId="0DFDFC2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维护单元与楼栋的从属关系</w:t>
            </w:r>
          </w:p>
        </w:tc>
        <w:tc>
          <w:p w14:paraId="5E4C391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r w14:paraId="4A32D777">
        <w:tc>
          <w:p w14:paraId="16A6A7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房源管理</w:t>
            </w:r>
          </w:p>
        </w:tc>
        <w:tc>
          <w:p w14:paraId="5F20701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维护房号、面积、户型、租金基准、朝向、状态</w:t>
            </w:r>
          </w:p>
        </w:tc>
        <w:tc>
          <w:p w14:paraId="5421154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r w14:paraId="5DE9857E">
        <w:tc>
          <w:p w14:paraId="1341658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户型管理</w:t>
            </w:r>
          </w:p>
        </w:tc>
        <w:tc>
          <w:p w14:paraId="0577150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维护户型图、面积区间、设施配置、租金档</w:t>
            </w:r>
          </w:p>
        </w:tc>
        <w:tc>
          <w:p w14:paraId="6119F02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r w14:paraId="13A07F96">
        <w:tc>
          <w:p w14:paraId="0ECA0A0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地图找房</w:t>
            </w:r>
          </w:p>
        </w:tc>
        <w:tc>
          <w:p w14:paraId="104EC2B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维护经纬度点位，群众端地图筛选展示</w:t>
            </w:r>
          </w:p>
        </w:tc>
        <w:tc>
          <w:p w14:paraId="0F2367F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r w14:paraId="16CBA3E2">
        <w:tc>
          <w:p w14:paraId="3F7DA8D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VR看房</w:t>
            </w:r>
          </w:p>
        </w:tc>
        <w:tc>
          <w:p w14:paraId="296F0D1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关联VR资源，群众端全景看房</w:t>
            </w:r>
          </w:p>
        </w:tc>
        <w:tc>
          <w:p w14:paraId="3D1689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r w14:paraId="16749E47">
        <w:tc>
          <w:p w14:paraId="7806E66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上下架</w:t>
            </w:r>
          </w:p>
        </w:tc>
        <w:tc>
          <w:p w14:paraId="071DB0A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控制房源在群众端的可售/可租状态</w:t>
            </w:r>
          </w:p>
        </w:tc>
        <w:tc>
          <w:p w14:paraId="1C9FC5D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r w14:paraId="44204BA9">
        <w:tc>
          <w:p w14:paraId="6BF8D27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批量维护</w:t>
            </w:r>
          </w:p>
        </w:tc>
        <w:tc>
          <w:p w14:paraId="289175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批量导入/调整房源，提升维护效率</w:t>
            </w:r>
          </w:p>
        </w:tc>
        <w:tc>
          <w:p w14:paraId="5A8BC0D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房源管家</w:t>
            </w:r>
          </w:p>
        </w:tc>
      </w:tr>
    </w:tbl>
    <w:p w14:paraId="4E14BA7F">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房源状态流转规则</w:t>
      </w:r>
      <w:r>
        <w:rPr>
          <w:rFonts w:hint="eastAsia"/>
          <w:color w:val="000000" w:themeColor="text1"/>
          <w14:textFill>
            <w14:solidFill>
              <w14:schemeClr w14:val="tx1"/>
            </w14:solidFill>
          </w14:textFill>
        </w:rPr>
        <w:t>：房源状态由业务事件驱动自动流转，不允许手工随意置态，确保”状态即事实”。核心规则为：选房锁定使房源由”空置”进入”已预订”并占用（设置预订超时释放）；签约完成进入”已签约”；入住确认进入”已入住”；退租完成后经”退租释放”回到”空置”。所有状态变更均记录操作人、时间与来源事件，杜绝”一房多签”与状态错乱。</w:t>
      </w:r>
    </w:p>
    <w:p w14:paraId="0091962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层级数据模型说明</w:t>
      </w:r>
      <w:r>
        <w:rPr>
          <w:rFonts w:hint="eastAsia"/>
          <w:color w:val="000000" w:themeColor="text1"/>
          <w14:textFill>
            <w14:solidFill>
              <w14:schemeClr w14:val="tx1"/>
            </w14:solidFill>
          </w14:textFill>
        </w:rPr>
        <w:t>：项目、楼栋、单元、房源构成四级层级，房源关联户型获得面积与租金基准。这一模型既支撑保租房/人才公寓的按项目集中管理，也支撑市场租赁的分散房源管理；地图找房与VR看房作为增值展示能力挂接在房源之上，不改变核心层级。</w:t>
      </w:r>
    </w:p>
    <w:bookmarkEnd w:id="67"/>
    <w:p w14:paraId="606D1616">
      <w:pPr>
        <w:pStyle w:val="5"/>
        <w:rPr>
          <w:color w:val="000000" w:themeColor="text1"/>
          <w14:textFill>
            <w14:solidFill>
              <w14:schemeClr w14:val="tx1"/>
            </w14:solidFill>
          </w14:textFill>
        </w:rPr>
      </w:pPr>
      <w:bookmarkStart w:id="68" w:name="合同管理域"/>
      <w:r>
        <w:rPr>
          <w:color w:val="000000" w:themeColor="text1"/>
          <w14:textFill>
            <w14:solidFill>
              <w14:schemeClr w14:val="tx1"/>
            </w14:solidFill>
          </w14:textFill>
        </w:rPr>
        <w:t xml:space="preserve">2.5.2 </w:t>
      </w:r>
      <w:r>
        <w:rPr>
          <w:rFonts w:hint="eastAsia"/>
          <w:color w:val="000000" w:themeColor="text1"/>
          <w14:textFill>
            <w14:solidFill>
              <w14:schemeClr w14:val="tx1"/>
            </w14:solidFill>
          </w14:textFill>
        </w:rPr>
        <w:t>合同管理域</w:t>
      </w:r>
    </w:p>
    <w:p w14:paraId="041D7082">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：合同模板、在线签署、合同归档与下载、合同状态机、续租、退租、企业合同备案。</w:t>
      </w:r>
    </w:p>
    <w:p w14:paraId="5040A08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w:t>
      </w:r>
    </w:p>
    <w:p w14:paraId="41BDC71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在线签署</w:t>
      </w:r>
      <w:r>
        <w:rPr>
          <w:rFonts w:hint="eastAsia"/>
          <w:color w:val="000000" w:themeColor="text1"/>
          <w14:textFill>
            <w14:solidFill>
              <w14:schemeClr w14:val="tx1"/>
            </w14:solidFill>
          </w14:textFill>
        </w:rPr>
        <w:t>：对接电子签章，群众端发起签署、完成后合同归档并可下载；</w:t>
      </w:r>
    </w:p>
    <w:p w14:paraId="40922DF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合同状态机</w:t>
      </w:r>
      <w:r>
        <w:rPr>
          <w:rFonts w:hint="eastAsia"/>
          <w:color w:val="000000" w:themeColor="text1"/>
          <w14:textFill>
            <w14:solidFill>
              <w14:schemeClr w14:val="tx1"/>
            </w14:solidFill>
          </w14:textFill>
        </w:rPr>
        <w:t>：涵盖待签署、待付款、生效、到期、退租、作废等状态，跨渠道保持一致；押金支付超时可触发合同失效；</w:t>
      </w:r>
    </w:p>
    <w:p w14:paraId="3B03C1C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续租</w:t>
      </w:r>
      <w:r>
        <w:rPr>
          <w:rFonts w:hint="eastAsia"/>
          <w:color w:val="000000" w:themeColor="text1"/>
          <w14:textFill>
            <w14:solidFill>
              <w14:schemeClr w14:val="tx1"/>
            </w14:solidFill>
          </w14:textFill>
        </w:rPr>
        <w:t>：续租前校验资格与欠费，通过后签署续租合同；</w:t>
      </w:r>
    </w:p>
    <w:p w14:paraId="2B908D0A">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退租</w:t>
      </w:r>
      <w:r>
        <w:rPr>
          <w:rFonts w:hint="eastAsia"/>
          <w:color w:val="000000" w:themeColor="text1"/>
          <w14:textFill>
            <w14:solidFill>
              <w14:schemeClr w14:val="tx1"/>
            </w14:solidFill>
          </w14:textFill>
        </w:rPr>
        <w:t>：退租申请</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审批核定实际退租日期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按日精算退款</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签字确认</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合同状态与房源状态联动释放；</w:t>
      </w:r>
    </w:p>
    <w:p w14:paraId="20BA0C1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企业合同备案</w:t>
      </w:r>
      <w:r>
        <w:rPr>
          <w:rFonts w:hint="eastAsia"/>
          <w:color w:val="000000" w:themeColor="text1"/>
          <w14:textFill>
            <w14:solidFill>
              <w14:schemeClr w14:val="tx1"/>
            </w14:solidFill>
          </w14:textFill>
        </w:rPr>
        <w:t>：支持企业集中配租合同的备案与管理。</w:t>
      </w:r>
    </w:p>
    <w:p w14:paraId="69FC66B8">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7552055"/>
            <wp:effectExtent l="0" t="0" r="0" b="0"/>
            <wp:docPr id="94" name="Picture" descr="图2-9 合同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图2-9 合同状态机"/>
                    <pic:cNvPicPr>
                      <a:picLocks noChangeAspect="1" noChangeArrowheads="1"/>
                    </pic:cNvPicPr>
                  </pic:nvPicPr>
                  <pic:blipFill>
                    <a:blip r:embed="rId11"/>
                    <a:stretch>
                      <a:fillRect/>
                    </a:stretch>
                  </pic:blipFill>
                  <pic:spPr>
                    <a:xfrm>
                      <a:off x="0" y="0"/>
                      <a:ext cx="5334000" cy="7552566"/>
                    </a:xfrm>
                    <a:prstGeom prst="rect">
                      <a:avLst/>
                    </a:prstGeom>
                    <a:noFill/>
                    <a:ln w="9525">
                      <a:noFill/>
                    </a:ln>
                  </pic:spPr>
                </pic:pic>
              </a:graphicData>
            </a:graphic>
          </wp:inline>
        </w:drawing>
      </w:r>
    </w:p>
    <w:p w14:paraId="00C81387">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图2-9</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合同状态机</w:t>
      </w:r>
    </w:p>
    <w:p w14:paraId="5C6B4692">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图2-9</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合同状态机</w:t>
      </w:r>
    </w:p>
    <w:p w14:paraId="3328BBA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合同签署与归档流程</w:t>
      </w:r>
      <w:r>
        <w:rPr>
          <w:rFonts w:hint="eastAsia"/>
          <w:color w:val="000000" w:themeColor="text1"/>
          <w14:textFill>
            <w14:solidFill>
              <w14:schemeClr w14:val="tx1"/>
            </w14:solidFill>
          </w14:textFill>
        </w:rPr>
        <w:t>：群众端发起签署后，系统按业态与租金规则生成合同要素，调用电子签章平台按模板创建签署任务；租户完成签署后，签章平台回调通知，系统将合同</w:t>
      </w:r>
      <w:r>
        <w:rPr>
          <w:color w:val="000000" w:themeColor="text1"/>
          <w14:textFill>
            <w14:solidFill>
              <w14:schemeClr w14:val="tx1"/>
            </w14:solidFill>
          </w14:textFill>
        </w:rPr>
        <w:t xml:space="preserve"> PDF </w:t>
      </w:r>
      <w:r>
        <w:rPr>
          <w:rFonts w:hint="eastAsia"/>
          <w:color w:val="000000" w:themeColor="text1"/>
          <w14:textFill>
            <w14:solidFill>
              <w14:schemeClr w14:val="tx1"/>
            </w14:solidFill>
          </w14:textFill>
        </w:rPr>
        <w:t>归档并更新状态为”待付款”；押金/首期款缴纳后合同”生效”。整个过程对租户透明、对管理端可监控，归档合同随时可在个人中心与后台下载。</w:t>
      </w:r>
    </w:p>
    <w:p w14:paraId="79F78B4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续租与退租业务规则</w:t>
      </w:r>
      <w:r>
        <w:rPr>
          <w:rFonts w:hint="eastAsia"/>
          <w:color w:val="000000" w:themeColor="text1"/>
          <w14:textFill>
            <w14:solidFill>
              <w14:schemeClr w14:val="tx1"/>
            </w14:solidFill>
          </w14:textFill>
        </w:rPr>
        <w:t>：</w:t>
      </w:r>
    </w:p>
    <w:p w14:paraId="3AF6D25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续租</w:t>
      </w:r>
      <w:r>
        <w:rPr>
          <w:rFonts w:hint="eastAsia"/>
          <w:color w:val="000000" w:themeColor="text1"/>
          <w14:textFill>
            <w14:solidFill>
              <w14:schemeClr w14:val="tx1"/>
            </w14:solidFill>
          </w14:textFill>
        </w:rPr>
        <w:t>：租期临近到期时系统提醒；租户发起续租，系统校验资格（人才层次是否仍符合）与欠费情况，通过后按新租期与租金生成续租合同并签署，续租合同与原合同关联，形成完整租赁履历；</w:t>
      </w:r>
    </w:p>
    <w:p w14:paraId="5DC7731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退租</w:t>
      </w:r>
      <w:r>
        <w:rPr>
          <w:rFonts w:hint="eastAsia"/>
          <w:color w:val="000000" w:themeColor="text1"/>
          <w14:textFill>
            <w14:solidFill>
              <w14:schemeClr w14:val="tx1"/>
            </w14:solidFill>
          </w14:textFill>
        </w:rPr>
        <w:t>：租户发起退租申请，管理端审批时核定”实际退租日期”，系统据此按日精算应退租金与押金，退款金额一次核定后锁定（一次定死），租户签字确认后执行原路退款，合同置”退租”、房源联动释放。退租全程台账化，退款金额、核定依据、操作人、时间均可追溯。</w:t>
      </w:r>
    </w:p>
    <w:p w14:paraId="53692FCB">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企业合同备案</w:t>
      </w:r>
      <w:r>
        <w:rPr>
          <w:rFonts w:hint="eastAsia"/>
          <w:color w:val="000000" w:themeColor="text1"/>
          <w14:textFill>
            <w14:solidFill>
              <w14:schemeClr w14:val="tx1"/>
            </w14:solidFill>
          </w14:textFill>
        </w:rPr>
        <w:t>：面向企业集中配租场景，支持企业主体下的合同集中备案与查询，与批量入住、企业缴费联动，满足单位承租的规范化管理。</w:t>
      </w:r>
    </w:p>
    <w:bookmarkEnd w:id="68"/>
    <w:p w14:paraId="6AFB74B8">
      <w:pPr>
        <w:pStyle w:val="5"/>
        <w:rPr>
          <w:color w:val="000000" w:themeColor="text1"/>
          <w14:textFill>
            <w14:solidFill>
              <w14:schemeClr w14:val="tx1"/>
            </w14:solidFill>
          </w14:textFill>
        </w:rPr>
      </w:pPr>
      <w:bookmarkStart w:id="69" w:name="交易缴费域"/>
      <w:r>
        <w:rPr>
          <w:color w:val="000000" w:themeColor="text1"/>
          <w14:textFill>
            <w14:solidFill>
              <w14:schemeClr w14:val="tx1"/>
            </w14:solidFill>
          </w14:textFill>
        </w:rPr>
        <w:t xml:space="preserve">2.5.3 </w:t>
      </w:r>
      <w:r>
        <w:rPr>
          <w:rFonts w:hint="eastAsia"/>
          <w:color w:val="000000" w:themeColor="text1"/>
          <w14:textFill>
            <w14:solidFill>
              <w14:schemeClr w14:val="tx1"/>
            </w14:solidFill>
          </w14:textFill>
        </w:rPr>
        <w:t>交易缴费域</w:t>
      </w:r>
    </w:p>
    <w:p w14:paraId="4C3B2AFB">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：账单管理、账期管理、押金/租金缴纳、优惠核销、支付订单、退款、对账。</w:t>
      </w:r>
    </w:p>
    <w:p w14:paraId="0F00C13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w:t>
      </w:r>
    </w:p>
    <w:p w14:paraId="47E4A6D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账期制账单</w:t>
      </w:r>
      <w:r>
        <w:rPr>
          <w:rFonts w:hint="eastAsia"/>
          <w:color w:val="000000" w:themeColor="text1"/>
          <w14:textFill>
            <w14:solidFill>
              <w14:schemeClr w14:val="tx1"/>
            </w14:solidFill>
          </w14:textFill>
        </w:rPr>
        <w:t>：账单按租金所属期间（起止日期）生成与管理，清晰对应缴费区间；</w:t>
      </w:r>
    </w:p>
    <w:p w14:paraId="23D56C3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缴费约束</w:t>
      </w:r>
      <w:r>
        <w:rPr>
          <w:rFonts w:hint="eastAsia"/>
          <w:color w:val="000000" w:themeColor="text1"/>
          <w14:textFill>
            <w14:solidFill>
              <w14:schemeClr w14:val="tx1"/>
            </w14:solidFill>
          </w14:textFill>
        </w:rPr>
        <w:t>：押金未缴清不得缴纳租期账单，保证缴费顺序与资金逻辑正确；</w:t>
      </w:r>
    </w:p>
    <w:p w14:paraId="3AB3AD9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支付幂等</w:t>
      </w:r>
      <w:r>
        <w:rPr>
          <w:rFonts w:hint="eastAsia"/>
          <w:color w:val="000000" w:themeColor="text1"/>
          <w14:textFill>
            <w14:solidFill>
              <w14:schemeClr w14:val="tx1"/>
            </w14:solidFill>
          </w14:textFill>
        </w:rPr>
        <w:t>：以港区支付接口为唯一通道，下单与回调严格幂等，杜绝重复扣款；回调丢失时由定时对账/查单兜底推进；</w:t>
      </w:r>
    </w:p>
    <w:p w14:paraId="4E5BCD5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退款精算</w:t>
      </w:r>
      <w:r>
        <w:rPr>
          <w:rFonts w:hint="eastAsia"/>
          <w:color w:val="000000" w:themeColor="text1"/>
          <w14:textFill>
            <w14:solidFill>
              <w14:schemeClr w14:val="tx1"/>
            </w14:solidFill>
          </w14:textFill>
        </w:rPr>
        <w:t>：退租退款以核定的实际退租日期按日精算，金额一次核定后锁定（一次定死），全程台账化、可追溯；</w:t>
      </w:r>
    </w:p>
    <w:p w14:paraId="47DF39D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押金规则</w:t>
      </w:r>
      <w:r>
        <w:rPr>
          <w:rFonts w:hint="eastAsia"/>
          <w:color w:val="000000" w:themeColor="text1"/>
          <w14:textFill>
            <w14:solidFill>
              <w14:schemeClr w14:val="tx1"/>
            </w14:solidFill>
          </w14:textFill>
        </w:rPr>
        <w:t>：押金按统一规则收取（如统一额度），退租时按规则退还。</w:t>
      </w:r>
    </w:p>
    <w:p w14:paraId="194A6C1B">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2533630"/>
            <wp:effectExtent l="0" t="0" r="0" b="0"/>
            <wp:docPr id="98" name="Picture" descr="图2-10 退租退款精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图2-10 退租退款精算流程图"/>
                    <pic:cNvPicPr>
                      <a:picLocks noChangeAspect="1" noChangeArrowheads="1"/>
                    </pic:cNvPicPr>
                  </pic:nvPicPr>
                  <pic:blipFill>
                    <a:blip r:embed="rId12"/>
                    <a:stretch>
                      <a:fillRect/>
                    </a:stretch>
                  </pic:blipFill>
                  <pic:spPr>
                    <a:xfrm>
                      <a:off x="0" y="0"/>
                      <a:ext cx="5334000" cy="12534238"/>
                    </a:xfrm>
                    <a:prstGeom prst="rect">
                      <a:avLst/>
                    </a:prstGeom>
                    <a:noFill/>
                    <a:ln w="9525">
                      <a:noFill/>
                    </a:ln>
                  </pic:spPr>
                </pic:pic>
              </a:graphicData>
            </a:graphic>
          </wp:inline>
        </w:drawing>
      </w:r>
    </w:p>
    <w:p w14:paraId="2DC71909">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图2-10</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退租退款精算流程图</w:t>
      </w:r>
    </w:p>
    <w:p w14:paraId="0919D87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图2-10</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退租退款精算流程图</w:t>
      </w:r>
    </w:p>
    <w:p w14:paraId="1FADF24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账单生成与账期管理</w:t>
      </w:r>
      <w:r>
        <w:rPr>
          <w:rFonts w:hint="eastAsia"/>
          <w:color w:val="000000" w:themeColor="text1"/>
          <w14:textFill>
            <w14:solidFill>
              <w14:schemeClr w14:val="tx1"/>
            </w14:solidFill>
          </w14:textFill>
        </w:rPr>
        <w:t>：系统以账期制管理账单，按合同租金所属期间（起止日期）生成账单，清晰对应缴费区间。账单类型区分押金账单与租期账单，押金账单优先，未缴清押金不得缴纳租期账单。账单支持逾期状态标识与缴费提醒，由定时任务在临期/逾期时触发消息通知。</w:t>
      </w:r>
    </w:p>
    <w:p w14:paraId="7E98DE92">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支付幂等与对账机制</w:t>
      </w:r>
      <w:r>
        <w:rPr>
          <w:rFonts w:hint="eastAsia"/>
          <w:color w:val="000000" w:themeColor="text1"/>
          <w14:textFill>
            <w14:solidFill>
              <w14:schemeClr w14:val="tx1"/>
            </w14:solidFill>
          </w14:textFill>
        </w:rPr>
        <w:t>：所有资金收缴以港区支付接口为唯一通道。下单时生成业务唯一键，回调处理严格幂等，重复回调不产生重复入账；针对回调丢失场景，定时任务主动查单补偿，确保账单状态与实际支付一致。系统每日进行支付对账，比对系统台账与支付渠道流水，差异项自动标记并告警，由运维人员核查处理，做到”笔笔可对、账实相符”。</w:t>
      </w:r>
    </w:p>
    <w:p w14:paraId="07E9A6AE">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退款精算规则详解</w:t>
      </w:r>
      <w:r>
        <w:rPr>
          <w:rFonts w:hint="eastAsia"/>
          <w:color w:val="000000" w:themeColor="text1"/>
          <w14:textFill>
            <w14:solidFill>
              <w14:schemeClr w14:val="tx1"/>
            </w14:solidFill>
          </w14:textFill>
        </w:rPr>
        <w:t>：退租退款以管理端核定的”实际退租日期”为基准，按日精算应退租金（已缴未住部分）与押金（按规则扣除后的余额），精算结果一次核定后锁定并持久化，不因后续操作而改变；退款经租户签字确认后按原支付路径退回，退款状态全程可查。此设计确保退款金额有据可依、不可篡改、可追溯，保护群众资金权益的同时便于甲方审计。</w:t>
      </w:r>
    </w:p>
    <w:bookmarkEnd w:id="69"/>
    <w:p w14:paraId="40D509B3">
      <w:pPr>
        <w:pStyle w:val="5"/>
        <w:rPr>
          <w:color w:val="000000" w:themeColor="text1"/>
          <w14:textFill>
            <w14:solidFill>
              <w14:schemeClr w14:val="tx1"/>
            </w14:solidFill>
          </w14:textFill>
        </w:rPr>
      </w:pPr>
      <w:bookmarkStart w:id="70" w:name="优惠券域"/>
      <w:r>
        <w:rPr>
          <w:color w:val="000000" w:themeColor="text1"/>
          <w14:textFill>
            <w14:solidFill>
              <w14:schemeClr w14:val="tx1"/>
            </w14:solidFill>
          </w14:textFill>
        </w:rPr>
        <w:t xml:space="preserve">2.5.4 </w:t>
      </w:r>
      <w:r>
        <w:rPr>
          <w:rFonts w:hint="eastAsia"/>
          <w:color w:val="000000" w:themeColor="text1"/>
          <w14:textFill>
            <w14:solidFill>
              <w14:schemeClr w14:val="tx1"/>
            </w14:solidFill>
          </w14:textFill>
        </w:rPr>
        <w:t>优惠券域</w:t>
      </w:r>
    </w:p>
    <w:p w14:paraId="7C24D272">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：券模板配置、发放、领取、核销、失效。</w:t>
      </w:r>
    </w:p>
    <w:p w14:paraId="465D12A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：券模板定义面额/折扣、适用范围、有效期；发放支持定向/领取两种方式；缴费时按规则核销，核销与账单、支付联动，防止重复使用与超范围使用。</w:t>
      </w:r>
    </w:p>
    <w:p w14:paraId="0580A96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优惠券业务规则</w:t>
      </w:r>
      <w:r>
        <w:rPr>
          <w:rFonts w:hint="eastAsia"/>
          <w:color w:val="000000" w:themeColor="text1"/>
          <w14:textFill>
            <w14:solidFill>
              <w14:schemeClr w14:val="tx1"/>
            </w14:solidFill>
          </w14:textFill>
        </w:rPr>
        <w:t>：券模板可配置面额型（直减）与折扣型（打折）两类；适用范围可限定业态、项目、账单类型；发放方式支持系统定向发放与用户主动领取；核销时校验券的有效期、适用范围与使用状态，一券一用、用后即核销，核销记录与对应账单、支付订单强关联，防止重复核销与跨范围滥用。券的失效由到期自动失效与管理端手动作废两种方式驱动。</w:t>
      </w:r>
    </w:p>
    <w:bookmarkEnd w:id="70"/>
    <w:p w14:paraId="7B8E1FA1">
      <w:pPr>
        <w:pStyle w:val="5"/>
        <w:rPr>
          <w:color w:val="000000" w:themeColor="text1"/>
          <w14:textFill>
            <w14:solidFill>
              <w14:schemeClr w14:val="tx1"/>
            </w14:solidFill>
          </w14:textFill>
        </w:rPr>
      </w:pPr>
      <w:bookmarkStart w:id="71" w:name="消息通知域"/>
      <w:r>
        <w:rPr>
          <w:color w:val="000000" w:themeColor="text1"/>
          <w14:textFill>
            <w14:solidFill>
              <w14:schemeClr w14:val="tx1"/>
            </w14:solidFill>
          </w14:textFill>
        </w:rPr>
        <w:t xml:space="preserve">2.5.5 </w:t>
      </w:r>
      <w:r>
        <w:rPr>
          <w:rFonts w:hint="eastAsia"/>
          <w:color w:val="000000" w:themeColor="text1"/>
          <w14:textFill>
            <w14:solidFill>
              <w14:schemeClr w14:val="tx1"/>
            </w14:solidFill>
          </w14:textFill>
        </w:rPr>
        <w:t>消息通知域</w:t>
      </w:r>
    </w:p>
    <w:p w14:paraId="7E83D636">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：站内信、模板消息、公告、政策文件推送。</w:t>
      </w:r>
    </w:p>
    <w:p w14:paraId="0906D262">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：关键业务节点（审批结果、缴费提醒、合同到期、退租进度等）自动触发消息；启动公告支持弹窗展示；公告/政策文件在群众端集中展示。</w:t>
      </w:r>
    </w:p>
    <w:p w14:paraId="7DEBC6D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消息触发场景清单</w:t>
      </w:r>
      <w:r>
        <w:rPr>
          <w:rFonts w:hint="eastAsia"/>
          <w:color w:val="000000" w:themeColor="text1"/>
          <w14:textFill>
            <w14:solidFill>
              <w14:schemeClr w14:val="tx1"/>
            </w14:solidFill>
          </w14:textFill>
        </w:rPr>
        <w:t>：</w:t>
      </w:r>
    </w:p>
    <w:tbl>
      <w:tblPr>
        <w:tblStyle w:val="41"/>
        <w:tblW w:w="0" w:type="auto"/>
        <w:tblInd w:w="0" w:type="dxa"/>
        <w:tblLayout w:type="autofit"/>
        <w:tblCellMar>
          <w:top w:w="0" w:type="dxa"/>
          <w:left w:w="108" w:type="dxa"/>
          <w:bottom w:w="0" w:type="dxa"/>
          <w:right w:w="108" w:type="dxa"/>
        </w:tblCellMar>
      </w:tblPr>
      <w:tblGrid>
        <w:gridCol w:w="2296"/>
        <w:gridCol w:w="2040"/>
        <w:gridCol w:w="1176"/>
      </w:tblGrid>
      <w:tr w14:paraId="6F5FA7A6">
        <w:trPr>
          <w:tblHeader/>
        </w:trPr>
        <w:tc>
          <w:p w14:paraId="3CD66A1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触发场景</w:t>
            </w:r>
          </w:p>
        </w:tc>
        <w:tc>
          <w:p w14:paraId="722934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消息类型</w:t>
            </w:r>
          </w:p>
        </w:tc>
        <w:tc>
          <w:p w14:paraId="276AC28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触达渠道</w:t>
            </w:r>
          </w:p>
        </w:tc>
      </w:tr>
      <w:tr w14:paraId="5473DFA2">
        <w:tc>
          <w:p w14:paraId="3A65DF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资格核验/申诉结果</w:t>
            </w:r>
          </w:p>
        </w:tc>
        <w:tc>
          <w:p w14:paraId="6007527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站内信+模板消息</w:t>
            </w:r>
          </w:p>
        </w:tc>
        <w:tc>
          <w:p w14:paraId="0F1F034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r>
      <w:tr w14:paraId="677F5F05">
        <w:tc>
          <w:p w14:paraId="4CBB9B9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账单生成/临期/逾期</w:t>
            </w:r>
          </w:p>
        </w:tc>
        <w:tc>
          <w:p w14:paraId="42373D1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缴费提醒</w:t>
            </w:r>
          </w:p>
        </w:tc>
        <w:tc>
          <w:p w14:paraId="1F95C2B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r>
      <w:tr w14:paraId="012A85BE">
        <w:tc>
          <w:p w14:paraId="6F1F2F8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合同到期临近</w:t>
            </w:r>
          </w:p>
        </w:tc>
        <w:tc>
          <w:p w14:paraId="1DF8575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到期提醒</w:t>
            </w:r>
          </w:p>
        </w:tc>
        <w:tc>
          <w:p w14:paraId="47E673F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r>
      <w:tr w14:paraId="617E56AE">
        <w:tc>
          <w:p w14:paraId="24D4A20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退租进度变更</w:t>
            </w:r>
          </w:p>
        </w:tc>
        <w:tc>
          <w:p w14:paraId="41DDF5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进度通知</w:t>
            </w:r>
          </w:p>
        </w:tc>
        <w:tc>
          <w:p w14:paraId="048A1E1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r>
      <w:tr w14:paraId="112929E3">
        <w:tc>
          <w:p w14:paraId="562C5C5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入住审批结果</w:t>
            </w:r>
          </w:p>
        </w:tc>
        <w:tc>
          <w:p w14:paraId="0FC97F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审批通知</w:t>
            </w:r>
          </w:p>
        </w:tc>
        <w:tc>
          <w:p w14:paraId="08529E5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r>
      <w:tr w14:paraId="6A63628C">
        <w:tc>
          <w:p w14:paraId="585DF92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政策/公告发布</w:t>
            </w:r>
          </w:p>
        </w:tc>
        <w:tc>
          <w:p w14:paraId="4CEDD15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公告推送</w:t>
            </w:r>
          </w:p>
        </w:tc>
        <w:tc>
          <w:p w14:paraId="5622FB3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w:t>
            </w:r>
          </w:p>
        </w:tc>
      </w:tr>
    </w:tbl>
    <w:p w14:paraId="2D55558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消息发送采用异步化处理，避免阻塞主业务；模板消息对接微信能力，站内信在个人中心统一查看，公告支持置顶与弹窗，政策文件集中归档展示。</w:t>
      </w:r>
    </w:p>
    <w:bookmarkEnd w:id="71"/>
    <w:p w14:paraId="14A1693B">
      <w:pPr>
        <w:pStyle w:val="5"/>
        <w:rPr>
          <w:color w:val="000000" w:themeColor="text1"/>
          <w14:textFill>
            <w14:solidFill>
              <w14:schemeClr w14:val="tx1"/>
            </w14:solidFill>
          </w14:textFill>
        </w:rPr>
      </w:pPr>
      <w:bookmarkStart w:id="72" w:name="个人中心域"/>
      <w:r>
        <w:rPr>
          <w:color w:val="000000" w:themeColor="text1"/>
          <w14:textFill>
            <w14:solidFill>
              <w14:schemeClr w14:val="tx1"/>
            </w14:solidFill>
          </w14:textFill>
        </w:rPr>
        <w:t xml:space="preserve">2.5.6 </w:t>
      </w:r>
      <w:r>
        <w:rPr>
          <w:rFonts w:hint="eastAsia"/>
          <w:color w:val="000000" w:themeColor="text1"/>
          <w14:textFill>
            <w14:solidFill>
              <w14:schemeClr w14:val="tx1"/>
            </w14:solidFill>
          </w14:textFill>
        </w:rPr>
        <w:t>个人中心域</w:t>
      </w:r>
    </w:p>
    <w:p w14:paraId="5900089E">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：我的合同、我的房源、我的账单、我的消息、我的优惠券、我的资料、资格与申诉、生活服务入口。</w:t>
      </w:r>
    </w:p>
    <w:p w14:paraId="6FD1D3F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以租户为中心聚合其全部业务对象；资格核验结果与申诉入口清晰展示；资料上传采用相对路径存储、前端拼接访问地址的机制。个人中心是群众的业务总入口，聚合展示”我的合同、房源、账单、消息、优惠券”，并提供资料上传、资格查看与申诉、生活服务下单等入口，让群众在一处即可掌握自己的全部租赁事项。</w:t>
      </w:r>
    </w:p>
    <w:bookmarkEnd w:id="72"/>
    <w:p w14:paraId="07C36611">
      <w:pPr>
        <w:pStyle w:val="5"/>
        <w:rPr>
          <w:color w:val="000000" w:themeColor="text1"/>
          <w14:textFill>
            <w14:solidFill>
              <w14:schemeClr w14:val="tx1"/>
            </w14:solidFill>
          </w14:textFill>
        </w:rPr>
      </w:pPr>
      <w:bookmarkStart w:id="73" w:name="运营中心域"/>
      <w:r>
        <w:rPr>
          <w:color w:val="000000" w:themeColor="text1"/>
          <w14:textFill>
            <w14:solidFill>
              <w14:schemeClr w14:val="tx1"/>
            </w14:solidFill>
          </w14:textFill>
        </w:rPr>
        <w:t xml:space="preserve">2.5.7 </w:t>
      </w:r>
      <w:r>
        <w:rPr>
          <w:rFonts w:hint="eastAsia"/>
          <w:color w:val="000000" w:themeColor="text1"/>
          <w14:textFill>
            <w14:solidFill>
              <w14:schemeClr w14:val="tx1"/>
            </w14:solidFill>
          </w14:textFill>
        </w:rPr>
        <w:t>运营中心域</w:t>
      </w:r>
    </w:p>
    <w:p w14:paraId="638652E5">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：首页配置、banner、金刚位、活动、内容运营。</w:t>
      </w:r>
    </w:p>
    <w:p w14:paraId="213FA3E0">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：首页各栏位、活动可由运营人员在后台配置，无需发版即可调整群众端展示，支撑常态化运营。运营中心将群众端首页的</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banner、金刚位、推荐位、活动位等做成可配置项，运营人员通过后台即可调整展示内容与顺序，实现”不改代码即可运营”，契合六年运维期内持续运营的需要。</w:t>
      </w:r>
    </w:p>
    <w:bookmarkEnd w:id="73"/>
    <w:p w14:paraId="094B104B">
      <w:pPr>
        <w:pStyle w:val="5"/>
        <w:rPr>
          <w:color w:val="000000" w:themeColor="text1"/>
          <w14:textFill>
            <w14:solidFill>
              <w14:schemeClr w14:val="tx1"/>
            </w14:solidFill>
          </w14:textFill>
        </w:rPr>
      </w:pPr>
      <w:bookmarkStart w:id="74" w:name="数据看板域"/>
      <w:r>
        <w:rPr>
          <w:color w:val="000000" w:themeColor="text1"/>
          <w14:textFill>
            <w14:solidFill>
              <w14:schemeClr w14:val="tx1"/>
            </w14:solidFill>
          </w14:textFill>
        </w:rPr>
        <w:t xml:space="preserve">2.5.8 </w:t>
      </w:r>
      <w:r>
        <w:rPr>
          <w:rFonts w:hint="eastAsia"/>
          <w:color w:val="000000" w:themeColor="text1"/>
          <w14:textFill>
            <w14:solidFill>
              <w14:schemeClr w14:val="tx1"/>
            </w14:solidFill>
          </w14:textFill>
        </w:rPr>
        <w:t>数据看板域</w:t>
      </w:r>
    </w:p>
    <w:p w14:paraId="158EC521">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：财务看板、房源看板、用户转化看板。</w:t>
      </w:r>
    </w:p>
    <w:p w14:paraId="75CE004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围绕收缴/退款、房源出租率、办事转化等维度提供管理视图，数据来源于业务库的统计视图，支撑管理决策。数据看板面向管理者，提供财务收缴与退款汇总、房源出租率与空置分析、用户办事转化漏斗等视图，帮助管理机构掌握运营态势、辅助决策；看板数据基于业务库统计生成，支持按业态、项目、时间维度筛选。</w:t>
      </w:r>
    </w:p>
    <w:bookmarkEnd w:id="74"/>
    <w:p w14:paraId="500ACD32">
      <w:pPr>
        <w:pStyle w:val="5"/>
        <w:rPr>
          <w:color w:val="000000" w:themeColor="text1"/>
          <w14:textFill>
            <w14:solidFill>
              <w14:schemeClr w14:val="tx1"/>
            </w14:solidFill>
          </w14:textFill>
        </w:rPr>
      </w:pPr>
      <w:bookmarkStart w:id="75" w:name="生活服务域"/>
      <w:r>
        <w:rPr>
          <w:color w:val="000000" w:themeColor="text1"/>
          <w14:textFill>
            <w14:solidFill>
              <w14:schemeClr w14:val="tx1"/>
            </w14:solidFill>
          </w14:textFill>
        </w:rPr>
        <w:t xml:space="preserve">2.5.9 </w:t>
      </w:r>
      <w:r>
        <w:rPr>
          <w:rFonts w:hint="eastAsia"/>
          <w:color w:val="000000" w:themeColor="text1"/>
          <w14:textFill>
            <w14:solidFill>
              <w14:schemeClr w14:val="tx1"/>
            </w14:solidFill>
          </w14:textFill>
        </w:rPr>
        <w:t>生活服务域</w:t>
      </w:r>
    </w:p>
    <w:p w14:paraId="658D5410">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：投诉建议、保洁订单、搬家订单、物业报修。</w:t>
      </w:r>
    </w:p>
    <w:p w14:paraId="35745C87">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：群众端下单</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工单流转</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处理</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反馈评价的闭环，后台统一管理工单。生活服务将投诉建议、保洁、搬家、报修等需求线上化，群众端一键下单，后台按工单流转处理并反馈，形成”下单—受理—处理—反馈—评价”闭环，提升居住服务体验与管理规范性。</w:t>
      </w:r>
    </w:p>
    <w:bookmarkEnd w:id="75"/>
    <w:p w14:paraId="4C53BAE0">
      <w:pPr>
        <w:pStyle w:val="5"/>
        <w:rPr>
          <w:color w:val="000000" w:themeColor="text1"/>
          <w14:textFill>
            <w14:solidFill>
              <w14:schemeClr w14:val="tx1"/>
            </w14:solidFill>
          </w14:textFill>
        </w:rPr>
      </w:pPr>
      <w:bookmarkStart w:id="76" w:name="企业客户域"/>
      <w:r>
        <w:rPr>
          <w:color w:val="000000" w:themeColor="text1"/>
          <w14:textFill>
            <w14:solidFill>
              <w14:schemeClr w14:val="tx1"/>
            </w14:solidFill>
          </w14:textFill>
        </w:rPr>
        <w:t xml:space="preserve">2.5.10 </w:t>
      </w:r>
      <w:r>
        <w:rPr>
          <w:rFonts w:hint="eastAsia"/>
          <w:color w:val="000000" w:themeColor="text1"/>
          <w14:textFill>
            <w14:solidFill>
              <w14:schemeClr w14:val="tx1"/>
            </w14:solidFill>
          </w14:textFill>
        </w:rPr>
        <w:t>企业客户域</w:t>
      </w:r>
    </w:p>
    <w:p w14:paraId="123EA39E">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功能构成</w:t>
      </w:r>
      <w:r>
        <w:rPr>
          <w:rFonts w:hint="eastAsia"/>
          <w:color w:val="000000" w:themeColor="text1"/>
          <w14:textFill>
            <w14:solidFill>
              <w14:schemeClr w14:val="tx1"/>
            </w14:solidFill>
          </w14:textFill>
        </w:rPr>
        <w:t>：企业在线缴费、批量入住办理（上传人员名单）、退租办理、合同备案、代购补贴申请。</w:t>
      </w:r>
    </w:p>
    <w:p w14:paraId="6D17BE6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关键设计</w:t>
      </w:r>
      <w:r>
        <w:rPr>
          <w:rFonts w:hint="eastAsia"/>
          <w:color w:val="000000" w:themeColor="text1"/>
          <w14:textFill>
            <w14:solidFill>
              <w14:schemeClr w14:val="tx1"/>
            </w14:solidFill>
          </w14:textFill>
        </w:rPr>
        <w:t>：面向集中配租企业，以单位为主体承载批量业务，批量入住支持名单上传与批量校验。企业客户域面向集中配租的单位客户，支持以企业为主体的在线缴费、批量入住（上传入住人员名单并批量校验）、退租办理、合同备案与代购补贴申请，满足企业集中承租的规模化、规范化管理需要，与个人租赁主线共用底层能力但在入口与流程上做企业化适配。</w:t>
      </w:r>
    </w:p>
    <w:bookmarkEnd w:id="76"/>
    <w:p w14:paraId="10DE2348">
      <w:pPr>
        <w:pStyle w:val="5"/>
        <w:rPr>
          <w:color w:val="000000" w:themeColor="text1"/>
          <w14:textFill>
            <w14:solidFill>
              <w14:schemeClr w14:val="tx1"/>
            </w14:solidFill>
          </w14:textFill>
        </w:rPr>
      </w:pPr>
      <w:bookmarkStart w:id="77" w:name="实施与对接项设计"/>
      <w:r>
        <w:rPr>
          <w:color w:val="000000" w:themeColor="text1"/>
          <w14:textFill>
            <w14:solidFill>
              <w14:schemeClr w14:val="tx1"/>
            </w14:solidFill>
          </w14:textFill>
        </w:rPr>
        <w:t xml:space="preserve">2.5.11 </w:t>
      </w:r>
      <w:r>
        <w:rPr>
          <w:rFonts w:hint="eastAsia"/>
          <w:color w:val="000000" w:themeColor="text1"/>
          <w14:textFill>
            <w14:solidFill>
              <w14:schemeClr w14:val="tx1"/>
            </w14:solidFill>
          </w14:textFill>
        </w:rPr>
        <w:t>实施与对接项设计</w:t>
      </w:r>
    </w:p>
    <w:p w14:paraId="1260289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实施与对接项（郑好办对接、政务数据核验对接、支付对接、签章/人脸/地图/开票对接、数据迁移、培训移交）在功能上体现为一系列对接适配与数据处理能力，详见</w:t>
      </w:r>
      <w:r>
        <w:rPr>
          <w:color w:val="000000" w:themeColor="text1"/>
          <w14:textFill>
            <w14:solidFill>
              <w14:schemeClr w14:val="tx1"/>
            </w14:solidFill>
          </w14:textFill>
        </w:rPr>
        <w:t xml:space="preserve"> 2.6 </w:t>
      </w:r>
      <w:r>
        <w:rPr>
          <w:rFonts w:hint="eastAsia"/>
          <w:color w:val="000000" w:themeColor="text1"/>
          <w14:textFill>
            <w14:solidFill>
              <w14:schemeClr w14:val="tx1"/>
            </w14:solidFill>
          </w14:textFill>
        </w:rPr>
        <w:t>接口设计与第三章实施管理。</w:t>
      </w:r>
    </w:p>
    <w:bookmarkEnd w:id="77"/>
    <w:p w14:paraId="7345A0C2">
      <w:pPr>
        <w:pStyle w:val="5"/>
        <w:rPr>
          <w:color w:val="000000" w:themeColor="text1"/>
          <w14:textFill>
            <w14:solidFill>
              <w14:schemeClr w14:val="tx1"/>
            </w14:solidFill>
          </w14:textFill>
        </w:rPr>
      </w:pPr>
      <w:bookmarkStart w:id="78" w:name="关键业务流程详细设计"/>
      <w:r>
        <w:rPr>
          <w:color w:val="000000" w:themeColor="text1"/>
          <w14:textFill>
            <w14:solidFill>
              <w14:schemeClr w14:val="tx1"/>
            </w14:solidFill>
          </w14:textFill>
        </w:rPr>
        <w:t xml:space="preserve">2.5.12 </w:t>
      </w:r>
      <w:r>
        <w:rPr>
          <w:rFonts w:hint="eastAsia"/>
          <w:color w:val="000000" w:themeColor="text1"/>
          <w14:textFill>
            <w14:solidFill>
              <w14:schemeClr w14:val="tx1"/>
            </w14:solidFill>
          </w14:textFill>
        </w:rPr>
        <w:t>关键业务流程详细设计</w:t>
      </w:r>
    </w:p>
    <w:p w14:paraId="466A590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本节对贯穿租赁生命周期的关键流程给出分步设计，每个流程明确正常路径与异常处理，作为开发与测试的详细依据。</w:t>
      </w:r>
    </w:p>
    <w:p w14:paraId="2E1D9B1A">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（1）资格核验流程</w:t>
      </w:r>
    </w:p>
    <w:p w14:paraId="4B1C3BBE">
      <w:pPr>
        <w:pStyle w:val="24"/>
        <w:numPr>
          <w:ilvl w:val="0"/>
          <w:numId w:val="3"/>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租户经郑好办授权进入办事，选择目标业态与项目；</w:t>
      </w:r>
    </w:p>
    <w:p w14:paraId="6BF6B0C6">
      <w:pPr>
        <w:pStyle w:val="24"/>
        <w:numPr>
          <w:ilvl w:val="0"/>
          <w:numId w:val="3"/>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系统调用统一核验服务，向港区政务数据接口请求社保、住房、婚姻等核验；</w:t>
      </w:r>
    </w:p>
    <w:p w14:paraId="349BCAB5">
      <w:pPr>
        <w:pStyle w:val="24"/>
        <w:numPr>
          <w:ilvl w:val="0"/>
          <w:numId w:val="3"/>
        </w:numPr>
        <w:rPr>
          <w:color w:val="000000" w:themeColor="text1"/>
          <w14:textFill>
            <w14:solidFill>
              <w14:schemeClr w14:val="tx1"/>
            </w14:solidFill>
          </w14:textFill>
        </w:rPr>
      </w:pPr>
      <w:r>
        <w:rPr>
          <w:rFonts w:hint="eastAsia"/>
          <w:color w:val="000000" w:themeColor="text1"/>
          <w14:textFill>
            <w14:solidFill>
              <w14:schemeClr w14:val="tx1"/>
            </w14:solidFill>
          </w14:textFill>
        </w:rPr>
        <w:t>接口正常返回：逐项比对资格规则，全部符合则进入选房，存在不符项则展示明细；</w:t>
      </w:r>
    </w:p>
    <w:p w14:paraId="534B3773">
      <w:pPr>
        <w:pStyle w:val="24"/>
        <w:numPr>
          <w:ilvl w:val="0"/>
          <w:numId w:val="3"/>
        </w:numPr>
        <w:rPr>
          <w:color w:val="000000" w:themeColor="text1"/>
          <w14:textFill>
            <w14:solidFill>
              <w14:schemeClr w14:val="tx1"/>
            </w14:solidFill>
          </w14:textFill>
        </w:rPr>
      </w:pPr>
      <w:r>
        <w:rPr>
          <w:rFonts w:hint="eastAsia"/>
          <w:color w:val="000000" w:themeColor="text1"/>
          <w14:textFill>
            <w14:solidFill>
              <w14:schemeClr w14:val="tx1"/>
            </w14:solidFill>
          </w14:textFill>
        </w:rPr>
        <w:t>接口超时/失败：按策略重试，仍失败则降级为”稍后重试/转人工”，并全程留痕；</w:t>
      </w:r>
    </w:p>
    <w:p w14:paraId="507CC6F3">
      <w:pPr>
        <w:pStyle w:val="24"/>
        <w:numPr>
          <w:ilvl w:val="0"/>
          <w:numId w:val="3"/>
        </w:numPr>
        <w:rPr>
          <w:color w:val="000000" w:themeColor="text1"/>
          <w14:textFill>
            <w14:solidFill>
              <w14:schemeClr w14:val="tx1"/>
            </w14:solidFill>
          </w14:textFill>
        </w:rPr>
      </w:pPr>
      <w:r>
        <w:rPr>
          <w:rFonts w:hint="eastAsia"/>
          <w:color w:val="000000" w:themeColor="text1"/>
          <w14:textFill>
            <w14:solidFill>
              <w14:schemeClr w14:val="tx1"/>
            </w14:solidFill>
          </w14:textFill>
        </w:rPr>
        <w:t>不符项处理：租户可手动刷新（数据时延场景）或在线申诉，提交佐证材料；</w:t>
      </w:r>
    </w:p>
    <w:p w14:paraId="1CF4D768">
      <w:pPr>
        <w:pStyle w:val="24"/>
        <w:numPr>
          <w:ilvl w:val="0"/>
          <w:numId w:val="3"/>
        </w:numPr>
        <w:rPr>
          <w:color w:val="000000" w:themeColor="text1"/>
          <w14:textFill>
            <w14:solidFill>
              <w14:schemeClr w14:val="tx1"/>
            </w14:solidFill>
          </w14:textFill>
        </w:rPr>
      </w:pPr>
      <w:r>
        <w:rPr>
          <w:rFonts w:hint="eastAsia"/>
          <w:color w:val="000000" w:themeColor="text1"/>
          <w14:textFill>
            <w14:solidFill>
              <w14:schemeClr w14:val="tx1"/>
            </w14:solidFill>
          </w14:textFill>
        </w:rPr>
        <w:t>申诉审批：管理端审批通过则放行进入选房，不通过则说明理由并终止或要求整改。</w:t>
      </w:r>
    </w:p>
    <w:p w14:paraId="051A6043">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（2）选房签约流程</w:t>
      </w:r>
    </w:p>
    <w:p w14:paraId="598B8A21">
      <w:pPr>
        <w:pStyle w:val="24"/>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资格通过后，租户签署选房承诺书；</w:t>
      </w:r>
    </w:p>
    <w:p w14:paraId="6D718940">
      <w:pPr>
        <w:pStyle w:val="24"/>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按业态筛选可选房源（受可见性与状态约束，仅展示”空置且可选”房源）；</w:t>
      </w:r>
    </w:p>
    <w:p w14:paraId="33F0C186">
      <w:pPr>
        <w:pStyle w:val="24"/>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选定房源，系统锁定房源为”已预订”并设置预订超时；</w:t>
      </w:r>
    </w:p>
    <w:p w14:paraId="79979366">
      <w:pPr>
        <w:pStyle w:val="24"/>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人脸识别实人核身，确保签约人与申请人一致；</w:t>
      </w:r>
    </w:p>
    <w:p w14:paraId="445D750A">
      <w:pPr>
        <w:pStyle w:val="24"/>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系统按业态与计租规则生成合同要素，调用电子签章创建签署任务；</w:t>
      </w:r>
    </w:p>
    <w:p w14:paraId="2B35CC87">
      <w:pPr>
        <w:pStyle w:val="24"/>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租户在线签署，签章平台回调，系统归档合同并置”待付款”；</w:t>
      </w:r>
    </w:p>
    <w:p w14:paraId="25BA8F78">
      <w:pPr>
        <w:pStyle w:val="24"/>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异常：签署超时或放弃，释放房源预订、合同作废。</w:t>
      </w:r>
    </w:p>
    <w:p w14:paraId="0AEE3489">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（3）缴费入住流程</w:t>
      </w:r>
    </w:p>
    <w:p w14:paraId="569AF344">
      <w:pPr>
        <w:pStyle w:val="24"/>
        <w:numPr>
          <w:ilvl w:val="0"/>
          <w:numId w:val="5"/>
        </w:numPr>
        <w:rPr>
          <w:color w:val="000000" w:themeColor="text1"/>
          <w14:textFill>
            <w14:solidFill>
              <w14:schemeClr w14:val="tx1"/>
            </w14:solidFill>
          </w14:textFill>
        </w:rPr>
      </w:pPr>
      <w:r>
        <w:rPr>
          <w:rFonts w:hint="eastAsia"/>
          <w:color w:val="000000" w:themeColor="text1"/>
          <w14:textFill>
            <w14:solidFill>
              <w14:schemeClr w14:val="tx1"/>
            </w14:solidFill>
          </w14:textFill>
        </w:rPr>
        <w:t>合同”待付款”，系统生成押金账单（及首期租金账单）；</w:t>
      </w:r>
    </w:p>
    <w:p w14:paraId="665DF0A9">
      <w:pPr>
        <w:pStyle w:val="24"/>
        <w:numPr>
          <w:ilvl w:val="0"/>
          <w:numId w:val="5"/>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租户缴纳押金（押金优先规则，未缴押金不得缴租期账单）；</w:t>
      </w:r>
    </w:p>
    <w:p w14:paraId="42ACFEB9">
      <w:pPr>
        <w:pStyle w:val="24"/>
        <w:numPr>
          <w:ilvl w:val="0"/>
          <w:numId w:val="5"/>
        </w:numPr>
        <w:rPr>
          <w:color w:val="000000" w:themeColor="text1"/>
          <w14:textFill>
            <w14:solidFill>
              <w14:schemeClr w14:val="tx1"/>
            </w14:solidFill>
          </w14:textFill>
        </w:rPr>
      </w:pPr>
      <w:r>
        <w:rPr>
          <w:rFonts w:hint="eastAsia"/>
          <w:color w:val="000000" w:themeColor="text1"/>
          <w14:textFill>
            <w14:solidFill>
              <w14:schemeClr w14:val="tx1"/>
            </w14:solidFill>
          </w14:textFill>
        </w:rPr>
        <w:t>通过港区支付下单、支付、回调，系统幂等入账并置合同”生效”；</w:t>
      </w:r>
    </w:p>
    <w:p w14:paraId="724D90DE">
      <w:pPr>
        <w:pStyle w:val="24"/>
        <w:numPr>
          <w:ilvl w:val="0"/>
          <w:numId w:val="5"/>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租户发起入住申请，管理端安排入住、核对物品清单；</w:t>
      </w:r>
    </w:p>
    <w:p w14:paraId="0B58D544">
      <w:pPr>
        <w:pStyle w:val="24"/>
        <w:numPr>
          <w:ilvl w:val="0"/>
          <w:numId w:val="5"/>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租户签字确认入住，房源置”已入住”，入住详情可查。</w:t>
      </w:r>
    </w:p>
    <w:p w14:paraId="6BF2BDB5">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（4）退租退款流程</w:t>
      </w:r>
    </w:p>
    <w:p w14:paraId="0A488435">
      <w:pPr>
        <w:pStyle w:val="24"/>
        <w:numPr>
          <w:ilvl w:val="0"/>
          <w:numId w:val="6"/>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租户在个人中心发起退租申请；</w:t>
      </w:r>
    </w:p>
    <w:p w14:paraId="41B7B8A0">
      <w:pPr>
        <w:pStyle w:val="24"/>
        <w:numPr>
          <w:ilvl w:val="0"/>
          <w:numId w:val="6"/>
        </w:numPr>
        <w:rPr>
          <w:color w:val="000000" w:themeColor="text1"/>
          <w14:textFill>
            <w14:solidFill>
              <w14:schemeClr w14:val="tx1"/>
            </w14:solidFill>
          </w14:textFill>
        </w:rPr>
      </w:pPr>
      <w:r>
        <w:rPr>
          <w:rFonts w:hint="eastAsia"/>
          <w:color w:val="000000" w:themeColor="text1"/>
          <w14:textFill>
            <w14:solidFill>
              <w14:schemeClr w14:val="tx1"/>
            </w14:solidFill>
          </w14:textFill>
        </w:rPr>
        <w:t>管理端审批并核定”实际退租日期”；</w:t>
      </w:r>
    </w:p>
    <w:p w14:paraId="3087ECF4">
      <w:pPr>
        <w:pStyle w:val="24"/>
        <w:numPr>
          <w:ilvl w:val="0"/>
          <w:numId w:val="6"/>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系统按实际退租日期按日精算应退租金与押金，退款金额一次核定锁定；</w:t>
      </w:r>
    </w:p>
    <w:p w14:paraId="3D207285">
      <w:pPr>
        <w:pStyle w:val="24"/>
        <w:numPr>
          <w:ilvl w:val="0"/>
          <w:numId w:val="6"/>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租户签字确认退款金额；</w:t>
      </w:r>
    </w:p>
    <w:p w14:paraId="24B1CC50">
      <w:pPr>
        <w:pStyle w:val="24"/>
        <w:numPr>
          <w:ilvl w:val="0"/>
          <w:numId w:val="6"/>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系统经港区支付原路退款，退款成功后合同置”退租”、房源”退租释放”→“空置”；</w:t>
      </w:r>
    </w:p>
    <w:p w14:paraId="7807D110">
      <w:pPr>
        <w:pStyle w:val="24"/>
        <w:numPr>
          <w:ilvl w:val="0"/>
          <w:numId w:val="6"/>
        </w:numPr>
        <w:rPr>
          <w:color w:val="000000" w:themeColor="text1"/>
          <w14:textFill>
            <w14:solidFill>
              <w14:schemeClr w14:val="tx1"/>
            </w14:solidFill>
          </w14:textFill>
        </w:rPr>
      </w:pPr>
      <w:r>
        <w:rPr>
          <w:rFonts w:hint="eastAsia"/>
          <w:color w:val="000000" w:themeColor="text1"/>
          <w14:textFill>
            <w14:solidFill>
              <w14:schemeClr w14:val="tx1"/>
            </w14:solidFill>
          </w14:textFill>
        </w:rPr>
        <w:t>全程台账记录，退款依据、金额、操作人、时间可追溯。</w:t>
      </w:r>
    </w:p>
    <w:p w14:paraId="42C60505">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（5）续租流程</w:t>
      </w:r>
    </w:p>
    <w:p w14:paraId="33294C25">
      <w:pPr>
        <w:pStyle w:val="24"/>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租期临近到期，系统提前提醒租户；</w:t>
      </w:r>
    </w:p>
    <w:p w14:paraId="1B9932D1">
      <w:pPr>
        <w:pStyle w:val="24"/>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租户发起续租，系统校验资格（人才层次等）与欠费情况；</w:t>
      </w:r>
    </w:p>
    <w:p w14:paraId="064652A5">
      <w:pPr>
        <w:pStyle w:val="24"/>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校验通过，按新租期与租金生成续租合同并签署；</w:t>
      </w:r>
    </w:p>
    <w:p w14:paraId="2B856619">
      <w:pPr>
        <w:pStyle w:val="24"/>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缴纳新租期费用，续租生效，续租合同与原合同关联形成履历。</w:t>
      </w:r>
    </w:p>
    <w:p w14:paraId="2EC99DEE">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（6）开票流程</w:t>
      </w:r>
    </w:p>
    <w:p w14:paraId="6A75B248">
      <w:pPr>
        <w:pStyle w:val="24"/>
        <w:numPr>
          <w:ilvl w:val="0"/>
          <w:numId w:val="8"/>
        </w:numPr>
        <w:rPr>
          <w:color w:val="000000" w:themeColor="text1"/>
          <w14:textFill>
            <w14:solidFill>
              <w14:schemeClr w14:val="tx1"/>
            </w14:solidFill>
          </w14:textFill>
        </w:rPr>
      </w:pPr>
      <w:r>
        <w:rPr>
          <w:rFonts w:hint="eastAsia"/>
          <w:color w:val="000000" w:themeColor="text1"/>
          <w14:textFill>
            <w14:solidFill>
              <w14:schemeClr w14:val="tx1"/>
            </w14:solidFill>
          </w14:textFill>
        </w:rPr>
        <w:t>租户在缴费完成后于个人中心发起开票申请，选择开票信息（抬头、税号等）；</w:t>
      </w:r>
    </w:p>
    <w:p w14:paraId="4458AB2C">
      <w:pPr>
        <w:pStyle w:val="24"/>
        <w:numPr>
          <w:ilvl w:val="0"/>
          <w:numId w:val="8"/>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系统校验该笔缴费是否可开票、是否已开票，防止重复开票；</w:t>
      </w:r>
    </w:p>
    <w:p w14:paraId="0BCCB484">
      <w:pPr>
        <w:pStyle w:val="24"/>
        <w:numPr>
          <w:ilvl w:val="0"/>
          <w:numId w:val="8"/>
        </w:numPr>
        <w:rPr>
          <w:color w:val="000000" w:themeColor="text1"/>
          <w14:textFill>
            <w14:solidFill>
              <w14:schemeClr w14:val="tx1"/>
            </w14:solidFill>
          </w14:textFill>
        </w:rPr>
      </w:pPr>
      <w:r>
        <w:rPr>
          <w:rFonts w:hint="eastAsia"/>
          <w:color w:val="000000" w:themeColor="text1"/>
          <w14:textFill>
            <w14:solidFill>
              <w14:schemeClr w14:val="tx1"/>
            </w14:solidFill>
          </w14:textFill>
        </w:rPr>
        <w:t>调用开票/发票服务提交开票请求，记录开票状态；</w:t>
      </w:r>
    </w:p>
    <w:p w14:paraId="52D70A70">
      <w:pPr>
        <w:pStyle w:val="24"/>
        <w:numPr>
          <w:ilvl w:val="0"/>
          <w:numId w:val="8"/>
        </w:numPr>
        <w:rPr>
          <w:color w:val="000000" w:themeColor="text1"/>
          <w14:textFill>
            <w14:solidFill>
              <w14:schemeClr w14:val="tx1"/>
            </w14:solidFill>
          </w14:textFill>
        </w:rPr>
      </w:pPr>
      <w:r>
        <w:rPr>
          <w:rFonts w:hint="eastAsia"/>
          <w:color w:val="000000" w:themeColor="text1"/>
          <w14:textFill>
            <w14:solidFill>
              <w14:schemeClr w14:val="tx1"/>
            </w14:solidFill>
          </w14:textFill>
        </w:rPr>
        <w:t>开票成功后回写发票信息，租户可在线预览与下载发票；</w:t>
      </w:r>
    </w:p>
    <w:p w14:paraId="1F4B4D29">
      <w:pPr>
        <w:pStyle w:val="24"/>
        <w:numPr>
          <w:ilvl w:val="0"/>
          <w:numId w:val="8"/>
        </w:numPr>
        <w:rPr>
          <w:color w:val="000000" w:themeColor="text1"/>
          <w14:textFill>
            <w14:solidFill>
              <w14:schemeClr w14:val="tx1"/>
            </w14:solidFill>
          </w14:textFill>
        </w:rPr>
      </w:pPr>
      <w:r>
        <w:rPr>
          <w:rFonts w:hint="eastAsia"/>
          <w:color w:val="000000" w:themeColor="text1"/>
          <w14:textFill>
            <w14:solidFill>
              <w14:schemeClr w14:val="tx1"/>
            </w14:solidFill>
          </w14:textFill>
        </w:rPr>
        <w:t>异常：开票失败给出原因提示并支持重试，全程状态可查。</w:t>
      </w:r>
    </w:p>
    <w:p w14:paraId="3EFFB072">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（7）企业批量入住流程</w:t>
      </w:r>
    </w:p>
    <w:p w14:paraId="633FD466">
      <w:pPr>
        <w:pStyle w:val="24"/>
        <w:numPr>
          <w:ilvl w:val="0"/>
          <w:numId w:val="9"/>
        </w:numPr>
        <w:rPr>
          <w:color w:val="000000" w:themeColor="text1"/>
          <w14:textFill>
            <w14:solidFill>
              <w14:schemeClr w14:val="tx1"/>
            </w14:solidFill>
          </w14:textFill>
        </w:rPr>
      </w:pPr>
      <w:r>
        <w:rPr>
          <w:rFonts w:hint="eastAsia"/>
          <w:color w:val="000000" w:themeColor="text1"/>
          <w14:textFill>
            <w14:solidFill>
              <w14:schemeClr w14:val="tx1"/>
            </w14:solidFill>
          </w14:textFill>
        </w:rPr>
        <w:t>企业客户在企业入口上传入住人员名单（按模板）；</w:t>
      </w:r>
    </w:p>
    <w:p w14:paraId="170EE613">
      <w:pPr>
        <w:pStyle w:val="24"/>
        <w:numPr>
          <w:ilvl w:val="0"/>
          <w:numId w:val="9"/>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系统批量校验名单（人员信息、资格、房源匹配）并反馈校验结果；</w:t>
      </w:r>
    </w:p>
    <w:p w14:paraId="786E72D6">
      <w:pPr>
        <w:pStyle w:val="24"/>
        <w:numPr>
          <w:ilvl w:val="0"/>
          <w:numId w:val="9"/>
        </w:numPr>
        <w:rPr>
          <w:color w:val="000000" w:themeColor="text1"/>
          <w14:textFill>
            <w14:solidFill>
              <w14:schemeClr w14:val="tx1"/>
            </w14:solidFill>
          </w14:textFill>
        </w:rPr>
      </w:pPr>
      <w:r>
        <w:rPr>
          <w:rFonts w:hint="eastAsia"/>
          <w:color w:val="000000" w:themeColor="text1"/>
          <w14:textFill>
            <w14:solidFill>
              <w14:schemeClr w14:val="tx1"/>
            </w14:solidFill>
          </w14:textFill>
        </w:rPr>
        <w:t>校验通过的批量生成合同/账单，未通过项返回明细供修正；</w:t>
      </w:r>
    </w:p>
    <w:p w14:paraId="4618FE44">
      <w:pPr>
        <w:pStyle w:val="24"/>
        <w:numPr>
          <w:ilvl w:val="0"/>
          <w:numId w:val="9"/>
        </w:numPr>
        <w:rPr>
          <w:color w:val="000000" w:themeColor="text1"/>
          <w14:textFill>
            <w14:solidFill>
              <w14:schemeClr w14:val="tx1"/>
            </w14:solidFill>
          </w14:textFill>
        </w:rPr>
      </w:pPr>
      <w:r>
        <w:rPr>
          <w:rFonts w:hint="eastAsia"/>
          <w:color w:val="000000" w:themeColor="text1"/>
          <w14:textFill>
            <w14:solidFill>
              <w14:schemeClr w14:val="tx1"/>
            </w14:solidFill>
          </w14:textFill>
        </w:rPr>
        <w:t>企业统一缴费，系统批量入账并推进入住；</w:t>
      </w:r>
    </w:p>
    <w:p w14:paraId="300F6797">
      <w:pPr>
        <w:pStyle w:val="24"/>
        <w:numPr>
          <w:ilvl w:val="0"/>
          <w:numId w:val="9"/>
        </w:numPr>
        <w:rPr>
          <w:color w:val="000000" w:themeColor="text1"/>
          <w14:textFill>
            <w14:solidFill>
              <w14:schemeClr w14:val="tx1"/>
            </w14:solidFill>
          </w14:textFill>
        </w:rPr>
      </w:pPr>
      <w:r>
        <w:rPr>
          <w:rFonts w:hint="eastAsia"/>
          <w:color w:val="000000" w:themeColor="text1"/>
          <w14:textFill>
            <w14:solidFill>
              <w14:schemeClr w14:val="tx1"/>
            </w14:solidFill>
          </w14:textFill>
        </w:rPr>
        <w:t>全过程以企业为主体归集，合同集中备案、可批量查询。</w:t>
      </w:r>
    </w:p>
    <w:p w14:paraId="2FC7EE3A">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（8）生活服务工单流程</w:t>
      </w:r>
    </w:p>
    <w:p w14:paraId="762A3140">
      <w:pPr>
        <w:pStyle w:val="24"/>
        <w:numPr>
          <w:ilvl w:val="0"/>
          <w:numId w:val="10"/>
        </w:numPr>
        <w:rPr>
          <w:color w:val="000000" w:themeColor="text1"/>
          <w14:textFill>
            <w14:solidFill>
              <w14:schemeClr w14:val="tx1"/>
            </w14:solidFill>
          </w14:textFill>
        </w:rPr>
      </w:pPr>
      <w:r>
        <w:rPr>
          <w:rFonts w:hint="eastAsia"/>
          <w:color w:val="000000" w:themeColor="text1"/>
          <w14:textFill>
            <w14:solidFill>
              <w14:schemeClr w14:val="tx1"/>
            </w14:solidFill>
          </w14:textFill>
        </w:rPr>
        <w:t>群众端选择服务类型（投诉建议/保洁/搬家/报修）下单；</w:t>
      </w:r>
    </w:p>
    <w:p w14:paraId="5270EB8D">
      <w:pPr>
        <w:pStyle w:val="24"/>
        <w:numPr>
          <w:ilvl w:val="0"/>
          <w:numId w:val="10"/>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系统生成工单并按类型/项目派单至相应处理人；</w:t>
      </w:r>
    </w:p>
    <w:p w14:paraId="409741F0">
      <w:pPr>
        <w:pStyle w:val="24"/>
        <w:numPr>
          <w:ilvl w:val="0"/>
          <w:numId w:val="10"/>
        </w:numPr>
        <w:rPr>
          <w:color w:val="000000" w:themeColor="text1"/>
          <w14:textFill>
            <w14:solidFill>
              <w14:schemeClr w14:val="tx1"/>
            </w14:solidFill>
          </w14:textFill>
        </w:rPr>
      </w:pPr>
      <w:r>
        <w:rPr>
          <w:rFonts w:hint="eastAsia"/>
          <w:color w:val="000000" w:themeColor="text1"/>
          <w14:textFill>
            <w14:solidFill>
              <w14:schemeClr w14:val="tx1"/>
            </w14:solidFill>
          </w14:textFill>
        </w:rPr>
        <w:t>处理人受理、处理并回填处理结果；</w:t>
      </w:r>
    </w:p>
    <w:p w14:paraId="5C02EDF3">
      <w:pPr>
        <w:pStyle w:val="24"/>
        <w:numPr>
          <w:ilvl w:val="0"/>
          <w:numId w:val="10"/>
        </w:numPr>
        <w:rPr>
          <w:color w:val="000000" w:themeColor="text1"/>
          <w14:textFill>
            <w14:solidFill>
              <w14:schemeClr w14:val="tx1"/>
            </w14:solidFill>
          </w14:textFill>
        </w:rPr>
      </w:pPr>
      <w:r>
        <w:rPr>
          <w:rFonts w:hint="eastAsia"/>
          <w:color w:val="000000" w:themeColor="text1"/>
          <w14:textFill>
            <w14:solidFill>
              <w14:schemeClr w14:val="tx1"/>
            </w14:solidFill>
          </w14:textFill>
        </w:rPr>
        <w:t>群众端收到处理反馈并评价；</w:t>
      </w:r>
    </w:p>
    <w:p w14:paraId="582B95F8">
      <w:pPr>
        <w:pStyle w:val="24"/>
        <w:numPr>
          <w:ilvl w:val="0"/>
          <w:numId w:val="10"/>
        </w:numPr>
        <w:rPr>
          <w:color w:val="000000" w:themeColor="text1"/>
          <w14:textFill>
            <w14:solidFill>
              <w14:schemeClr w14:val="tx1"/>
            </w14:solidFill>
          </w14:textFill>
        </w:rPr>
      </w:pPr>
      <w:r>
        <w:rPr>
          <w:rFonts w:hint="eastAsia"/>
          <w:color w:val="000000" w:themeColor="text1"/>
          <w14:textFill>
            <w14:solidFill>
              <w14:schemeClr w14:val="tx1"/>
            </w14:solidFill>
          </w14:textFill>
        </w:rPr>
        <w:t>后台统一监控工单时效与满意度，超时预警。</w:t>
      </w:r>
    </w:p>
    <w:bookmarkEnd w:id="78"/>
    <w:p w14:paraId="46DE293D">
      <w:pPr>
        <w:pStyle w:val="5"/>
        <w:rPr>
          <w:color w:val="000000" w:themeColor="text1"/>
          <w14:textFill>
            <w14:solidFill>
              <w14:schemeClr w14:val="tx1"/>
            </w14:solidFill>
          </w14:textFill>
        </w:rPr>
      </w:pPr>
      <w:bookmarkStart w:id="79" w:name="各端交互设计要点"/>
      <w:r>
        <w:rPr>
          <w:color w:val="000000" w:themeColor="text1"/>
          <w14:textFill>
            <w14:solidFill>
              <w14:schemeClr w14:val="tx1"/>
            </w14:solidFill>
          </w14:textFill>
        </w:rPr>
        <w:t xml:space="preserve">2.5.13 </w:t>
      </w:r>
      <w:r>
        <w:rPr>
          <w:rFonts w:hint="eastAsia"/>
          <w:color w:val="000000" w:themeColor="text1"/>
          <w14:textFill>
            <w14:solidFill>
              <w14:schemeClr w14:val="tx1"/>
            </w14:solidFill>
          </w14:textFill>
        </w:rPr>
        <w:t>各端交互设计要点</w:t>
      </w:r>
    </w:p>
    <w:p w14:paraId="12F2EC9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移动端（H5）</w:t>
      </w:r>
      <w:r>
        <w:rPr>
          <w:rFonts w:hint="eastAsia"/>
          <w:color w:val="000000" w:themeColor="text1"/>
          <w14:textFill>
            <w14:solidFill>
              <w14:schemeClr w14:val="tx1"/>
            </w14:solidFill>
          </w14:textFill>
        </w:rPr>
        <w:t>：强调兼容性与分享传播，页面自适应主流机型，办事路径短、提示明确；</w:t>
      </w:r>
    </w:p>
    <w:p w14:paraId="2EE1F8D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微信小程序端</w:t>
      </w:r>
      <w:r>
        <w:rPr>
          <w:rFonts w:hint="eastAsia"/>
          <w:color w:val="000000" w:themeColor="text1"/>
          <w14:textFill>
            <w14:solidFill>
              <w14:schemeClr w14:val="tx1"/>
            </w14:solidFill>
          </w14:textFill>
        </w:rPr>
        <w:t>：即用即走，充分利用小程序原生能力（人脸识别、微信支付、模板消息）；</w:t>
      </w:r>
    </w:p>
    <w:p w14:paraId="065A744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微信公众号端</w:t>
      </w:r>
      <w:r>
        <w:rPr>
          <w:rFonts w:hint="eastAsia"/>
          <w:color w:val="000000" w:themeColor="text1"/>
          <w14:textFill>
            <w14:solidFill>
              <w14:schemeClr w14:val="tx1"/>
            </w14:solidFill>
          </w14:textFill>
        </w:rPr>
        <w:t>：以消息触达与轻量入口为主，承接通知提醒与办事跳转；</w:t>
      </w:r>
    </w:p>
    <w:p w14:paraId="0DAF345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后台管理端</w:t>
      </w:r>
      <w:r>
        <w:rPr>
          <w:rFonts w:hint="eastAsia"/>
          <w:color w:val="000000" w:themeColor="text1"/>
          <w14:textFill>
            <w14:solidFill>
              <w14:schemeClr w14:val="tx1"/>
            </w14:solidFill>
          </w14:textFill>
        </w:rPr>
        <w:t>：面向管理人员，布局规整、操作高效，列表—详情—操作动线清晰，重要操作二次确认并留审计。</w:t>
      </w:r>
    </w:p>
    <w:p w14:paraId="4ECB574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四端共享统一后端服务与业务规则，前端仅按渠道特性做交互适配，不重复实现业务逻辑，保证功能与数据一致、维护成本可控。</w:t>
      </w:r>
    </w:p>
    <w:bookmarkEnd w:id="79"/>
    <w:p w14:paraId="06EAB17F">
      <w:pPr>
        <w:pStyle w:val="5"/>
        <w:rPr>
          <w:color w:val="000000" w:themeColor="text1"/>
          <w14:textFill>
            <w14:solidFill>
              <w14:schemeClr w14:val="tx1"/>
            </w14:solidFill>
          </w14:textFill>
        </w:rPr>
      </w:pPr>
      <w:bookmarkStart w:id="80" w:name="关键业务规则汇总"/>
      <w:r>
        <w:rPr>
          <w:color w:val="000000" w:themeColor="text1"/>
          <w14:textFill>
            <w14:solidFill>
              <w14:schemeClr w14:val="tx1"/>
            </w14:solidFill>
          </w14:textFill>
        </w:rPr>
        <w:t xml:space="preserve">2.5.14 </w:t>
      </w:r>
      <w:r>
        <w:rPr>
          <w:rFonts w:hint="eastAsia"/>
          <w:color w:val="000000" w:themeColor="text1"/>
          <w14:textFill>
            <w14:solidFill>
              <w14:schemeClr w14:val="tx1"/>
            </w14:solidFill>
          </w14:textFill>
        </w:rPr>
        <w:t>关键业务规则汇总</w:t>
      </w:r>
    </w:p>
    <w:p w14:paraId="6C2B843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为便于开发、测试与验收统一口径，将贯穿系统的关键业务规则汇总如下，作为落地准绳：</w:t>
      </w:r>
    </w:p>
    <w:tbl>
      <w:tblPr>
        <w:tblStyle w:val="41"/>
        <w:tblW w:w="5000" w:type="pct"/>
        <w:tblInd w:w="0" w:type="dxa"/>
        <w:tblLayout w:type="fixed"/>
        <w:tblCellMar>
          <w:top w:w="0" w:type="dxa"/>
          <w:left w:w="108" w:type="dxa"/>
          <w:bottom w:w="0" w:type="dxa"/>
          <w:right w:w="108" w:type="dxa"/>
        </w:tblCellMar>
      </w:tblPr>
      <w:tblGrid>
        <w:gridCol w:w="3647"/>
        <w:gridCol w:w="2605"/>
        <w:gridCol w:w="2605"/>
      </w:tblGrid>
      <w:tr w14:paraId="289B12E9">
        <w:trPr>
          <w:tblHeader/>
        </w:trPr>
        <w:tc>
          <w:p w14:paraId="4C46CDD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规则域</w:t>
            </w:r>
          </w:p>
        </w:tc>
        <w:tc>
          <w:p w14:paraId="1F4BFC0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规则</w:t>
            </w:r>
          </w:p>
        </w:tc>
        <w:tc>
          <w:p w14:paraId="1894CC8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2002D5AD">
        <w:tc>
          <w:p w14:paraId="75F4060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资格核验</w:t>
            </w:r>
          </w:p>
        </w:tc>
        <w:tc>
          <w:p w14:paraId="70361B2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以政务核验数据为准，不符可申诉</w:t>
            </w:r>
          </w:p>
        </w:tc>
        <w:tc>
          <w:p w14:paraId="06BF86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数据源为权威，兼顾人性化</w:t>
            </w:r>
          </w:p>
        </w:tc>
      </w:tr>
      <w:tr w14:paraId="5A44B6D9">
        <w:tc>
          <w:p w14:paraId="2349C02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房源占用</w:t>
            </w:r>
          </w:p>
        </w:tc>
        <w:tc>
          <w:p w14:paraId="56F1CF3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一房一签，选房即锁定、超时释放</w:t>
            </w:r>
          </w:p>
        </w:tc>
        <w:tc>
          <w:p w14:paraId="741A4E2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状态机</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唯一约束防一房多签</w:t>
            </w:r>
          </w:p>
        </w:tc>
      </w:tr>
      <w:tr w14:paraId="2824410C">
        <w:tc>
          <w:p w14:paraId="64E5677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缴费顺序</w:t>
            </w:r>
          </w:p>
        </w:tc>
        <w:tc>
          <w:p w14:paraId="525F7AB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押金未缴清不得缴租期账单</w:t>
            </w:r>
          </w:p>
        </w:tc>
        <w:tc>
          <w:p w14:paraId="28A6D0B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保证资金逻辑正确</w:t>
            </w:r>
          </w:p>
        </w:tc>
      </w:tr>
      <w:tr w14:paraId="7A56CA63">
        <w:tc>
          <w:p w14:paraId="54AEEAB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支付通道</w:t>
            </w:r>
          </w:p>
        </w:tc>
        <w:tc>
          <w:p w14:paraId="3AF2986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港区支付为唯一通道</w:t>
            </w:r>
          </w:p>
        </w:tc>
        <w:tc>
          <w:p w14:paraId="2ED5B41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杜绝多渠道混乱</w:t>
            </w:r>
          </w:p>
        </w:tc>
      </w:tr>
      <w:tr w14:paraId="2DF93D22">
        <w:tc>
          <w:p w14:paraId="45B3314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支付幂等</w:t>
            </w:r>
          </w:p>
        </w:tc>
        <w:tc>
          <w:p w14:paraId="37EFA83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下单/回调按业务唯一键幂等</w:t>
            </w:r>
          </w:p>
        </w:tc>
        <w:tc>
          <w:p w14:paraId="434C40C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杜绝重复扣款</w:t>
            </w:r>
          </w:p>
        </w:tc>
      </w:tr>
      <w:tr w14:paraId="44491DEA">
        <w:tc>
          <w:p w14:paraId="6EE4D5F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对账兜底</w:t>
            </w:r>
          </w:p>
        </w:tc>
        <w:tc>
          <w:p w14:paraId="1F49801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每日对账</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回调丢失查单补偿</w:t>
            </w:r>
          </w:p>
        </w:tc>
        <w:tc>
          <w:p w14:paraId="1C9DB74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账实相符</w:t>
            </w:r>
          </w:p>
        </w:tc>
      </w:tr>
      <w:tr w14:paraId="77539FCD">
        <w:tc>
          <w:p w14:paraId="5A78D08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退款精算</w:t>
            </w:r>
          </w:p>
        </w:tc>
        <w:tc>
          <w:p w14:paraId="0BF817C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按实际退租日按日精算、一次核定锁定</w:t>
            </w:r>
          </w:p>
        </w:tc>
        <w:tc>
          <w:p w14:paraId="3621904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防篡改、可追溯</w:t>
            </w:r>
          </w:p>
        </w:tc>
      </w:tr>
      <w:tr w14:paraId="6039D5C8">
        <w:tc>
          <w:p w14:paraId="6038E5A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续租校验</w:t>
            </w:r>
          </w:p>
        </w:tc>
        <w:tc>
          <w:p w14:paraId="71861A5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续租校验资格与欠费</w:t>
            </w:r>
          </w:p>
        </w:tc>
        <w:tc>
          <w:p w14:paraId="30EB9C2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符合条件方可续租</w:t>
            </w:r>
          </w:p>
        </w:tc>
      </w:tr>
      <w:tr w14:paraId="3E59FB86">
        <w:tc>
          <w:p w14:paraId="7D8DED2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开票防重</w:t>
            </w:r>
          </w:p>
        </w:tc>
        <w:tc>
          <w:p w14:paraId="2EE16BD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同一缴费不可重复开票</w:t>
            </w:r>
          </w:p>
        </w:tc>
        <w:tc>
          <w:p w14:paraId="631FB2A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校验已开票状态</w:t>
            </w:r>
          </w:p>
        </w:tc>
      </w:tr>
      <w:tr w14:paraId="1CC0CB83">
        <w:tc>
          <w:p w14:paraId="68A0343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w:t>
            </w:r>
          </w:p>
        </w:tc>
        <w:tc>
          <w:p w14:paraId="5EFDD27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历史迁入数据零干预</w:t>
            </w:r>
          </w:p>
        </w:tc>
        <w:tc>
          <w:p w14:paraId="327CB30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保障群众端历史可查</w:t>
            </w:r>
          </w:p>
        </w:tc>
      </w:tr>
      <w:tr w14:paraId="5F43F0C5">
        <w:tc>
          <w:p w14:paraId="4A3000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权限控制</w:t>
            </w:r>
          </w:p>
        </w:tc>
        <w:tc>
          <w:p w14:paraId="47A2E21C">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RBAC </w:t>
            </w:r>
            <w:r>
              <w:rPr>
                <w:rFonts w:hint="eastAsia"/>
                <w:color w:val="000000" w:themeColor="text1"/>
                <w14:textFill>
                  <w14:solidFill>
                    <w14:schemeClr w14:val="tx1"/>
                  </w14:solidFill>
                </w14:textFill>
              </w:rPr>
              <w:t>四级</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数据权限</w:t>
            </w:r>
          </w:p>
        </w:tc>
        <w:tc>
          <w:p w14:paraId="16E2679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最小权限、防越权</w:t>
            </w:r>
          </w:p>
        </w:tc>
      </w:tr>
    </w:tbl>
    <w:p w14:paraId="0CA707E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上述规则在需求、设计、代码、测试各环节保持一致，任何一处实现都以本表为准，避免理解偏差导致返工。</w:t>
      </w:r>
    </w:p>
    <w:bookmarkEnd w:id="66"/>
    <w:bookmarkEnd w:id="80"/>
    <w:p w14:paraId="7AF7E71A">
      <w:pPr>
        <w:pStyle w:val="4"/>
        <w:rPr>
          <w:color w:val="000000" w:themeColor="text1"/>
          <w14:textFill>
            <w14:solidFill>
              <w14:schemeClr w14:val="tx1"/>
            </w14:solidFill>
          </w14:textFill>
        </w:rPr>
      </w:pPr>
      <w:bookmarkStart w:id="81" w:name="系统接口设计"/>
      <w:r>
        <w:rPr>
          <w:color w:val="000000" w:themeColor="text1"/>
          <w14:textFill>
            <w14:solidFill>
              <w14:schemeClr w14:val="tx1"/>
            </w14:solidFill>
          </w14:textFill>
        </w:rPr>
        <w:t xml:space="preserve">2.6 </w:t>
      </w:r>
      <w:r>
        <w:rPr>
          <w:rFonts w:hint="eastAsia"/>
          <w:color w:val="000000" w:themeColor="text1"/>
          <w14:textFill>
            <w14:solidFill>
              <w14:schemeClr w14:val="tx1"/>
            </w14:solidFill>
          </w14:textFill>
        </w:rPr>
        <w:t>系统接口设计</w:t>
      </w:r>
    </w:p>
    <w:p w14:paraId="496DFDCB">
      <w:pPr>
        <w:pStyle w:val="5"/>
        <w:rPr>
          <w:color w:val="000000" w:themeColor="text1"/>
          <w14:textFill>
            <w14:solidFill>
              <w14:schemeClr w14:val="tx1"/>
            </w14:solidFill>
          </w14:textFill>
        </w:rPr>
      </w:pPr>
      <w:bookmarkStart w:id="82" w:name="接口设计原则"/>
      <w:r>
        <w:rPr>
          <w:color w:val="000000" w:themeColor="text1"/>
          <w14:textFill>
            <w14:solidFill>
              <w14:schemeClr w14:val="tx1"/>
            </w14:solidFill>
          </w14:textFill>
        </w:rPr>
        <w:t xml:space="preserve">2.6.1 </w:t>
      </w:r>
      <w:r>
        <w:rPr>
          <w:rFonts w:hint="eastAsia"/>
          <w:color w:val="000000" w:themeColor="text1"/>
          <w14:textFill>
            <w14:solidFill>
              <w14:schemeClr w14:val="tx1"/>
            </w14:solidFill>
          </w14:textFill>
        </w:rPr>
        <w:t>接口设计原则</w:t>
      </w:r>
    </w:p>
    <w:p w14:paraId="6DB260C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统一网关</w:t>
      </w:r>
      <w:r>
        <w:rPr>
          <w:rFonts w:hint="eastAsia"/>
          <w:color w:val="000000" w:themeColor="text1"/>
          <w14:textFill>
            <w14:solidFill>
              <w14:schemeClr w14:val="tx1"/>
            </w14:solidFill>
          </w14:textFill>
        </w:rPr>
        <w:t>：所有对外/对内接口经统一</w:t>
      </w:r>
      <w:r>
        <w:rPr>
          <w:color w:val="000000" w:themeColor="text1"/>
          <w14:textFill>
            <w14:solidFill>
              <w14:schemeClr w14:val="tx1"/>
            </w14:solidFill>
          </w14:textFill>
        </w:rPr>
        <w:t xml:space="preserve"> API </w:t>
      </w:r>
      <w:r>
        <w:rPr>
          <w:rFonts w:hint="eastAsia"/>
          <w:color w:val="000000" w:themeColor="text1"/>
          <w14:textFill>
            <w14:solidFill>
              <w14:schemeClr w14:val="tx1"/>
            </w14:solidFill>
          </w14:textFill>
        </w:rPr>
        <w:t>网关，集中鉴权、限流、日志；</w:t>
      </w:r>
    </w:p>
    <w:p w14:paraId="2FDCD50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标准协议</w:t>
      </w:r>
      <w:r>
        <w:rPr>
          <w:rFonts w:hint="eastAsia"/>
          <w:color w:val="000000" w:themeColor="text1"/>
          <w14:textFill>
            <w14:solidFill>
              <w14:schemeClr w14:val="tx1"/>
            </w14:solidFill>
          </w14:textFill>
        </w:rPr>
        <w:t>：采用</w:t>
      </w:r>
      <w:r>
        <w:rPr>
          <w:color w:val="000000" w:themeColor="text1"/>
          <w14:textFill>
            <w14:solidFill>
              <w14:schemeClr w14:val="tx1"/>
            </w14:solidFill>
          </w14:textFill>
        </w:rPr>
        <w:t xml:space="preserve"> RESTful + </w:t>
      </w:r>
      <w:r>
        <w:rPr>
          <w:rFonts w:hint="eastAsia"/>
          <w:color w:val="000000" w:themeColor="text1"/>
          <w14:textFill>
            <w14:solidFill>
              <w14:schemeClr w14:val="tx1"/>
            </w14:solidFill>
          </w14:textFill>
        </w:rPr>
        <w:t>JSON，传输经</w:t>
      </w:r>
      <w:r>
        <w:rPr>
          <w:color w:val="000000" w:themeColor="text1"/>
          <w14:textFill>
            <w14:solidFill>
              <w14:schemeClr w14:val="tx1"/>
            </w14:solidFill>
          </w14:textFill>
        </w:rPr>
        <w:t xml:space="preserve"> HTTPS </w:t>
      </w:r>
      <w:r>
        <w:rPr>
          <w:rFonts w:hint="eastAsia"/>
          <w:color w:val="000000" w:themeColor="text1"/>
          <w14:textFill>
            <w14:solidFill>
              <w14:schemeClr w14:val="tx1"/>
            </w14:solidFill>
          </w14:textFill>
        </w:rPr>
        <w:t>加密；</w:t>
      </w:r>
    </w:p>
    <w:p w14:paraId="09D0BE6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安全可控</w:t>
      </w:r>
      <w:r>
        <w:rPr>
          <w:rFonts w:hint="eastAsia"/>
          <w:color w:val="000000" w:themeColor="text1"/>
          <w14:textFill>
            <w14:solidFill>
              <w14:schemeClr w14:val="tx1"/>
            </w14:solidFill>
          </w14:textFill>
        </w:rPr>
        <w:t>：接口鉴权、参数校验、敏感数据脱敏、防重放；</w:t>
      </w:r>
    </w:p>
    <w:p w14:paraId="63773A2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健壮容错</w:t>
      </w:r>
      <w:r>
        <w:rPr>
          <w:rFonts w:hint="eastAsia"/>
          <w:color w:val="000000" w:themeColor="text1"/>
          <w14:textFill>
            <w14:solidFill>
              <w14:schemeClr w14:val="tx1"/>
            </w14:solidFill>
          </w14:textFill>
        </w:rPr>
        <w:t>：超时、重试、熔断、降级、幂等；</w:t>
      </w:r>
    </w:p>
    <w:p w14:paraId="1B84034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可观测</w:t>
      </w:r>
      <w:r>
        <w:rPr>
          <w:rFonts w:hint="eastAsia"/>
          <w:color w:val="000000" w:themeColor="text1"/>
          <w14:textFill>
            <w14:solidFill>
              <w14:schemeClr w14:val="tx1"/>
            </w14:solidFill>
          </w14:textFill>
        </w:rPr>
        <w:t>：接口调用全链路日志与监控。</w:t>
      </w:r>
    </w:p>
    <w:bookmarkEnd w:id="82"/>
    <w:p w14:paraId="7075A6B0">
      <w:pPr>
        <w:pStyle w:val="5"/>
        <w:rPr>
          <w:color w:val="000000" w:themeColor="text1"/>
          <w14:textFill>
            <w14:solidFill>
              <w14:schemeClr w14:val="tx1"/>
            </w14:solidFill>
          </w14:textFill>
        </w:rPr>
      </w:pPr>
      <w:bookmarkStart w:id="83" w:name="郑好办用户体系对接"/>
      <w:r>
        <w:rPr>
          <w:color w:val="000000" w:themeColor="text1"/>
          <w14:textFill>
            <w14:solidFill>
              <w14:schemeClr w14:val="tx1"/>
            </w14:solidFill>
          </w14:textFill>
        </w:rPr>
        <w:t xml:space="preserve">2.6.2 </w:t>
      </w:r>
      <w:r>
        <w:rPr>
          <w:rFonts w:hint="eastAsia"/>
          <w:color w:val="000000" w:themeColor="text1"/>
          <w14:textFill>
            <w14:solidFill>
              <w14:schemeClr w14:val="tx1"/>
            </w14:solidFill>
          </w14:textFill>
        </w:rPr>
        <w:t>郑好办用户体系对接</w:t>
      </w:r>
    </w:p>
    <w:p w14:paraId="447C45C0">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接郑好办统一用户体系，实现群众以郑好办身份进入系统的授权登录与用户信息获取。设计要点：遵循郑好办对接规范完成授权码/令牌交换，映射到系统内用户，处理首次进入的用户建档，保证用户体系一致。</w:t>
      </w:r>
    </w:p>
    <w:p w14:paraId="4D0463B4">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3741420"/>
            <wp:effectExtent l="0" t="0" r="0" b="0"/>
            <wp:docPr id="115" name="Picture" descr="图2-3 郑好办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图2-3 郑好办对接时序图"/>
                    <pic:cNvPicPr>
                      <a:picLocks noChangeAspect="1" noChangeArrowheads="1"/>
                    </pic:cNvPicPr>
                  </pic:nvPicPr>
                  <pic:blipFill>
                    <a:blip r:embed="rId13"/>
                    <a:stretch>
                      <a:fillRect/>
                    </a:stretch>
                  </pic:blipFill>
                  <pic:spPr>
                    <a:xfrm>
                      <a:off x="0" y="0"/>
                      <a:ext cx="5334000" cy="3741964"/>
                    </a:xfrm>
                    <a:prstGeom prst="rect">
                      <a:avLst/>
                    </a:prstGeom>
                    <a:noFill/>
                    <a:ln w="9525">
                      <a:noFill/>
                    </a:ln>
                  </pic:spPr>
                </pic:pic>
              </a:graphicData>
            </a:graphic>
          </wp:inline>
        </w:drawing>
      </w:r>
    </w:p>
    <w:p w14:paraId="590DB496">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郑好办对接时序图</w:t>
      </w:r>
    </w:p>
    <w:p w14:paraId="3595181D">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郑好办对接时序图</w:t>
      </w:r>
    </w:p>
    <w:bookmarkEnd w:id="83"/>
    <w:p w14:paraId="6216974F">
      <w:pPr>
        <w:pStyle w:val="5"/>
        <w:rPr>
          <w:color w:val="000000" w:themeColor="text1"/>
          <w14:textFill>
            <w14:solidFill>
              <w14:schemeClr w14:val="tx1"/>
            </w14:solidFill>
          </w14:textFill>
        </w:rPr>
      </w:pPr>
      <w:bookmarkStart w:id="84" w:name="政务数据资格核验对接"/>
      <w:r>
        <w:rPr>
          <w:color w:val="000000" w:themeColor="text1"/>
          <w14:textFill>
            <w14:solidFill>
              <w14:schemeClr w14:val="tx1"/>
            </w14:solidFill>
          </w14:textFill>
        </w:rPr>
        <w:t xml:space="preserve">2.6.3 </w:t>
      </w:r>
      <w:r>
        <w:rPr>
          <w:rFonts w:hint="eastAsia"/>
          <w:color w:val="000000" w:themeColor="text1"/>
          <w14:textFill>
            <w14:solidFill>
              <w14:schemeClr w14:val="tx1"/>
            </w14:solidFill>
          </w14:textFill>
        </w:rPr>
        <w:t>政务数据资格核验对接</w:t>
      </w:r>
    </w:p>
    <w:p w14:paraId="6134474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对接港区政务数据接口，核验社保、婚姻、学历、住房、既有保租房等资格数据。设计要点：</w:t>
      </w:r>
    </w:p>
    <w:p w14:paraId="0FD2D41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统一核验服务</w:t>
      </w:r>
      <w:r>
        <w:rPr>
          <w:rFonts w:hint="eastAsia"/>
          <w:color w:val="000000" w:themeColor="text1"/>
          <w14:textFill>
            <w14:solidFill>
              <w14:schemeClr w14:val="tx1"/>
            </w14:solidFill>
          </w14:textFill>
        </w:rPr>
        <w:t>：屏蔽各数据源差异，对外提供统一核验入口；</w:t>
      </w:r>
    </w:p>
    <w:p w14:paraId="75CF403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网络合规</w:t>
      </w:r>
      <w:r>
        <w:rPr>
          <w:rFonts w:hint="eastAsia"/>
          <w:color w:val="000000" w:themeColor="text1"/>
          <w14:textFill>
            <w14:solidFill>
              <w14:schemeClr w14:val="tx1"/>
            </w14:solidFill>
          </w14:textFill>
        </w:rPr>
        <w:t>：经合规政务网络代理通道访问；</w:t>
      </w:r>
    </w:p>
    <w:p w14:paraId="0C28EAE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容错</w:t>
      </w:r>
      <w:r>
        <w:rPr>
          <w:rFonts w:hint="eastAsia"/>
          <w:color w:val="000000" w:themeColor="text1"/>
          <w14:textFill>
            <w14:solidFill>
              <w14:schemeClr w14:val="tx1"/>
            </w14:solidFill>
          </w14:textFill>
        </w:rPr>
        <w:t>：超时重试、失败降级（转人工/申诉）、全程留痕；</w:t>
      </w:r>
    </w:p>
    <w:p w14:paraId="2D872A0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闭环</w:t>
      </w:r>
      <w:r>
        <w:rPr>
          <w:rFonts w:hint="eastAsia"/>
          <w:color w:val="000000" w:themeColor="text1"/>
          <w14:textFill>
            <w14:solidFill>
              <w14:schemeClr w14:val="tx1"/>
            </w14:solidFill>
          </w14:textFill>
        </w:rPr>
        <w:t>：核验不通过时展示不符项并支持在线申诉与审批。</w:t>
      </w:r>
    </w:p>
    <w:p w14:paraId="663C9ABC">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4926945"/>
            <wp:effectExtent l="0" t="0" r="0" b="0"/>
            <wp:docPr id="119" name="Picture" descr="图2-4 资格核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图2-4 资格核验流程图"/>
                    <pic:cNvPicPr>
                      <a:picLocks noChangeAspect="1" noChangeArrowheads="1"/>
                    </pic:cNvPicPr>
                  </pic:nvPicPr>
                  <pic:blipFill>
                    <a:blip r:embed="rId14"/>
                    <a:stretch>
                      <a:fillRect/>
                    </a:stretch>
                  </pic:blipFill>
                  <pic:spPr>
                    <a:xfrm>
                      <a:off x="0" y="0"/>
                      <a:ext cx="5334000" cy="14927455"/>
                    </a:xfrm>
                    <a:prstGeom prst="rect">
                      <a:avLst/>
                    </a:prstGeom>
                    <a:noFill/>
                    <a:ln w="9525">
                      <a:noFill/>
                    </a:ln>
                  </pic:spPr>
                </pic:pic>
              </a:graphicData>
            </a:graphic>
          </wp:inline>
        </w:drawing>
      </w:r>
    </w:p>
    <w:p w14:paraId="60B4A048">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资格核验流程图</w:t>
      </w:r>
    </w:p>
    <w:p w14:paraId="41CE41E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资格核验流程图</w:t>
      </w:r>
    </w:p>
    <w:bookmarkEnd w:id="84"/>
    <w:p w14:paraId="21472F01">
      <w:pPr>
        <w:pStyle w:val="5"/>
        <w:rPr>
          <w:color w:val="000000" w:themeColor="text1"/>
          <w14:textFill>
            <w14:solidFill>
              <w14:schemeClr w14:val="tx1"/>
            </w14:solidFill>
          </w14:textFill>
        </w:rPr>
      </w:pPr>
      <w:bookmarkStart w:id="85" w:name="支付与其他第三方接口对接"/>
      <w:r>
        <w:rPr>
          <w:color w:val="000000" w:themeColor="text1"/>
          <w14:textFill>
            <w14:solidFill>
              <w14:schemeClr w14:val="tx1"/>
            </w14:solidFill>
          </w14:textFill>
        </w:rPr>
        <w:t xml:space="preserve">2.6.4 </w:t>
      </w:r>
      <w:r>
        <w:rPr>
          <w:rFonts w:hint="eastAsia"/>
          <w:color w:val="000000" w:themeColor="text1"/>
          <w14:textFill>
            <w14:solidFill>
              <w14:schemeClr w14:val="tx1"/>
            </w14:solidFill>
          </w14:textFill>
        </w:rPr>
        <w:t>支付与其他第三方接口对接</w:t>
      </w:r>
    </w:p>
    <w:p w14:paraId="5F8F8DB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港区支付接口</w:t>
      </w:r>
      <w:r>
        <w:rPr>
          <w:rFonts w:hint="eastAsia"/>
          <w:color w:val="000000" w:themeColor="text1"/>
          <w14:textFill>
            <w14:solidFill>
              <w14:schemeClr w14:val="tx1"/>
            </w14:solidFill>
          </w14:textFill>
        </w:rPr>
        <w:t>：统一下单、回调、查询、退款，严格幂等与对账；</w:t>
      </w:r>
    </w:p>
    <w:p w14:paraId="1D4EE10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电子签章</w:t>
      </w:r>
      <w:r>
        <w:rPr>
          <w:rFonts w:hint="eastAsia"/>
          <w:color w:val="000000" w:themeColor="text1"/>
          <w14:textFill>
            <w14:solidFill>
              <w14:schemeClr w14:val="tx1"/>
            </w14:solidFill>
          </w14:textFill>
        </w:rPr>
        <w:t>：模板管理、发起签署、结果回调、合同归档；</w:t>
      </w:r>
    </w:p>
    <w:p w14:paraId="4C1B3B7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人脸识别</w:t>
      </w:r>
      <w:r>
        <w:rPr>
          <w:rFonts w:hint="eastAsia"/>
          <w:color w:val="000000" w:themeColor="text1"/>
          <w14:textFill>
            <w14:solidFill>
              <w14:schemeClr w14:val="tx1"/>
            </w14:solidFill>
          </w14:textFill>
        </w:rPr>
        <w:t>：选房/核身环节的实人认证；</w:t>
      </w:r>
    </w:p>
    <w:p w14:paraId="20FD48B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地图服务</w:t>
      </w:r>
      <w:r>
        <w:rPr>
          <w:rFonts w:hint="eastAsia"/>
          <w:color w:val="000000" w:themeColor="text1"/>
          <w14:textFill>
            <w14:solidFill>
              <w14:schemeClr w14:val="tx1"/>
            </w14:solidFill>
          </w14:textFill>
        </w:rPr>
        <w:t>：地图找房点位与经纬度（腾讯地图）；</w:t>
      </w:r>
    </w:p>
    <w:p w14:paraId="71BB002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开票/发票</w:t>
      </w:r>
      <w:r>
        <w:rPr>
          <w:rFonts w:hint="eastAsia"/>
          <w:color w:val="000000" w:themeColor="text1"/>
          <w14:textFill>
            <w14:solidFill>
              <w14:schemeClr w14:val="tx1"/>
            </w14:solidFill>
          </w14:textFill>
        </w:rPr>
        <w:t>：开票申请与发票预览下载。</w:t>
      </w:r>
    </w:p>
    <w:p w14:paraId="14369F9D">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6084570"/>
            <wp:effectExtent l="0" t="0" r="0" b="0"/>
            <wp:docPr id="123" name="Picture" descr="图2-5 支付缴费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descr="图2-5 支付缴费对接时序图"/>
                    <pic:cNvPicPr>
                      <a:picLocks noChangeAspect="1" noChangeArrowheads="1"/>
                    </pic:cNvPicPr>
                  </pic:nvPicPr>
                  <pic:blipFill>
                    <a:blip r:embed="rId15"/>
                    <a:stretch>
                      <a:fillRect/>
                    </a:stretch>
                  </pic:blipFill>
                  <pic:spPr>
                    <a:xfrm>
                      <a:off x="0" y="0"/>
                      <a:ext cx="5334000" cy="6084711"/>
                    </a:xfrm>
                    <a:prstGeom prst="rect">
                      <a:avLst/>
                    </a:prstGeom>
                    <a:noFill/>
                    <a:ln w="9525">
                      <a:noFill/>
                    </a:ln>
                  </pic:spPr>
                </pic:pic>
              </a:graphicData>
            </a:graphic>
          </wp:inline>
        </w:drawing>
      </w:r>
    </w:p>
    <w:p w14:paraId="6B4ABA1C">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图2-5</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支付缴费对接时序图</w:t>
      </w:r>
    </w:p>
    <w:p w14:paraId="7304964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图2-5</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支付缴费对接时序图</w:t>
      </w:r>
    </w:p>
    <w:p w14:paraId="5EAE05A9">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4441825"/>
            <wp:effectExtent l="0" t="0" r="0" b="0"/>
            <wp:docPr id="126" name="Picture" descr="图2-6 电子签章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图2-6 电子签章时序图"/>
                    <pic:cNvPicPr>
                      <a:picLocks noChangeAspect="1" noChangeArrowheads="1"/>
                    </pic:cNvPicPr>
                  </pic:nvPicPr>
                  <pic:blipFill>
                    <a:blip r:embed="rId16"/>
                    <a:stretch>
                      <a:fillRect/>
                    </a:stretch>
                  </pic:blipFill>
                  <pic:spPr>
                    <a:xfrm>
                      <a:off x="0" y="0"/>
                      <a:ext cx="5334000" cy="4442322"/>
                    </a:xfrm>
                    <a:prstGeom prst="rect">
                      <a:avLst/>
                    </a:prstGeom>
                    <a:noFill/>
                    <a:ln w="9525">
                      <a:noFill/>
                    </a:ln>
                  </pic:spPr>
                </pic:pic>
              </a:graphicData>
            </a:graphic>
          </wp:inline>
        </w:drawing>
      </w:r>
    </w:p>
    <w:p w14:paraId="235CB288">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图2-6</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电子签章时序图</w:t>
      </w:r>
    </w:p>
    <w:p w14:paraId="600E38A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图2-6</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电子签章时序图</w:t>
      </w:r>
    </w:p>
    <w:bookmarkEnd w:id="85"/>
    <w:p w14:paraId="20E6ED12">
      <w:pPr>
        <w:pStyle w:val="5"/>
        <w:rPr>
          <w:color w:val="000000" w:themeColor="text1"/>
          <w14:textFill>
            <w14:solidFill>
              <w14:schemeClr w14:val="tx1"/>
            </w14:solidFill>
          </w14:textFill>
        </w:rPr>
      </w:pPr>
      <w:bookmarkStart w:id="86" w:name="内部接口与数据交换"/>
      <w:r>
        <w:rPr>
          <w:color w:val="000000" w:themeColor="text1"/>
          <w14:textFill>
            <w14:solidFill>
              <w14:schemeClr w14:val="tx1"/>
            </w14:solidFill>
          </w14:textFill>
        </w:rPr>
        <w:t xml:space="preserve">2.6.5 </w:t>
      </w:r>
      <w:r>
        <w:rPr>
          <w:rFonts w:hint="eastAsia"/>
          <w:color w:val="000000" w:themeColor="text1"/>
          <w14:textFill>
            <w14:solidFill>
              <w14:schemeClr w14:val="tx1"/>
            </w14:solidFill>
          </w14:textFill>
        </w:rPr>
        <w:t>内部接口与数据交换</w:t>
      </w:r>
    </w:p>
    <w:p w14:paraId="27F6890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四端与后端、各业务域之间通过统一</w:t>
      </w:r>
      <w:r>
        <w:rPr>
          <w:color w:val="000000" w:themeColor="text1"/>
          <w14:textFill>
            <w14:solidFill>
              <w14:schemeClr w14:val="tx1"/>
            </w14:solidFill>
          </w14:textFill>
        </w:rPr>
        <w:t xml:space="preserve"> API </w:t>
      </w:r>
      <w:r>
        <w:rPr>
          <w:rFonts w:hint="eastAsia"/>
          <w:color w:val="000000" w:themeColor="text1"/>
          <w14:textFill>
            <w14:solidFill>
              <w14:schemeClr w14:val="tx1"/>
            </w14:solidFill>
          </w14:textFill>
        </w:rPr>
        <w:t>交互，业务域之间通过清晰的服务接口协作，避免跨域直接访问数据，保证模块边界清晰。</w:t>
      </w:r>
    </w:p>
    <w:bookmarkEnd w:id="86"/>
    <w:p w14:paraId="585126E2">
      <w:pPr>
        <w:pStyle w:val="5"/>
        <w:rPr>
          <w:color w:val="000000" w:themeColor="text1"/>
          <w14:textFill>
            <w14:solidFill>
              <w14:schemeClr w14:val="tx1"/>
            </w14:solidFill>
          </w14:textFill>
        </w:rPr>
      </w:pPr>
      <w:bookmarkStart w:id="87" w:name="接口异常处理与容错设计"/>
      <w:r>
        <w:rPr>
          <w:color w:val="000000" w:themeColor="text1"/>
          <w14:textFill>
            <w14:solidFill>
              <w14:schemeClr w14:val="tx1"/>
            </w14:solidFill>
          </w14:textFill>
        </w:rPr>
        <w:t xml:space="preserve">2.6.6 </w:t>
      </w:r>
      <w:r>
        <w:rPr>
          <w:rFonts w:hint="eastAsia"/>
          <w:color w:val="000000" w:themeColor="text1"/>
          <w14:textFill>
            <w14:solidFill>
              <w14:schemeClr w14:val="tx1"/>
            </w14:solidFill>
          </w14:textFill>
        </w:rPr>
        <w:t>接口异常处理与容错设计</w:t>
      </w:r>
    </w:p>
    <w:p w14:paraId="0570796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超时与重试</w:t>
      </w:r>
      <w:r>
        <w:rPr>
          <w:rFonts w:hint="eastAsia"/>
          <w:color w:val="000000" w:themeColor="text1"/>
          <w14:textFill>
            <w14:solidFill>
              <w14:schemeClr w14:val="tx1"/>
            </w14:solidFill>
          </w14:textFill>
        </w:rPr>
        <w:t>：对外部接口设置合理超时与有限次重试；</w:t>
      </w:r>
    </w:p>
    <w:p w14:paraId="095B821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幂等</w:t>
      </w:r>
      <w:r>
        <w:rPr>
          <w:rFonts w:hint="eastAsia"/>
          <w:color w:val="000000" w:themeColor="text1"/>
          <w14:textFill>
            <w14:solidFill>
              <w14:schemeClr w14:val="tx1"/>
            </w14:solidFill>
          </w14:textFill>
        </w:rPr>
        <w:t>：支付、签约、核验等关键接口以业务唯一键保证幂等；</w:t>
      </w:r>
    </w:p>
    <w:p w14:paraId="2138AB9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降级</w:t>
      </w:r>
      <w:r>
        <w:rPr>
          <w:rFonts w:hint="eastAsia"/>
          <w:color w:val="000000" w:themeColor="text1"/>
          <w14:textFill>
            <w14:solidFill>
              <w14:schemeClr w14:val="tx1"/>
            </w14:solidFill>
          </w14:textFill>
        </w:rPr>
        <w:t>：外部依赖不可用时提供降级路径（如转人工、稍后重试）；</w:t>
      </w:r>
    </w:p>
    <w:p w14:paraId="21F2DD9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补偿</w:t>
      </w:r>
      <w:r>
        <w:rPr>
          <w:rFonts w:hint="eastAsia"/>
          <w:color w:val="000000" w:themeColor="text1"/>
          <w14:textFill>
            <w14:solidFill>
              <w14:schemeClr w14:val="tx1"/>
            </w14:solidFill>
          </w14:textFill>
        </w:rPr>
        <w:t>：支付回调丢失由定时查单/对账兜底；</w:t>
      </w:r>
    </w:p>
    <w:p w14:paraId="5150CB5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告警</w:t>
      </w:r>
      <w:r>
        <w:rPr>
          <w:rFonts w:hint="eastAsia"/>
          <w:color w:val="000000" w:themeColor="text1"/>
          <w14:textFill>
            <w14:solidFill>
              <w14:schemeClr w14:val="tx1"/>
            </w14:solidFill>
          </w14:textFill>
        </w:rPr>
        <w:t>：接口异常触发监控告警，便于快速处置。</w:t>
      </w:r>
    </w:p>
    <w:bookmarkEnd w:id="87"/>
    <w:p w14:paraId="1C008257">
      <w:pPr>
        <w:pStyle w:val="5"/>
        <w:rPr>
          <w:color w:val="000000" w:themeColor="text1"/>
          <w14:textFill>
            <w14:solidFill>
              <w14:schemeClr w14:val="tx1"/>
            </w14:solidFill>
          </w14:textFill>
        </w:rPr>
      </w:pPr>
      <w:bookmarkStart w:id="88" w:name="外部对接接口清单"/>
      <w:r>
        <w:rPr>
          <w:color w:val="000000" w:themeColor="text1"/>
          <w14:textFill>
            <w14:solidFill>
              <w14:schemeClr w14:val="tx1"/>
            </w14:solidFill>
          </w14:textFill>
        </w:rPr>
        <w:t xml:space="preserve">2.6.7 </w:t>
      </w:r>
      <w:r>
        <w:rPr>
          <w:rFonts w:hint="eastAsia"/>
          <w:color w:val="000000" w:themeColor="text1"/>
          <w14:textFill>
            <w14:solidFill>
              <w14:schemeClr w14:val="tx1"/>
            </w14:solidFill>
          </w14:textFill>
        </w:rPr>
        <w:t>外部对接接口清单</w:t>
      </w:r>
    </w:p>
    <w:p w14:paraId="3CCD4E3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系统对接的外部接口汇总如下，各接口均通过统一网关封装、经合规通道访问、全链路留痕：</w:t>
      </w:r>
    </w:p>
    <w:tbl>
      <w:tblPr>
        <w:tblStyle w:val="41"/>
        <w:tblW w:w="5000" w:type="pct"/>
        <w:tblInd w:w="0" w:type="dxa"/>
        <w:tblLayout w:type="fixed"/>
        <w:tblCellMar>
          <w:top w:w="0" w:type="dxa"/>
          <w:left w:w="108" w:type="dxa"/>
          <w:bottom w:w="0" w:type="dxa"/>
          <w:right w:w="108" w:type="dxa"/>
        </w:tblCellMar>
      </w:tblPr>
      <w:tblGrid>
        <w:gridCol w:w="2415"/>
        <w:gridCol w:w="1610"/>
        <w:gridCol w:w="2415"/>
        <w:gridCol w:w="2415"/>
      </w:tblGrid>
      <w:tr w14:paraId="4E09B75D">
        <w:trPr>
          <w:tblHeader/>
        </w:trPr>
        <w:tc>
          <w:p w14:paraId="6C8BC9C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接口对象</w:t>
            </w:r>
          </w:p>
        </w:tc>
        <w:tc>
          <w:p w14:paraId="1BBC8A3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用途</w:t>
            </w:r>
          </w:p>
        </w:tc>
        <w:tc>
          <w:p w14:paraId="7206D66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交互方式</w:t>
            </w:r>
          </w:p>
        </w:tc>
        <w:tc>
          <w:p w14:paraId="248DB4D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关键保障</w:t>
            </w:r>
          </w:p>
        </w:tc>
      </w:tr>
      <w:tr w14:paraId="1A62F3F8">
        <w:tc>
          <w:p w14:paraId="0DDABE9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郑好办用户体系</w:t>
            </w:r>
          </w:p>
        </w:tc>
        <w:tc>
          <w:p w14:paraId="2F49724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授权登录、用户信息获取</w:t>
            </w:r>
          </w:p>
        </w:tc>
        <w:tc>
          <w:p w14:paraId="16263F4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授权码/令牌交换</w:t>
            </w:r>
          </w:p>
        </w:tc>
        <w:tc>
          <w:p w14:paraId="62C1596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用户映射、首次建档</w:t>
            </w:r>
          </w:p>
        </w:tc>
      </w:tr>
      <w:tr w14:paraId="20203779">
        <w:tc>
          <w:p w14:paraId="02552F4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港区政务数据接口</w:t>
            </w:r>
          </w:p>
        </w:tc>
        <w:tc>
          <w:p w14:paraId="0061EB1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社保/婚姻/学历/住房/保租房核验</w:t>
            </w:r>
          </w:p>
        </w:tc>
        <w:tc>
          <w:p w14:paraId="0656751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请求-响应</w:t>
            </w:r>
          </w:p>
        </w:tc>
        <w:tc>
          <w:p w14:paraId="38A149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超时重试、降级、留痕</w:t>
            </w:r>
          </w:p>
        </w:tc>
      </w:tr>
      <w:tr w14:paraId="70A0185B">
        <w:tc>
          <w:p w14:paraId="7669FEB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港区支付接口</w:t>
            </w:r>
          </w:p>
        </w:tc>
        <w:tc>
          <w:p w14:paraId="6DAD70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下单、支付、查询、退款</w:t>
            </w:r>
          </w:p>
        </w:tc>
        <w:tc>
          <w:p w14:paraId="1AB0B78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下单+异步回调</w:t>
            </w:r>
          </w:p>
        </w:tc>
        <w:tc>
          <w:p w14:paraId="23543C9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幂等、对账、查单补偿</w:t>
            </w:r>
          </w:p>
        </w:tc>
      </w:tr>
      <w:tr w14:paraId="5F76DE01">
        <w:tc>
          <w:p w14:paraId="129B3D4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电子签章平台</w:t>
            </w:r>
          </w:p>
        </w:tc>
        <w:tc>
          <w:p w14:paraId="776E123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合同签署、结果回调、归档</w:t>
            </w:r>
          </w:p>
        </w:tc>
        <w:tc>
          <w:p w14:paraId="62BED5C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任务创建+回调</w:t>
            </w:r>
          </w:p>
        </w:tc>
        <w:tc>
          <w:p w14:paraId="7D7823C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模板管理、归档</w:t>
            </w:r>
          </w:p>
        </w:tc>
      </w:tr>
      <w:tr w14:paraId="387E8603">
        <w:tc>
          <w:p w14:paraId="53DFF1D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人脸识别</w:t>
            </w:r>
          </w:p>
        </w:tc>
        <w:tc>
          <w:p w14:paraId="76CA142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选房/核身实人认证</w:t>
            </w:r>
          </w:p>
        </w:tc>
        <w:tc>
          <w:p w14:paraId="460E183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请求-响应</w:t>
            </w:r>
          </w:p>
        </w:tc>
        <w:tc>
          <w:p w14:paraId="109EB48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活体检测、比对</w:t>
            </w:r>
          </w:p>
        </w:tc>
      </w:tr>
      <w:tr w14:paraId="74EC76D3">
        <w:tc>
          <w:p w14:paraId="04853E7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地图服务（腾讯地图）</w:t>
            </w:r>
          </w:p>
        </w:tc>
        <w:tc>
          <w:p w14:paraId="6A21901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地图找房点位、经纬度</w:t>
            </w:r>
          </w:p>
        </w:tc>
        <w:tc>
          <w:p w14:paraId="09E9C59F">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SDK/API</w:t>
            </w:r>
          </w:p>
        </w:tc>
        <w:tc>
          <w:p w14:paraId="7606AC4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点位维护</w:t>
            </w:r>
          </w:p>
        </w:tc>
      </w:tr>
      <w:tr w14:paraId="287BB328">
        <w:tc>
          <w:p w14:paraId="0CE5E62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开票/发票服务</w:t>
            </w:r>
          </w:p>
        </w:tc>
        <w:tc>
          <w:p w14:paraId="7843C1B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开票申请、发票获取</w:t>
            </w:r>
          </w:p>
        </w:tc>
        <w:tc>
          <w:p w14:paraId="21B3A1C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请求-响应</w:t>
            </w:r>
          </w:p>
        </w:tc>
        <w:tc>
          <w:p w14:paraId="4551240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状态回写</w:t>
            </w:r>
          </w:p>
        </w:tc>
      </w:tr>
      <w:tr w14:paraId="06C38E0E">
        <w:tc>
          <w:p w14:paraId="272F93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微信消息能力</w:t>
            </w:r>
          </w:p>
        </w:tc>
        <w:tc>
          <w:p w14:paraId="72BA78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模板消息推送</w:t>
            </w:r>
          </w:p>
        </w:tc>
        <w:tc>
          <w:p w14:paraId="0F4E566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请求-响应</w:t>
            </w:r>
          </w:p>
        </w:tc>
        <w:tc>
          <w:p w14:paraId="5C8A23A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异步发送</w:t>
            </w:r>
          </w:p>
        </w:tc>
      </w:tr>
      <w:bookmarkEnd w:id="88"/>
    </w:tbl>
    <w:p w14:paraId="30452DE9">
      <w:pPr>
        <w:pStyle w:val="5"/>
        <w:rPr>
          <w:color w:val="000000" w:themeColor="text1"/>
          <w14:textFill>
            <w14:solidFill>
              <w14:schemeClr w14:val="tx1"/>
            </w14:solidFill>
          </w14:textFill>
        </w:rPr>
      </w:pPr>
      <w:bookmarkStart w:id="89" w:name="接口安全与版本管理"/>
      <w:r>
        <w:rPr>
          <w:color w:val="000000" w:themeColor="text1"/>
          <w14:textFill>
            <w14:solidFill>
              <w14:schemeClr w14:val="tx1"/>
            </w14:solidFill>
          </w14:textFill>
        </w:rPr>
        <w:t xml:space="preserve">2.6.8 </w:t>
      </w:r>
      <w:r>
        <w:rPr>
          <w:rFonts w:hint="eastAsia"/>
          <w:color w:val="000000" w:themeColor="text1"/>
          <w14:textFill>
            <w14:solidFill>
              <w14:schemeClr w14:val="tx1"/>
            </w14:solidFill>
          </w14:textFill>
        </w:rPr>
        <w:t>接口安全与版本管理</w:t>
      </w:r>
    </w:p>
    <w:p w14:paraId="732693C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所有接口统一采用</w:t>
      </w:r>
      <w:r>
        <w:rPr>
          <w:color w:val="000000" w:themeColor="text1"/>
          <w14:textFill>
            <w14:solidFill>
              <w14:schemeClr w14:val="tx1"/>
            </w14:solidFill>
          </w14:textFill>
        </w:rPr>
        <w:t xml:space="preserve"> HTTPS </w:t>
      </w:r>
      <w:r>
        <w:rPr>
          <w:rFonts w:hint="eastAsia"/>
          <w:color w:val="000000" w:themeColor="text1"/>
          <w14:textFill>
            <w14:solidFill>
              <w14:schemeClr w14:val="tx1"/>
            </w14:solidFill>
          </w14:textFill>
        </w:rPr>
        <w:t>传输，令牌鉴权，敏感字段脱敏；对外提供的接口按版本管理，向下兼容，变更走变更管理流程；接口文档由</w:t>
      </w:r>
      <w:r>
        <w:rPr>
          <w:color w:val="000000" w:themeColor="text1"/>
          <w14:textFill>
            <w14:solidFill>
              <w14:schemeClr w14:val="tx1"/>
            </w14:solidFill>
          </w14:textFill>
        </w:rPr>
        <w:t xml:space="preserve"> SpringDoc </w:t>
      </w:r>
      <w:r>
        <w:rPr>
          <w:rFonts w:hint="eastAsia"/>
          <w:color w:val="000000" w:themeColor="text1"/>
          <w14:textFill>
            <w14:solidFill>
              <w14:schemeClr w14:val="tx1"/>
            </w14:solidFill>
          </w14:textFill>
        </w:rPr>
        <w:t>自动生成并随系统交付，便于甲方与第三方联调对接。接口调用记录纳入审计日志，支持按调用方、时间、结果检索，满足可追溯与安全审计要求。</w:t>
      </w:r>
    </w:p>
    <w:p w14:paraId="680F63A5">
      <w:pPr>
        <w:rPr>
          <w:color w:val="000000" w:themeColor="text1"/>
          <w14:textFill>
            <w14:solidFill>
              <w14:schemeClr w14:val="tx1"/>
            </w14:solidFill>
          </w14:textFill>
        </w:rPr>
      </w:pPr>
      <w:r>
        <w:rPr>
          <w:color w:val="000000" w:themeColor="text1"/>
          <w14:textFill>
            <w14:solidFill>
              <w14:schemeClr w14:val="tx1"/>
            </w14:solidFill>
          </w14:textFill>
        </w:rPr>
        <w:br w:type="page"/>
      </w:r>
    </w:p>
    <w:bookmarkEnd w:id="81"/>
    <w:bookmarkEnd w:id="89"/>
    <w:p w14:paraId="3D63C81E">
      <w:pPr>
        <w:pStyle w:val="4"/>
        <w:rPr>
          <w:color w:val="000000" w:themeColor="text1"/>
          <w14:textFill>
            <w14:solidFill>
              <w14:schemeClr w14:val="tx1"/>
            </w14:solidFill>
          </w14:textFill>
        </w:rPr>
      </w:pPr>
      <w:bookmarkStart w:id="90" w:name="系统数据设计"/>
      <w:r>
        <w:rPr>
          <w:color w:val="000000" w:themeColor="text1"/>
          <w14:textFill>
            <w14:solidFill>
              <w14:schemeClr w14:val="tx1"/>
            </w14:solidFill>
          </w14:textFill>
        </w:rPr>
        <w:t xml:space="preserve">2.7 </w:t>
      </w:r>
      <w:r>
        <w:rPr>
          <w:rFonts w:hint="eastAsia"/>
          <w:color w:val="000000" w:themeColor="text1"/>
          <w14:textFill>
            <w14:solidFill>
              <w14:schemeClr w14:val="tx1"/>
            </w14:solidFill>
          </w14:textFill>
        </w:rPr>
        <w:t>系统数据设计</w:t>
      </w:r>
    </w:p>
    <w:p w14:paraId="1A4A1211">
      <w:pPr>
        <w:pStyle w:val="5"/>
        <w:rPr>
          <w:color w:val="000000" w:themeColor="text1"/>
          <w14:textFill>
            <w14:solidFill>
              <w14:schemeClr w14:val="tx1"/>
            </w14:solidFill>
          </w14:textFill>
        </w:rPr>
      </w:pPr>
      <w:bookmarkStart w:id="91" w:name="数据实体总体设计"/>
      <w:r>
        <w:rPr>
          <w:color w:val="000000" w:themeColor="text1"/>
          <w14:textFill>
            <w14:solidFill>
              <w14:schemeClr w14:val="tx1"/>
            </w14:solidFill>
          </w14:textFill>
        </w:rPr>
        <w:t xml:space="preserve">2.7.1 </w:t>
      </w:r>
      <w:r>
        <w:rPr>
          <w:rFonts w:hint="eastAsia"/>
          <w:color w:val="000000" w:themeColor="text1"/>
          <w14:textFill>
            <w14:solidFill>
              <w14:schemeClr w14:val="tx1"/>
            </w14:solidFill>
          </w14:textFill>
        </w:rPr>
        <w:t>数据实体总体设计</w:t>
      </w:r>
    </w:p>
    <w:p w14:paraId="33182FA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系统数据围绕”房源—租户—合同—资金—运营”五大主题组织，主要实体包括：</w:t>
      </w:r>
    </w:p>
    <w:p w14:paraId="702F9A9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房源主题</w:t>
      </w:r>
      <w:r>
        <w:rPr>
          <w:rFonts w:hint="eastAsia"/>
          <w:color w:val="000000" w:themeColor="text1"/>
          <w14:textFill>
            <w14:solidFill>
              <w14:schemeClr w14:val="tx1"/>
            </w14:solidFill>
          </w14:textFill>
        </w:rPr>
        <w:t>：项目、楼栋、单元、房源、户型、设施、地图点位、VR资源；</w:t>
      </w:r>
    </w:p>
    <w:p w14:paraId="03EDB68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租户主题</w:t>
      </w:r>
      <w:r>
        <w:rPr>
          <w:rFonts w:hint="eastAsia"/>
          <w:color w:val="000000" w:themeColor="text1"/>
          <w14:textFill>
            <w14:solidFill>
              <w14:schemeClr w14:val="tx1"/>
            </w14:solidFill>
          </w14:textFill>
        </w:rPr>
        <w:t>：用户（统一用户主表）、资格核验记录、申诉记录、企业客户；</w:t>
      </w:r>
    </w:p>
    <w:p w14:paraId="3DC6CD6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合同主题</w:t>
      </w:r>
      <w:r>
        <w:rPr>
          <w:rFonts w:hint="eastAsia"/>
          <w:color w:val="000000" w:themeColor="text1"/>
          <w14:textFill>
            <w14:solidFill>
              <w14:schemeClr w14:val="tx1"/>
            </w14:solidFill>
          </w14:textFill>
        </w:rPr>
        <w:t>：合同、合同签署记录、续租记录、退租记录、企业合同备案；</w:t>
      </w:r>
    </w:p>
    <w:p w14:paraId="1F63FB2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资金主题</w:t>
      </w:r>
      <w:r>
        <w:rPr>
          <w:rFonts w:hint="eastAsia"/>
          <w:color w:val="000000" w:themeColor="text1"/>
          <w14:textFill>
            <w14:solidFill>
              <w14:schemeClr w14:val="tx1"/>
            </w14:solidFill>
          </w14:textFill>
        </w:rPr>
        <w:t>：账单、账期、支付订单、退款记录、优惠券及核销记录、对账记录、开票记录；</w:t>
      </w:r>
    </w:p>
    <w:p w14:paraId="0F81E2C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运营主题</w:t>
      </w:r>
      <w:r>
        <w:rPr>
          <w:rFonts w:hint="eastAsia"/>
          <w:color w:val="000000" w:themeColor="text1"/>
          <w14:textFill>
            <w14:solidFill>
              <w14:schemeClr w14:val="tx1"/>
            </w14:solidFill>
          </w14:textFill>
        </w:rPr>
        <w:t>：消息、公告、活动、banner、工单（投诉/保洁/搬家/报修）、操作日志。</w:t>
      </w:r>
    </w:p>
    <w:p w14:paraId="4F96B5A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各实体之间以清晰的主外键关系关联，用户以统一用户主表为准（历史上的租户表已废弃）。</w:t>
      </w:r>
    </w:p>
    <w:p w14:paraId="09566C00">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8853170"/>
            <wp:effectExtent l="0" t="0" r="0" b="0"/>
            <wp:docPr id="135" name="Picture" descr="图2-7 核心数据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图2-7 核心数据实体关系图"/>
                    <pic:cNvPicPr>
                      <a:picLocks noChangeAspect="1" noChangeArrowheads="1"/>
                    </pic:cNvPicPr>
                  </pic:nvPicPr>
                  <pic:blipFill>
                    <a:blip r:embed="rId17"/>
                    <a:stretch>
                      <a:fillRect/>
                    </a:stretch>
                  </pic:blipFill>
                  <pic:spPr>
                    <a:xfrm>
                      <a:off x="0" y="0"/>
                      <a:ext cx="5334000" cy="8853415"/>
                    </a:xfrm>
                    <a:prstGeom prst="rect">
                      <a:avLst/>
                    </a:prstGeom>
                    <a:noFill/>
                    <a:ln w="9525">
                      <a:noFill/>
                    </a:ln>
                  </pic:spPr>
                </pic:pic>
              </a:graphicData>
            </a:graphic>
          </wp:inline>
        </w:drawing>
      </w:r>
    </w:p>
    <w:p w14:paraId="1ACD5AAB">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图2-7</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核心数据实体关系图</w:t>
      </w:r>
    </w:p>
    <w:p w14:paraId="31FD8E3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图2-7</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核心数据实体关系图</w:t>
      </w:r>
    </w:p>
    <w:bookmarkEnd w:id="91"/>
    <w:p w14:paraId="530A4167">
      <w:pPr>
        <w:pStyle w:val="5"/>
        <w:rPr>
          <w:color w:val="000000" w:themeColor="text1"/>
          <w14:textFill>
            <w14:solidFill>
              <w14:schemeClr w14:val="tx1"/>
            </w14:solidFill>
          </w14:textFill>
        </w:rPr>
      </w:pPr>
      <w:bookmarkStart w:id="92" w:name="核心实体字段设计示例"/>
      <w:r>
        <w:rPr>
          <w:color w:val="000000" w:themeColor="text1"/>
          <w14:textFill>
            <w14:solidFill>
              <w14:schemeClr w14:val="tx1"/>
            </w14:solidFill>
          </w14:textFill>
        </w:rPr>
        <w:t xml:space="preserve">2.7.2 </w:t>
      </w:r>
      <w:r>
        <w:rPr>
          <w:rFonts w:hint="eastAsia"/>
          <w:color w:val="000000" w:themeColor="text1"/>
          <w14:textFill>
            <w14:solidFill>
              <w14:schemeClr w14:val="tx1"/>
            </w14:solidFill>
          </w14:textFill>
        </w:rPr>
        <w:t>核心实体字段设计（示例）</w:t>
      </w:r>
    </w:p>
    <w:p w14:paraId="1DA0A1BB">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以合同、账单、退租三个关键实体为例说明字段设计要点：</w:t>
      </w:r>
    </w:p>
    <w:p w14:paraId="69477B6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合同实体（要点）</w:t>
      </w:r>
      <w:r>
        <w:rPr>
          <w:rFonts w:hint="eastAsia"/>
          <w:color w:val="000000" w:themeColor="text1"/>
          <w14:textFill>
            <w14:solidFill>
              <w14:schemeClr w14:val="tx1"/>
            </w14:solidFill>
          </w14:textFill>
        </w:rPr>
        <w:t>：合同编号、租户、房源、业态类型、合同状态、签署状态、起止日期、租金、押金、签署时间、归档路径等；合同编号采用带业务含义的编码规则，状态字段由合同状态机驱动。</w:t>
      </w:r>
    </w:p>
    <w:p w14:paraId="26920AC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账单实体（要点）</w:t>
      </w:r>
      <w:r>
        <w:rPr>
          <w:rFonts w:hint="eastAsia"/>
          <w:color w:val="000000" w:themeColor="text1"/>
          <w14:textFill>
            <w14:solidFill>
              <w14:schemeClr w14:val="tx1"/>
            </w14:solidFill>
          </w14:textFill>
        </w:rPr>
        <w:t>：账单编号、合同、账单类型（押金/租金）、所属账期起止、应缴金额、优惠金额、实缴金额、支付订单、缴费状态、缴费时间等；账期起止用于账期制管理。</w:t>
      </w:r>
    </w:p>
    <w:p w14:paraId="4CA5893D">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退租实体（要点）</w:t>
      </w:r>
      <w:r>
        <w:rPr>
          <w:rFonts w:hint="eastAsia"/>
          <w:color w:val="000000" w:themeColor="text1"/>
          <w14:textFill>
            <w14:solidFill>
              <w14:schemeClr w14:val="tx1"/>
            </w14:solidFill>
          </w14:textFill>
        </w:rPr>
        <w:t>：退租申请、合同、计划退租日期、实际退租日期、应退押金、应退租金、退款金额（一次核定锁定）、退款状态、签字确认、房源释放状态等；退款金额以实际退租日期按日精算并持久化。</w:t>
      </w:r>
    </w:p>
    <w:p w14:paraId="320FE96E">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核心实体字段设计明细表</w:t>
      </w:r>
      <w:r>
        <w:rPr>
          <w:rFonts w:hint="eastAsia"/>
          <w:color w:val="000000" w:themeColor="text1"/>
          <w14:textFill>
            <w14:solidFill>
              <w14:schemeClr w14:val="tx1"/>
            </w14:solidFill>
          </w14:textFill>
        </w:rPr>
        <w:t>（节选关键字段，实际以数据库设计文档为准）：</w:t>
      </w:r>
    </w:p>
    <w:tbl>
      <w:tblPr>
        <w:tblStyle w:val="41"/>
        <w:tblW w:w="5000" w:type="pct"/>
        <w:tblInd w:w="0" w:type="dxa"/>
        <w:tblLayout w:type="fixed"/>
        <w:tblCellMar>
          <w:top w:w="0" w:type="dxa"/>
          <w:left w:w="108" w:type="dxa"/>
          <w:bottom w:w="0" w:type="dxa"/>
          <w:right w:w="108" w:type="dxa"/>
        </w:tblCellMar>
      </w:tblPr>
      <w:tblGrid>
        <w:gridCol w:w="1476"/>
        <w:gridCol w:w="2657"/>
        <w:gridCol w:w="2952"/>
        <w:gridCol w:w="1771"/>
      </w:tblGrid>
      <w:tr w14:paraId="30F87034">
        <w:trPr>
          <w:tblHeader/>
        </w:trPr>
        <w:tc>
          <w:p w14:paraId="2035DA3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实体</w:t>
            </w:r>
          </w:p>
        </w:tc>
        <w:tc>
          <w:p w14:paraId="1B0523C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关键字段</w:t>
            </w:r>
          </w:p>
        </w:tc>
        <w:tc>
          <w:p w14:paraId="7577F22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类型/约束</w:t>
            </w:r>
          </w:p>
        </w:tc>
        <w:tc>
          <w:p w14:paraId="7E172ED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43283060">
        <w:tc>
          <w:p w14:paraId="0E9EA87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w:t>
            </w:r>
          </w:p>
        </w:tc>
        <w:tc>
          <w:p w14:paraId="452611D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用户ID、郑好办标识、姓名、证件号、手机号、人才层次、状态</w:t>
            </w:r>
          </w:p>
        </w:tc>
        <w:tc>
          <w:p w14:paraId="5123DC9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主键/唯一/脱敏</w:t>
            </w:r>
          </w:p>
        </w:tc>
        <w:tc>
          <w:p w14:paraId="216F9CA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统一用户主表，证件号加密存储</w:t>
            </w:r>
          </w:p>
        </w:tc>
      </w:tr>
      <w:tr w14:paraId="68357F89">
        <w:tc>
          <w:p w14:paraId="2F15A95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w:t>
            </w:r>
          </w:p>
        </w:tc>
        <w:tc>
          <w:p w14:paraId="2FE92AD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房源ID、项目/楼栋/单元、房号、户型、面积、租金基准、状态</w:t>
            </w:r>
          </w:p>
        </w:tc>
        <w:tc>
          <w:p w14:paraId="0D268DF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主键/外键/枚举</w:t>
            </w:r>
          </w:p>
        </w:tc>
        <w:tc>
          <w:p w14:paraId="2902BC2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状态由状态机驱动</w:t>
            </w:r>
          </w:p>
        </w:tc>
      </w:tr>
      <w:tr w14:paraId="1737068C">
        <w:tc>
          <w:p w14:paraId="3B93F86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w:t>
            </w:r>
          </w:p>
        </w:tc>
        <w:tc>
          <w:p w14:paraId="4427A5F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合同编号、用户、房源、业态、状态、签署状态、起止日期、租金、押金、归档路径</w:t>
            </w:r>
          </w:p>
        </w:tc>
        <w:tc>
          <w:p w14:paraId="170BFCD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主键/唯一编号</w:t>
            </w:r>
          </w:p>
        </w:tc>
        <w:tc>
          <w:p w14:paraId="2341B1C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编号含业务语义</w:t>
            </w:r>
          </w:p>
        </w:tc>
      </w:tr>
      <w:tr w14:paraId="756CDDE9">
        <w:tc>
          <w:p w14:paraId="235225A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w:t>
            </w:r>
          </w:p>
        </w:tc>
        <w:tc>
          <w:p w14:paraId="71A7E63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账单编号、合同、类型、账期起止、应缴、优惠、实缴、支付订单、状态</w:t>
            </w:r>
          </w:p>
        </w:tc>
        <w:tc>
          <w:p w14:paraId="7F1F09E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主键/外键</w:t>
            </w:r>
          </w:p>
        </w:tc>
        <w:tc>
          <w:p w14:paraId="22A1FB9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账期制管理</w:t>
            </w:r>
          </w:p>
        </w:tc>
      </w:tr>
      <w:tr w14:paraId="4B49F0BB">
        <w:tc>
          <w:p w14:paraId="59BE7AF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支付订单</w:t>
            </w:r>
          </w:p>
        </w:tc>
        <w:tc>
          <w:p w14:paraId="4FFB3AE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订单号、账单、业务唯一键、金额、渠道、状态、回调时间</w:t>
            </w:r>
          </w:p>
        </w:tc>
        <w:tc>
          <w:p w14:paraId="5471D36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主键/唯一键</w:t>
            </w:r>
          </w:p>
        </w:tc>
        <w:tc>
          <w:p w14:paraId="115D10E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幂等控制核心</w:t>
            </w:r>
          </w:p>
        </w:tc>
      </w:tr>
      <w:tr w14:paraId="4690CF66">
        <w:tc>
          <w:p w14:paraId="2260F63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退租</w:t>
            </w:r>
          </w:p>
        </w:tc>
        <w:tc>
          <w:p w14:paraId="2B3DEDC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退租ID、合同、计划/实际退租日期、应退押金/租金、退款金额、退款状态</w:t>
            </w:r>
          </w:p>
        </w:tc>
        <w:tc>
          <w:p w14:paraId="7570C28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主键/外键</w:t>
            </w:r>
          </w:p>
        </w:tc>
        <w:tc>
          <w:p w14:paraId="6906587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退款一次核定锁定</w:t>
            </w:r>
          </w:p>
        </w:tc>
      </w:tr>
      <w:tr w14:paraId="250CF9F1">
        <w:tc>
          <w:p w14:paraId="07B6C58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核验记录</w:t>
            </w:r>
          </w:p>
        </w:tc>
        <w:tc>
          <w:p w14:paraId="5861C4B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记录ID、用户、核验类型、结果、数据来源、核验时间</w:t>
            </w:r>
          </w:p>
        </w:tc>
        <w:tc>
          <w:p w14:paraId="3AAFFB2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主键/外键</w:t>
            </w:r>
          </w:p>
        </w:tc>
        <w:tc>
          <w:p w14:paraId="45856A2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全程留痕</w:t>
            </w:r>
          </w:p>
        </w:tc>
      </w:tr>
      <w:tr w14:paraId="3E043A24">
        <w:tc>
          <w:p w14:paraId="2E0B442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优惠券</w:t>
            </w:r>
          </w:p>
        </w:tc>
        <w:tc>
          <w:p w14:paraId="11EC45D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券ID、模板、用户、面额/折扣、适用范围、有效期、使用状态</w:t>
            </w:r>
          </w:p>
        </w:tc>
        <w:tc>
          <w:p w14:paraId="59EF6DA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主键/外键</w:t>
            </w:r>
          </w:p>
        </w:tc>
        <w:tc>
          <w:p w14:paraId="182793B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一券一用</w:t>
            </w:r>
          </w:p>
        </w:tc>
      </w:tr>
    </w:tbl>
    <w:p w14:paraId="4123D01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数据完整性与一致性保障</w:t>
      </w:r>
      <w:r>
        <w:rPr>
          <w:rFonts w:hint="eastAsia"/>
          <w:color w:val="000000" w:themeColor="text1"/>
          <w14:textFill>
            <w14:solidFill>
              <w14:schemeClr w14:val="tx1"/>
            </w14:solidFill>
          </w14:textFill>
        </w:rPr>
        <w:t>：核心业务表间通过外键关系与唯一约束保障引用完整性；资金相关操作（缴费入账、退款）以数据库事务保证原子性；跨表状态联动（合同↔房源、账单↔支付）通过服务层事务与状态机规则保证一致，杜绝中间态脏数据。</w:t>
      </w:r>
    </w:p>
    <w:bookmarkEnd w:id="92"/>
    <w:p w14:paraId="624A7DB2">
      <w:pPr>
        <w:pStyle w:val="5"/>
        <w:rPr>
          <w:color w:val="000000" w:themeColor="text1"/>
          <w14:textFill>
            <w14:solidFill>
              <w14:schemeClr w14:val="tx1"/>
            </w14:solidFill>
          </w14:textFill>
        </w:rPr>
      </w:pPr>
      <w:bookmarkStart w:id="93" w:name="数据设计规范"/>
      <w:r>
        <w:rPr>
          <w:color w:val="000000" w:themeColor="text1"/>
          <w14:textFill>
            <w14:solidFill>
              <w14:schemeClr w14:val="tx1"/>
            </w14:solidFill>
          </w14:textFill>
        </w:rPr>
        <w:t xml:space="preserve">2.7.3 </w:t>
      </w:r>
      <w:r>
        <w:rPr>
          <w:rFonts w:hint="eastAsia"/>
          <w:color w:val="000000" w:themeColor="text1"/>
          <w14:textFill>
            <w14:solidFill>
              <w14:schemeClr w14:val="tx1"/>
            </w14:solidFill>
          </w14:textFill>
        </w:rPr>
        <w:t>数据设计规范</w:t>
      </w:r>
    </w:p>
    <w:p w14:paraId="249ABD0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统一命名规范（表名、字段名语义清晰）；</w:t>
      </w:r>
    </w:p>
    <w:p w14:paraId="033F50C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统一编码字符集，避免乱码；</w:t>
      </w:r>
    </w:p>
    <w:p w14:paraId="35CBBC42">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合理索引（唯一索引防重、查询索引提效）；</w:t>
      </w:r>
    </w:p>
    <w:p w14:paraId="5062BD4B">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逻辑删除统一（全局逻辑删除字段），避免误删；</w:t>
      </w:r>
    </w:p>
    <w:p w14:paraId="0CE5CAA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金额字段统一精度，避免精度丢失；</w:t>
      </w:r>
    </w:p>
    <w:p w14:paraId="6AE4BC7D">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时间字段统一类型与时区处理。</w:t>
      </w:r>
    </w:p>
    <w:bookmarkEnd w:id="93"/>
    <w:p w14:paraId="0A238493">
      <w:pPr>
        <w:pStyle w:val="5"/>
        <w:rPr>
          <w:color w:val="000000" w:themeColor="text1"/>
          <w14:textFill>
            <w14:solidFill>
              <w14:schemeClr w14:val="tx1"/>
            </w14:solidFill>
          </w14:textFill>
        </w:rPr>
      </w:pPr>
      <w:bookmarkStart w:id="94" w:name="关键编码规则设计"/>
      <w:r>
        <w:rPr>
          <w:color w:val="000000" w:themeColor="text1"/>
          <w14:textFill>
            <w14:solidFill>
              <w14:schemeClr w14:val="tx1"/>
            </w14:solidFill>
          </w14:textFill>
        </w:rPr>
        <w:t xml:space="preserve">2.7.4 </w:t>
      </w:r>
      <w:r>
        <w:rPr>
          <w:rFonts w:hint="eastAsia"/>
          <w:color w:val="000000" w:themeColor="text1"/>
          <w14:textFill>
            <w14:solidFill>
              <w14:schemeClr w14:val="tx1"/>
            </w14:solidFill>
          </w14:textFill>
        </w:rPr>
        <w:t>关键编码规则设计</w:t>
      </w:r>
    </w:p>
    <w:p w14:paraId="7821938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对合同编号、账单编号、订单编号、工单编号等采用”业务前缀</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序列”的编码规则，保证全局唯一、可读、可追溯，便于对账与检索。</w:t>
      </w:r>
    </w:p>
    <w:bookmarkEnd w:id="94"/>
    <w:p w14:paraId="3E0DA64B">
      <w:pPr>
        <w:pStyle w:val="5"/>
        <w:rPr>
          <w:color w:val="000000" w:themeColor="text1"/>
          <w14:textFill>
            <w14:solidFill>
              <w14:schemeClr w14:val="tx1"/>
            </w14:solidFill>
          </w14:textFill>
        </w:rPr>
      </w:pPr>
      <w:bookmarkStart w:id="95" w:name="数据量估算与增长预测"/>
      <w:r>
        <w:rPr>
          <w:color w:val="000000" w:themeColor="text1"/>
          <w14:textFill>
            <w14:solidFill>
              <w14:schemeClr w14:val="tx1"/>
            </w14:solidFill>
          </w14:textFill>
        </w:rPr>
        <w:t xml:space="preserve">2.7.5 </w:t>
      </w:r>
      <w:r>
        <w:rPr>
          <w:rFonts w:hint="eastAsia"/>
          <w:color w:val="000000" w:themeColor="text1"/>
          <w14:textFill>
            <w14:solidFill>
              <w14:schemeClr w14:val="tx1"/>
            </w14:solidFill>
          </w14:textFill>
        </w:rPr>
        <w:t>数据量估算与增长预测</w:t>
      </w:r>
    </w:p>
    <w:p w14:paraId="0CE835E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结合三类业态的房源规模、租户规模与业务频次，对房源、合同、账单、支付、日志等主要数据表进行数据量估算与年度增长预测，据此制定索引、分区（如日志按时间）、归档与备份策略，保证系统在数据持续增长下的查询性能与存储可控（详见第五章数据备份与运维）。</w:t>
      </w:r>
    </w:p>
    <w:bookmarkEnd w:id="95"/>
    <w:p w14:paraId="08408BA6">
      <w:pPr>
        <w:pStyle w:val="5"/>
        <w:rPr>
          <w:color w:val="000000" w:themeColor="text1"/>
          <w14:textFill>
            <w14:solidFill>
              <w14:schemeClr w14:val="tx1"/>
            </w14:solidFill>
          </w14:textFill>
        </w:rPr>
      </w:pPr>
      <w:bookmarkStart w:id="96" w:name="数据库核心表清单"/>
      <w:r>
        <w:rPr>
          <w:color w:val="000000" w:themeColor="text1"/>
          <w14:textFill>
            <w14:solidFill>
              <w14:schemeClr w14:val="tx1"/>
            </w14:solidFill>
          </w14:textFill>
        </w:rPr>
        <w:t xml:space="preserve">2.7.6 </w:t>
      </w:r>
      <w:r>
        <w:rPr>
          <w:rFonts w:hint="eastAsia"/>
          <w:color w:val="000000" w:themeColor="text1"/>
          <w14:textFill>
            <w14:solidFill>
              <w14:schemeClr w14:val="tx1"/>
            </w14:solidFill>
          </w14:textFill>
        </w:rPr>
        <w:t>数据库核心表清单</w:t>
      </w:r>
    </w:p>
    <w:p w14:paraId="073A0FC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系统数据库按五大主题组织，核心表清单如下（节选，实际以数据库设计文档为准）：</w:t>
      </w:r>
    </w:p>
    <w:tbl>
      <w:tblPr>
        <w:tblStyle w:val="41"/>
        <w:tblW w:w="5000" w:type="pct"/>
        <w:tblInd w:w="0" w:type="dxa"/>
        <w:tblLayout w:type="fixed"/>
        <w:tblCellMar>
          <w:top w:w="0" w:type="dxa"/>
          <w:left w:w="108" w:type="dxa"/>
          <w:bottom w:w="0" w:type="dxa"/>
          <w:right w:w="108" w:type="dxa"/>
        </w:tblCellMar>
      </w:tblPr>
      <w:tblGrid>
        <w:gridCol w:w="2108"/>
        <w:gridCol w:w="2952"/>
        <w:gridCol w:w="3796"/>
      </w:tblGrid>
      <w:tr w14:paraId="4426F209">
        <w:trPr>
          <w:tblHeader/>
        </w:trPr>
        <w:tc>
          <w:p w14:paraId="5928911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主题</w:t>
            </w:r>
          </w:p>
        </w:tc>
        <w:tc>
          <w:p w14:paraId="1856980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核心表</w:t>
            </w:r>
          </w:p>
        </w:tc>
        <w:tc>
          <w:p w14:paraId="33097FE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主要用途</w:t>
            </w:r>
          </w:p>
        </w:tc>
      </w:tr>
      <w:tr w14:paraId="6EED4FC6">
        <w:tc>
          <w:p w14:paraId="78C9E28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w:t>
            </w:r>
          </w:p>
        </w:tc>
        <w:tc>
          <w:p w14:paraId="01E7AB9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项目表、楼栋表、单元表、房源表、户型表、地图点位表、VR资源表</w:t>
            </w:r>
          </w:p>
        </w:tc>
        <w:tc>
          <w:p w14:paraId="706E082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房源层级与展示资源</w:t>
            </w:r>
          </w:p>
        </w:tc>
      </w:tr>
      <w:tr w14:paraId="2E68A89E">
        <w:tc>
          <w:p w14:paraId="5F82B2C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租户</w:t>
            </w:r>
          </w:p>
        </w:tc>
        <w:tc>
          <w:p w14:paraId="56A0AAF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用户表、资格核验记录表、申诉记录表、企业客户表</w:t>
            </w:r>
          </w:p>
        </w:tc>
        <w:tc>
          <w:p w14:paraId="4D9A94A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用户与资格管理</w:t>
            </w:r>
          </w:p>
        </w:tc>
      </w:tr>
      <w:tr w14:paraId="67DFBD3C">
        <w:tc>
          <w:p w14:paraId="7287C91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w:t>
            </w:r>
          </w:p>
        </w:tc>
        <w:tc>
          <w:p w14:paraId="612D157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合同表、合同签署记录表、续租记录表、退租记录表、企业合同备案表</w:t>
            </w:r>
          </w:p>
        </w:tc>
        <w:tc>
          <w:p w14:paraId="541C026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合同全生命周期</w:t>
            </w:r>
          </w:p>
        </w:tc>
      </w:tr>
      <w:tr w14:paraId="189443CA">
        <w:tc>
          <w:p w14:paraId="6B0D4B0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资金</w:t>
            </w:r>
          </w:p>
        </w:tc>
        <w:tc>
          <w:p w14:paraId="002715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账单表、账期表、支付订单表、退款记录表、优惠券表、优惠券核销表、对账记录表、开票记录表</w:t>
            </w:r>
          </w:p>
        </w:tc>
        <w:tc>
          <w:p w14:paraId="3F0BA2A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资金收缴与票据</w:t>
            </w:r>
          </w:p>
        </w:tc>
      </w:tr>
      <w:tr w14:paraId="7DA8DBBC">
        <w:tc>
          <w:p w14:paraId="3F34BBA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运营</w:t>
            </w:r>
          </w:p>
        </w:tc>
        <w:tc>
          <w:p w14:paraId="15C34CF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消息表、公告表、活动表、banner表、工单表、操作日志表、登录日志表</w:t>
            </w:r>
          </w:p>
        </w:tc>
        <w:tc>
          <w:p w14:paraId="7C797D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运营与审计</w:t>
            </w:r>
          </w:p>
        </w:tc>
      </w:tr>
    </w:tbl>
    <w:p w14:paraId="535FAF4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各表以统一命名规范、统一字符集、统一逻辑删除字段设计，主外键关系清晰；用户以统一用户主表为准，历史租户表已废弃，避免多套用户数据不一致。</w:t>
      </w:r>
    </w:p>
    <w:bookmarkEnd w:id="96"/>
    <w:p w14:paraId="0F2D4553">
      <w:pPr>
        <w:pStyle w:val="5"/>
        <w:rPr>
          <w:color w:val="000000" w:themeColor="text1"/>
          <w14:textFill>
            <w14:solidFill>
              <w14:schemeClr w14:val="tx1"/>
            </w14:solidFill>
          </w14:textFill>
        </w:rPr>
      </w:pPr>
      <w:bookmarkStart w:id="97" w:name="索引与性能设计"/>
      <w:r>
        <w:rPr>
          <w:color w:val="000000" w:themeColor="text1"/>
          <w14:textFill>
            <w14:solidFill>
              <w14:schemeClr w14:val="tx1"/>
            </w14:solidFill>
          </w14:textFill>
        </w:rPr>
        <w:t xml:space="preserve">2.7.7 </w:t>
      </w:r>
      <w:r>
        <w:rPr>
          <w:rFonts w:hint="eastAsia"/>
          <w:color w:val="000000" w:themeColor="text1"/>
          <w14:textFill>
            <w14:solidFill>
              <w14:schemeClr w14:val="tx1"/>
            </w14:solidFill>
          </w14:textFill>
        </w:rPr>
        <w:t>索引与性能设计</w:t>
      </w:r>
    </w:p>
    <w:p w14:paraId="7C60441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结合查询场景设计索引，兼顾查询效率与写入成本：</w:t>
      </w:r>
    </w:p>
    <w:p w14:paraId="50D369F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唯一索引防重</w:t>
      </w:r>
      <w:r>
        <w:rPr>
          <w:rFonts w:hint="eastAsia"/>
          <w:color w:val="000000" w:themeColor="text1"/>
          <w14:textFill>
            <w14:solidFill>
              <w14:schemeClr w14:val="tx1"/>
            </w14:solidFill>
          </w14:textFill>
        </w:rPr>
        <w:t>：合同编号、账单编号、订单业务唯一键等建唯一索引，从数据库层防止重复；</w:t>
      </w:r>
    </w:p>
    <w:p w14:paraId="109640C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查询索引提效</w:t>
      </w:r>
      <w:r>
        <w:rPr>
          <w:rFonts w:hint="eastAsia"/>
          <w:color w:val="000000" w:themeColor="text1"/>
          <w14:textFill>
            <w14:solidFill>
              <w14:schemeClr w14:val="tx1"/>
            </w14:solidFill>
          </w14:textFill>
        </w:rPr>
        <w:t>：高频查询字段（用户、房源、合同、账期、状态）建组合索引，支撑列表与筛选；</w:t>
      </w:r>
    </w:p>
    <w:p w14:paraId="3793E6D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分区与归档</w:t>
      </w:r>
      <w:r>
        <w:rPr>
          <w:rFonts w:hint="eastAsia"/>
          <w:color w:val="000000" w:themeColor="text1"/>
          <w14:textFill>
            <w14:solidFill>
              <w14:schemeClr w14:val="tx1"/>
            </w14:solidFill>
          </w14:textFill>
        </w:rPr>
        <w:t>：日志类大表按时间分区，历史数据定期归档，控制单表体量；</w:t>
      </w:r>
    </w:p>
    <w:p w14:paraId="4CA9CC1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慢查询治理</w:t>
      </w:r>
      <w:r>
        <w:rPr>
          <w:rFonts w:hint="eastAsia"/>
          <w:color w:val="000000" w:themeColor="text1"/>
          <w14:textFill>
            <w14:solidFill>
              <w14:schemeClr w14:val="tx1"/>
            </w14:solidFill>
          </w14:textFill>
        </w:rPr>
        <w:t>：上线前与运维期持续排查慢查询，优化</w:t>
      </w:r>
      <w:r>
        <w:rPr>
          <w:color w:val="000000" w:themeColor="text1"/>
          <w14:textFill>
            <w14:solidFill>
              <w14:schemeClr w14:val="tx1"/>
            </w14:solidFill>
          </w14:textFill>
        </w:rPr>
        <w:t xml:space="preserve"> SQL </w:t>
      </w:r>
      <w:r>
        <w:rPr>
          <w:rFonts w:hint="eastAsia"/>
          <w:color w:val="000000" w:themeColor="text1"/>
          <w14:textFill>
            <w14:solidFill>
              <w14:schemeClr w14:val="tx1"/>
            </w14:solidFill>
          </w14:textFill>
        </w:rPr>
        <w:t>与索引；</w:t>
      </w:r>
    </w:p>
    <w:p w14:paraId="522BC43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读写分离预留</w:t>
      </w:r>
      <w:r>
        <w:rPr>
          <w:rFonts w:hint="eastAsia"/>
          <w:color w:val="000000" w:themeColor="text1"/>
          <w14:textFill>
            <w14:solidFill>
              <w14:schemeClr w14:val="tx1"/>
            </w14:solidFill>
          </w14:textFill>
        </w:rPr>
        <w:t>：数据库主备结构预留读写分离能力，应对查询压力增长。</w:t>
      </w:r>
    </w:p>
    <w:p w14:paraId="49844CB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上述设计保证系统在数据量持续增长与业务高峰（集中选房、集中缴费）下仍具备稳定的查询性能。</w:t>
      </w:r>
    </w:p>
    <w:bookmarkEnd w:id="97"/>
    <w:p w14:paraId="527B8880">
      <w:pPr>
        <w:pStyle w:val="5"/>
        <w:rPr>
          <w:color w:val="000000" w:themeColor="text1"/>
          <w14:textFill>
            <w14:solidFill>
              <w14:schemeClr w14:val="tx1"/>
            </w14:solidFill>
          </w14:textFill>
        </w:rPr>
      </w:pPr>
      <w:bookmarkStart w:id="98" w:name="存量数据迁移设计"/>
      <w:r>
        <w:rPr>
          <w:color w:val="000000" w:themeColor="text1"/>
          <w14:textFill>
            <w14:solidFill>
              <w14:schemeClr w14:val="tx1"/>
            </w14:solidFill>
          </w14:textFill>
        </w:rPr>
        <w:t xml:space="preserve">2.7.8 </w:t>
      </w:r>
      <w:r>
        <w:rPr>
          <w:rFonts w:hint="eastAsia"/>
          <w:color w:val="000000" w:themeColor="text1"/>
          <w14:textFill>
            <w14:solidFill>
              <w14:schemeClr w14:val="tx1"/>
            </w14:solidFill>
          </w14:textFill>
        </w:rPr>
        <w:t>存量数据迁移设计</w:t>
      </w:r>
    </w:p>
    <w:p w14:paraId="6A16553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本项目涉及存量房源、租户、合同、缴费等数据迁入新系统，迁移采用”抽取—清洗—转换—校验—试迁—正式迁移”六步策略，确保完整、准确、业务连续：</w:t>
      </w:r>
    </w:p>
    <w:tbl>
      <w:tblPr>
        <w:tblStyle w:val="41"/>
        <w:tblW w:w="0" w:type="auto"/>
        <w:tblInd w:w="0" w:type="dxa"/>
        <w:tblLayout w:type="autofit"/>
        <w:tblCellMar>
          <w:top w:w="0" w:type="dxa"/>
          <w:left w:w="108" w:type="dxa"/>
          <w:bottom w:w="0" w:type="dxa"/>
          <w:right w:w="108" w:type="dxa"/>
        </w:tblCellMar>
      </w:tblPr>
      <w:tblGrid>
        <w:gridCol w:w="1176"/>
        <w:gridCol w:w="3816"/>
        <w:gridCol w:w="3576"/>
      </w:tblGrid>
      <w:tr w14:paraId="6DFBB2BE">
        <w:trPr>
          <w:tblHeader/>
        </w:trPr>
        <w:tc>
          <w:p w14:paraId="374C990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步骤</w:t>
            </w:r>
          </w:p>
        </w:tc>
        <w:tc>
          <w:p w14:paraId="76A0739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工作内容</w:t>
            </w:r>
          </w:p>
        </w:tc>
        <w:tc>
          <w:p w14:paraId="00BFF4F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质量控制</w:t>
            </w:r>
          </w:p>
        </w:tc>
      </w:tr>
      <w:tr w14:paraId="152CEF4E">
        <w:tc>
          <w:p w14:paraId="1AE3334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抽取</w:t>
            </w:r>
          </w:p>
        </w:tc>
        <w:tc>
          <w:p w14:paraId="1D3259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从原系统/台账导出存量数据</w:t>
            </w:r>
          </w:p>
        </w:tc>
        <w:tc>
          <w:p w14:paraId="0074B06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全量导出、记录总量</w:t>
            </w:r>
          </w:p>
        </w:tc>
      </w:tr>
      <w:tr w14:paraId="50624FC2">
        <w:tc>
          <w:p w14:paraId="62D954A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清洗</w:t>
            </w:r>
          </w:p>
        </w:tc>
        <w:tc>
          <w:p w14:paraId="3AE1AB7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处理缺失、重复、格式不规范数据</w:t>
            </w:r>
          </w:p>
        </w:tc>
        <w:tc>
          <w:p w14:paraId="01775BD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清洗规则评审、留存原始副本</w:t>
            </w:r>
          </w:p>
        </w:tc>
      </w:tr>
      <w:tr w14:paraId="4C89C18D">
        <w:tc>
          <w:p w14:paraId="48FFFA4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转换</w:t>
            </w:r>
          </w:p>
        </w:tc>
        <w:tc>
          <w:p w14:paraId="6D6EC54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按新模型映射字段、编码转换</w:t>
            </w:r>
          </w:p>
        </w:tc>
        <w:tc>
          <w:p w14:paraId="0CFA1A1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映射表评审、差异实体特殊处理</w:t>
            </w:r>
          </w:p>
        </w:tc>
      </w:tr>
      <w:tr w14:paraId="6A553EBB">
        <w:tc>
          <w:p w14:paraId="1D6DE70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校验</w:t>
            </w:r>
          </w:p>
        </w:tc>
        <w:tc>
          <w:p w14:paraId="3263488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逐表核对数量与关键字段一致性</w:t>
            </w:r>
          </w:p>
        </w:tc>
        <w:tc>
          <w:p w14:paraId="6276A80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迁移前后全表核对</w:t>
            </w:r>
          </w:p>
        </w:tc>
      </w:tr>
      <w:tr w14:paraId="587EE442">
        <w:tc>
          <w:p w14:paraId="5F37AD5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试迁</w:t>
            </w:r>
          </w:p>
        </w:tc>
        <w:tc>
          <w:p w14:paraId="01B2201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在测试环境完整演练迁移</w:t>
            </w:r>
          </w:p>
        </w:tc>
        <w:tc>
          <w:p w14:paraId="26274EB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发现问题回退重来</w:t>
            </w:r>
          </w:p>
        </w:tc>
      </w:tr>
      <w:tr w14:paraId="4B2CB091">
        <w:tc>
          <w:p w14:paraId="4FB90E9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正式迁移</w:t>
            </w:r>
          </w:p>
        </w:tc>
        <w:tc>
          <w:p w14:paraId="65EFB31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生产环境正式迁入并复核</w:t>
            </w:r>
          </w:p>
        </w:tc>
        <w:tc>
          <w:p w14:paraId="405385B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停机窗口/灰度、迁后校验</w:t>
            </w:r>
          </w:p>
        </w:tc>
      </w:tr>
    </w:tbl>
    <w:p w14:paraId="553AA41F">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迁移原则</w:t>
      </w:r>
      <w:r>
        <w:rPr>
          <w:rFonts w:hint="eastAsia"/>
          <w:color w:val="000000" w:themeColor="text1"/>
          <w14:textFill>
            <w14:solidFill>
              <w14:schemeClr w14:val="tx1"/>
            </w14:solidFill>
          </w14:textFill>
        </w:rPr>
        <w:t>：对历史迁入数据坚持”零干预”原则，保证群众端能正常查看自己的历史合同与账单；迁移前后进行数据量与一致性核对，冲突实体差异化处理；迁移方案与回退方案经甲方确认后实施，确保迁移不影响在办业务。</w:t>
      </w:r>
    </w:p>
    <w:bookmarkEnd w:id="90"/>
    <w:bookmarkEnd w:id="98"/>
    <w:p w14:paraId="09E970A9">
      <w:pPr>
        <w:pStyle w:val="4"/>
        <w:rPr>
          <w:color w:val="000000" w:themeColor="text1"/>
          <w14:textFill>
            <w14:solidFill>
              <w14:schemeClr w14:val="tx1"/>
            </w14:solidFill>
          </w14:textFill>
        </w:rPr>
      </w:pPr>
      <w:bookmarkStart w:id="99" w:name="系统安全设计"/>
      <w:r>
        <w:rPr>
          <w:color w:val="000000" w:themeColor="text1"/>
          <w14:textFill>
            <w14:solidFill>
              <w14:schemeClr w14:val="tx1"/>
            </w14:solidFill>
          </w14:textFill>
        </w:rPr>
        <w:t xml:space="preserve">2.8 </w:t>
      </w:r>
      <w:r>
        <w:rPr>
          <w:rFonts w:hint="eastAsia"/>
          <w:color w:val="000000" w:themeColor="text1"/>
          <w14:textFill>
            <w14:solidFill>
              <w14:schemeClr w14:val="tx1"/>
            </w14:solidFill>
          </w14:textFill>
        </w:rPr>
        <w:t>系统安全设计</w:t>
      </w:r>
    </w:p>
    <w:p w14:paraId="520DCE9B">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本节从应用系统功能设计角度给出安全设计要点，完整安全体系（漏洞/病毒/攻击/制度/等保）详见第四章。</w:t>
      </w:r>
    </w:p>
    <w:p w14:paraId="5CE5A795">
      <w:pPr>
        <w:pStyle w:val="5"/>
        <w:rPr>
          <w:color w:val="000000" w:themeColor="text1"/>
          <w14:textFill>
            <w14:solidFill>
              <w14:schemeClr w14:val="tx1"/>
            </w14:solidFill>
          </w14:textFill>
        </w:rPr>
      </w:pPr>
      <w:bookmarkStart w:id="100" w:name="认证与授权安全"/>
      <w:r>
        <w:rPr>
          <w:color w:val="000000" w:themeColor="text1"/>
          <w14:textFill>
            <w14:solidFill>
              <w14:schemeClr w14:val="tx1"/>
            </w14:solidFill>
          </w14:textFill>
        </w:rPr>
        <w:t xml:space="preserve">2.8.1 </w:t>
      </w:r>
      <w:r>
        <w:rPr>
          <w:rFonts w:hint="eastAsia"/>
          <w:color w:val="000000" w:themeColor="text1"/>
          <w14:textFill>
            <w14:solidFill>
              <w14:schemeClr w14:val="tx1"/>
            </w14:solidFill>
          </w14:textFill>
        </w:rPr>
        <w:t>认证与授权安全</w:t>
      </w:r>
    </w:p>
    <w:p w14:paraId="64A1470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统一</w:t>
      </w:r>
      <w:r>
        <w:rPr>
          <w:color w:val="000000" w:themeColor="text1"/>
          <w14:textFill>
            <w14:solidFill>
              <w14:schemeClr w14:val="tx1"/>
            </w14:solidFill>
          </w14:textFill>
        </w:rPr>
        <w:t xml:space="preserve"> JWT </w:t>
      </w:r>
      <w:r>
        <w:rPr>
          <w:rFonts w:hint="eastAsia"/>
          <w:color w:val="000000" w:themeColor="text1"/>
          <w14:textFill>
            <w14:solidFill>
              <w14:schemeClr w14:val="tx1"/>
            </w14:solidFill>
          </w14:textFill>
        </w:rPr>
        <w:t>令牌认证，令牌经</w:t>
      </w:r>
      <w:r>
        <w:rPr>
          <w:color w:val="000000" w:themeColor="text1"/>
          <w14:textFill>
            <w14:solidFill>
              <w14:schemeClr w14:val="tx1"/>
            </w14:solidFill>
          </w14:textFill>
        </w:rPr>
        <w:t xml:space="preserve"> Redis </w:t>
      </w:r>
      <w:r>
        <w:rPr>
          <w:rFonts w:hint="eastAsia"/>
          <w:color w:val="000000" w:themeColor="text1"/>
          <w14:textFill>
            <w14:solidFill>
              <w14:schemeClr w14:val="tx1"/>
            </w14:solidFill>
          </w14:textFill>
        </w:rPr>
        <w:t>管理可控失效；</w:t>
      </w:r>
    </w:p>
    <w:p w14:paraId="08B041DB">
      <w:pPr>
        <w:pStyle w:val="24"/>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RBAC </w:t>
      </w:r>
      <w:r>
        <w:rPr>
          <w:rFonts w:hint="eastAsia"/>
          <w:color w:val="000000" w:themeColor="text1"/>
          <w14:textFill>
            <w14:solidFill>
              <w14:schemeClr w14:val="tx1"/>
            </w14:solidFill>
          </w14:textFill>
        </w:rPr>
        <w:t>角色权限</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数据权限（按项目/业态范围）双重控制；</w:t>
      </w:r>
    </w:p>
    <w:p w14:paraId="1D68EA8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后台接口</w:t>
      </w:r>
      <w:r>
        <w:rPr>
          <w:color w:val="000000" w:themeColor="text1"/>
          <w14:textFill>
            <w14:solidFill>
              <w14:schemeClr w14:val="tx1"/>
            </w14:solidFill>
          </w14:textFill>
        </w:rPr>
        <w:t xml:space="preserve"> </w:t>
      </w:r>
      <w:r>
        <w:rPr>
          <w:rStyle w:val="48"/>
          <w:color w:val="000000" w:themeColor="text1"/>
          <w14:textFill>
            <w14:solidFill>
              <w14:schemeClr w14:val="tx1"/>
            </w14:solidFill>
          </w14:textFill>
        </w:rPr>
        <w:t>@PreAuthorize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注解式权限校验，前端按钮级权限控制。</w:t>
      </w:r>
    </w:p>
    <w:p w14:paraId="3E9CFCA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认证方面，群众端经郑好办授权登录、后台管理端账号密码登录，均签发</w:t>
      </w:r>
      <w:r>
        <w:rPr>
          <w:color w:val="000000" w:themeColor="text1"/>
          <w14:textFill>
            <w14:solidFill>
              <w14:schemeClr w14:val="tx1"/>
            </w14:solidFill>
          </w14:textFill>
        </w:rPr>
        <w:t xml:space="preserve"> JWT </w:t>
      </w:r>
      <w:r>
        <w:rPr>
          <w:rFonts w:hint="eastAsia"/>
          <w:color w:val="000000" w:themeColor="text1"/>
          <w14:textFill>
            <w14:solidFill>
              <w14:schemeClr w14:val="tx1"/>
            </w14:solidFill>
          </w14:textFill>
        </w:rPr>
        <w:t>令牌并由</w:t>
      </w:r>
      <w:r>
        <w:rPr>
          <w:color w:val="000000" w:themeColor="text1"/>
          <w14:textFill>
            <w14:solidFill>
              <w14:schemeClr w14:val="tx1"/>
            </w14:solidFill>
          </w14:textFill>
        </w:rPr>
        <w:t xml:space="preserve"> Redis </w:t>
      </w:r>
      <w:r>
        <w:rPr>
          <w:rFonts w:hint="eastAsia"/>
          <w:color w:val="000000" w:themeColor="text1"/>
          <w14:textFill>
            <w14:solidFill>
              <w14:schemeClr w14:val="tx1"/>
            </w14:solidFill>
          </w14:textFill>
        </w:rPr>
        <w:t>统一管理，支持强制下线与令牌失效；授权方面采用”角色—菜单—按钮—数据”四级权限模型，接口层以注解式权限校验拦截越权访问，数据权限按项目/业态限定可见范围，确保权限最小化。</w:t>
      </w:r>
    </w:p>
    <w:bookmarkEnd w:id="100"/>
    <w:p w14:paraId="799D23CB">
      <w:pPr>
        <w:pStyle w:val="5"/>
        <w:rPr>
          <w:color w:val="000000" w:themeColor="text1"/>
          <w14:textFill>
            <w14:solidFill>
              <w14:schemeClr w14:val="tx1"/>
            </w14:solidFill>
          </w14:textFill>
        </w:rPr>
      </w:pPr>
      <w:bookmarkStart w:id="101" w:name="数据安全"/>
      <w:r>
        <w:rPr>
          <w:color w:val="000000" w:themeColor="text1"/>
          <w14:textFill>
            <w14:solidFill>
              <w14:schemeClr w14:val="tx1"/>
            </w14:solidFill>
          </w14:textFill>
        </w:rPr>
        <w:t xml:space="preserve">2.8.2 </w:t>
      </w:r>
      <w:r>
        <w:rPr>
          <w:rFonts w:hint="eastAsia"/>
          <w:color w:val="000000" w:themeColor="text1"/>
          <w14:textFill>
            <w14:solidFill>
              <w14:schemeClr w14:val="tx1"/>
            </w14:solidFill>
          </w14:textFill>
        </w:rPr>
        <w:t>数据安全</w:t>
      </w:r>
    </w:p>
    <w:p w14:paraId="6D05369B">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传输层</w:t>
      </w:r>
      <w:r>
        <w:rPr>
          <w:color w:val="000000" w:themeColor="text1"/>
          <w14:textFill>
            <w14:solidFill>
              <w14:schemeClr w14:val="tx1"/>
            </w14:solidFill>
          </w14:textFill>
        </w:rPr>
        <w:t xml:space="preserve"> HTTPS </w:t>
      </w:r>
      <w:r>
        <w:rPr>
          <w:rFonts w:hint="eastAsia"/>
          <w:color w:val="000000" w:themeColor="text1"/>
          <w14:textFill>
            <w14:solidFill>
              <w14:schemeClr w14:val="tx1"/>
            </w14:solidFill>
          </w14:textFill>
        </w:rPr>
        <w:t>加密；</w:t>
      </w:r>
    </w:p>
    <w:p w14:paraId="47904C2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敏感信息（身份证、人脸、支付）加密存储与展示脱敏；</w:t>
      </w:r>
    </w:p>
    <w:p w14:paraId="1D384C0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个人信息按最小必要原则采集、按</w:t>
      </w:r>
      <w:r>
        <w:rPr>
          <w:color w:val="000000" w:themeColor="text1"/>
          <w14:textFill>
            <w14:solidFill>
              <w14:schemeClr w14:val="tx1"/>
            </w14:solidFill>
          </w14:textFill>
        </w:rPr>
        <w:t xml:space="preserve"> GB/T 35273 </w:t>
      </w:r>
      <w:r>
        <w:rPr>
          <w:rFonts w:hint="eastAsia"/>
          <w:color w:val="000000" w:themeColor="text1"/>
          <w14:textFill>
            <w14:solidFill>
              <w14:schemeClr w14:val="tx1"/>
            </w14:solidFill>
          </w14:textFill>
        </w:rPr>
        <w:t>保护；</w:t>
      </w:r>
    </w:p>
    <w:p w14:paraId="02031E62">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数据库账号最小权限、访问审计。</w:t>
      </w:r>
    </w:p>
    <w:p w14:paraId="3A9CFBB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数据全生命周期安全：采集环节遵循最小必要与授权同意；传输环节全程</w:t>
      </w:r>
      <w:r>
        <w:rPr>
          <w:color w:val="000000" w:themeColor="text1"/>
          <w14:textFill>
            <w14:solidFill>
              <w14:schemeClr w14:val="tx1"/>
            </w14:solidFill>
          </w14:textFill>
        </w:rPr>
        <w:t xml:space="preserve"> HTTPS </w:t>
      </w:r>
      <w:r>
        <w:rPr>
          <w:rFonts w:hint="eastAsia"/>
          <w:color w:val="000000" w:themeColor="text1"/>
          <w14:textFill>
            <w14:solidFill>
              <w14:schemeClr w14:val="tx1"/>
            </w14:solidFill>
          </w14:textFill>
        </w:rPr>
        <w:t>加密；存储环节对证件号、人脸特征、支付敏感信息加密保存；展示环节对敏感字段脱敏（如证件号中间位掩码）；使用环节以数据权限约束访问范围；销毁环节按规范处理，全过程可审计。</w:t>
      </w:r>
    </w:p>
    <w:bookmarkEnd w:id="101"/>
    <w:p w14:paraId="280FA60F">
      <w:pPr>
        <w:pStyle w:val="5"/>
        <w:rPr>
          <w:color w:val="000000" w:themeColor="text1"/>
          <w14:textFill>
            <w14:solidFill>
              <w14:schemeClr w14:val="tx1"/>
            </w14:solidFill>
          </w14:textFill>
        </w:rPr>
      </w:pPr>
      <w:bookmarkStart w:id="102" w:name="交易与资金安全"/>
      <w:r>
        <w:rPr>
          <w:color w:val="000000" w:themeColor="text1"/>
          <w14:textFill>
            <w14:solidFill>
              <w14:schemeClr w14:val="tx1"/>
            </w14:solidFill>
          </w14:textFill>
        </w:rPr>
        <w:t xml:space="preserve">2.8.3 </w:t>
      </w:r>
      <w:r>
        <w:rPr>
          <w:rFonts w:hint="eastAsia"/>
          <w:color w:val="000000" w:themeColor="text1"/>
          <w14:textFill>
            <w14:solidFill>
              <w14:schemeClr w14:val="tx1"/>
            </w14:solidFill>
          </w14:textFill>
        </w:rPr>
        <w:t>交易与资金安全</w:t>
      </w:r>
    </w:p>
    <w:p w14:paraId="4C8F0DC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支付唯一通道</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全程幂等</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对账兜底；</w:t>
      </w:r>
    </w:p>
    <w:p w14:paraId="042C20F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退款金额一次核定锁定，防篡改；</w:t>
      </w:r>
    </w:p>
    <w:p w14:paraId="34E52742">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关键资金操作全程留痕、可追溯。</w:t>
      </w:r>
    </w:p>
    <w:p w14:paraId="41FB3A2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资金安全是本系统的重中之重：所有收缴以港区支付为唯一通道，杜绝多渠道混乱；下单与回调以业务唯一键幂等处理，防止重复扣款；每日对账比对系统台账与渠道流水，差异告警核查；退款金额一次核定后锁定持久化，不可篡改；所有资金操作均记录完整台账，支持逐笔追溯与审计。</w:t>
      </w:r>
    </w:p>
    <w:bookmarkEnd w:id="102"/>
    <w:p w14:paraId="51FF0467">
      <w:pPr>
        <w:pStyle w:val="5"/>
        <w:rPr>
          <w:color w:val="000000" w:themeColor="text1"/>
          <w14:textFill>
            <w14:solidFill>
              <w14:schemeClr w14:val="tx1"/>
            </w14:solidFill>
          </w14:textFill>
        </w:rPr>
      </w:pPr>
      <w:bookmarkStart w:id="103" w:name="应用安全"/>
      <w:r>
        <w:rPr>
          <w:color w:val="000000" w:themeColor="text1"/>
          <w14:textFill>
            <w14:solidFill>
              <w14:schemeClr w14:val="tx1"/>
            </w14:solidFill>
          </w14:textFill>
        </w:rPr>
        <w:t xml:space="preserve">2.8.4 </w:t>
      </w:r>
      <w:r>
        <w:rPr>
          <w:rFonts w:hint="eastAsia"/>
          <w:color w:val="000000" w:themeColor="text1"/>
          <w14:textFill>
            <w14:solidFill>
              <w14:schemeClr w14:val="tx1"/>
            </w14:solidFill>
          </w14:textFill>
        </w:rPr>
        <w:t>应用安全</w:t>
      </w:r>
    </w:p>
    <w:p w14:paraId="1090BFCA">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输入校验与输出编码，防</w:t>
      </w:r>
      <w:r>
        <w:rPr>
          <w:color w:val="000000" w:themeColor="text1"/>
          <w14:textFill>
            <w14:solidFill>
              <w14:schemeClr w14:val="tx1"/>
            </w14:solidFill>
          </w14:textFill>
        </w:rPr>
        <w:t xml:space="preserve"> SQL </w:t>
      </w:r>
      <w:r>
        <w:rPr>
          <w:rFonts w:hint="eastAsia"/>
          <w:color w:val="000000" w:themeColor="text1"/>
          <w14:textFill>
            <w14:solidFill>
              <w14:schemeClr w14:val="tx1"/>
            </w14:solidFill>
          </w14:textFill>
        </w:rPr>
        <w:t>注入、XSS；</w:t>
      </w:r>
    </w:p>
    <w:p w14:paraId="6778C6B7">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防重放、防越权（对象级权限校验）；</w:t>
      </w:r>
    </w:p>
    <w:p w14:paraId="411A449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关键操作二次确认与操作日志。</w:t>
      </w:r>
    </w:p>
    <w:p w14:paraId="252AE4B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应用层针对常见</w:t>
      </w:r>
      <w:r>
        <w:rPr>
          <w:color w:val="000000" w:themeColor="text1"/>
          <w14:textFill>
            <w14:solidFill>
              <w14:schemeClr w14:val="tx1"/>
            </w14:solidFill>
          </w14:textFill>
        </w:rPr>
        <w:t xml:space="preserve"> Web </w:t>
      </w:r>
      <w:r>
        <w:rPr>
          <w:rFonts w:hint="eastAsia"/>
          <w:color w:val="000000" w:themeColor="text1"/>
          <w14:textFill>
            <w14:solidFill>
              <w14:schemeClr w14:val="tx1"/>
            </w14:solidFill>
          </w14:textFill>
        </w:rPr>
        <w:t>攻击建立防护：参数化查询与输入校验防</w:t>
      </w:r>
      <w:r>
        <w:rPr>
          <w:color w:val="000000" w:themeColor="text1"/>
          <w14:textFill>
            <w14:solidFill>
              <w14:schemeClr w14:val="tx1"/>
            </w14:solidFill>
          </w14:textFill>
        </w:rPr>
        <w:t xml:space="preserve"> SQL </w:t>
      </w:r>
      <w:r>
        <w:rPr>
          <w:rFonts w:hint="eastAsia"/>
          <w:color w:val="000000" w:themeColor="text1"/>
          <w14:textFill>
            <w14:solidFill>
              <w14:schemeClr w14:val="tx1"/>
            </w14:solidFill>
          </w14:textFill>
        </w:rPr>
        <w:t>注入，输出编码防</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XSS，令牌与时间戳防重放，对象级权限校验防越权（防止越权访问他人合同/账单），文件上传做类型与大小校验并隔离存储，关键操作（退款、批量导出、权限变更）二次确认并记录操作日志。</w:t>
      </w:r>
    </w:p>
    <w:bookmarkEnd w:id="103"/>
    <w:p w14:paraId="3E9CD304">
      <w:pPr>
        <w:pStyle w:val="5"/>
        <w:rPr>
          <w:color w:val="000000" w:themeColor="text1"/>
          <w14:textFill>
            <w14:solidFill>
              <w14:schemeClr w14:val="tx1"/>
            </w14:solidFill>
          </w14:textFill>
        </w:rPr>
      </w:pPr>
      <w:bookmarkStart w:id="104" w:name="接口与对接安全"/>
      <w:r>
        <w:rPr>
          <w:color w:val="000000" w:themeColor="text1"/>
          <w14:textFill>
            <w14:solidFill>
              <w14:schemeClr w14:val="tx1"/>
            </w14:solidFill>
          </w14:textFill>
        </w:rPr>
        <w:t xml:space="preserve">2.8.5 </w:t>
      </w:r>
      <w:r>
        <w:rPr>
          <w:rFonts w:hint="eastAsia"/>
          <w:color w:val="000000" w:themeColor="text1"/>
          <w14:textFill>
            <w14:solidFill>
              <w14:schemeClr w14:val="tx1"/>
            </w14:solidFill>
          </w14:textFill>
        </w:rPr>
        <w:t>接口与对接安全</w:t>
      </w:r>
    </w:p>
    <w:p w14:paraId="280E54C6">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外部对接经合规网络通道，接口鉴权与白名单；</w:t>
      </w:r>
    </w:p>
    <w:p w14:paraId="57BC7D26">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政务数据调用留痕、最小化获取、按需使用。</w:t>
      </w:r>
    </w:p>
    <w:p w14:paraId="2675DCE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外对接均经合规网络通道与统一网关，接口鉴权、来源白名单、频率限制多重防护；政务数据调用遵循最小化获取、按需使用、全程留痕原则，仅采集资格核验所必需的数据项，不留存与业务无关的敏感数据，满足政务数据使用合规要求。</w:t>
      </w:r>
    </w:p>
    <w:bookmarkEnd w:id="99"/>
    <w:bookmarkEnd w:id="104"/>
    <w:p w14:paraId="1AEA4020">
      <w:pPr>
        <w:pStyle w:val="4"/>
        <w:rPr>
          <w:color w:val="000000" w:themeColor="text1"/>
          <w14:textFill>
            <w14:solidFill>
              <w14:schemeClr w14:val="tx1"/>
            </w14:solidFill>
          </w14:textFill>
        </w:rPr>
      </w:pPr>
      <w:bookmarkStart w:id="105" w:name="系统非功能设计"/>
      <w:r>
        <w:rPr>
          <w:color w:val="000000" w:themeColor="text1"/>
          <w14:textFill>
            <w14:solidFill>
              <w14:schemeClr w14:val="tx1"/>
            </w14:solidFill>
          </w14:textFill>
        </w:rPr>
        <w:t xml:space="preserve">2.9 </w:t>
      </w:r>
      <w:r>
        <w:rPr>
          <w:rFonts w:hint="eastAsia"/>
          <w:color w:val="000000" w:themeColor="text1"/>
          <w14:textFill>
            <w14:solidFill>
              <w14:schemeClr w14:val="tx1"/>
            </w14:solidFill>
          </w14:textFill>
        </w:rPr>
        <w:t>系统非功能设计</w:t>
      </w:r>
    </w:p>
    <w:p w14:paraId="072EFD8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除功能实现外，系统在性能、可用性、可扩展性、可维护性等非功能维度同步设计，保证”好用、耐用、易维护”。</w:t>
      </w:r>
    </w:p>
    <w:p w14:paraId="25FA8DEE">
      <w:pPr>
        <w:pStyle w:val="5"/>
        <w:rPr>
          <w:color w:val="000000" w:themeColor="text1"/>
          <w14:textFill>
            <w14:solidFill>
              <w14:schemeClr w14:val="tx1"/>
            </w14:solidFill>
          </w14:textFill>
        </w:rPr>
      </w:pPr>
      <w:bookmarkStart w:id="106" w:name="性能设计"/>
      <w:r>
        <w:rPr>
          <w:color w:val="000000" w:themeColor="text1"/>
          <w14:textFill>
            <w14:solidFill>
              <w14:schemeClr w14:val="tx1"/>
            </w14:solidFill>
          </w14:textFill>
        </w:rPr>
        <w:t xml:space="preserve">2.9.1 </w:t>
      </w:r>
      <w:r>
        <w:rPr>
          <w:rFonts w:hint="eastAsia"/>
          <w:color w:val="000000" w:themeColor="text1"/>
          <w14:textFill>
            <w14:solidFill>
              <w14:schemeClr w14:val="tx1"/>
            </w14:solidFill>
          </w14:textFill>
        </w:rPr>
        <w:t>性能设计</w:t>
      </w:r>
    </w:p>
    <w:p w14:paraId="53D8E5E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响应时间</w:t>
      </w:r>
      <w:r>
        <w:rPr>
          <w:rFonts w:hint="eastAsia"/>
          <w:color w:val="000000" w:themeColor="text1"/>
          <w14:textFill>
            <w14:solidFill>
              <w14:schemeClr w14:val="tx1"/>
            </w14:solidFill>
          </w14:textFill>
        </w:rPr>
        <w:t>：常规页面与接口响应控制在秒级，关键交易（缴费、核验）在可接受时限内完成；</w:t>
      </w:r>
    </w:p>
    <w:p w14:paraId="556ACAF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缓存优化</w:t>
      </w:r>
      <w:r>
        <w:rPr>
          <w:rFonts w:hint="eastAsia"/>
          <w:color w:val="000000" w:themeColor="text1"/>
          <w14:textFill>
            <w14:solidFill>
              <w14:schemeClr w14:val="tx1"/>
            </w14:solidFill>
          </w14:textFill>
        </w:rPr>
        <w:t>：热点数据（字典、房源列表、配置）经</w:t>
      </w:r>
      <w:r>
        <w:rPr>
          <w:color w:val="000000" w:themeColor="text1"/>
          <w14:textFill>
            <w14:solidFill>
              <w14:schemeClr w14:val="tx1"/>
            </w14:solidFill>
          </w14:textFill>
        </w:rPr>
        <w:t xml:space="preserve"> Redis </w:t>
      </w:r>
      <w:r>
        <w:rPr>
          <w:rFonts w:hint="eastAsia"/>
          <w:color w:val="000000" w:themeColor="text1"/>
          <w14:textFill>
            <w14:solidFill>
              <w14:schemeClr w14:val="tx1"/>
            </w14:solidFill>
          </w14:textFill>
        </w:rPr>
        <w:t>缓存，降低数据库压力；</w:t>
      </w:r>
    </w:p>
    <w:p w14:paraId="569B59C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数据库优化</w:t>
      </w:r>
      <w:r>
        <w:rPr>
          <w:rFonts w:hint="eastAsia"/>
          <w:color w:val="000000" w:themeColor="text1"/>
          <w14:textFill>
            <w14:solidFill>
              <w14:schemeClr w14:val="tx1"/>
            </w14:solidFill>
          </w14:textFill>
        </w:rPr>
        <w:t>：合理索引、慢查询治理、连接池调优，保证高频查询效率；</w:t>
      </w:r>
    </w:p>
    <w:p w14:paraId="139F2A5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静态资源优化</w:t>
      </w:r>
      <w:r>
        <w:rPr>
          <w:rFonts w:hint="eastAsia"/>
          <w:color w:val="000000" w:themeColor="text1"/>
          <w14:textFill>
            <w14:solidFill>
              <w14:schemeClr w14:val="tx1"/>
            </w14:solidFill>
          </w14:textFill>
        </w:rPr>
        <w:t>：前端资源经反向代理与浏览器缓存加速，图片/VR资源按需加载。</w:t>
      </w:r>
    </w:p>
    <w:bookmarkEnd w:id="106"/>
    <w:p w14:paraId="78B32C5B">
      <w:pPr>
        <w:pStyle w:val="5"/>
        <w:rPr>
          <w:color w:val="000000" w:themeColor="text1"/>
          <w14:textFill>
            <w14:solidFill>
              <w14:schemeClr w14:val="tx1"/>
            </w14:solidFill>
          </w14:textFill>
        </w:rPr>
      </w:pPr>
      <w:bookmarkStart w:id="107" w:name="高并发场景设计"/>
      <w:r>
        <w:rPr>
          <w:color w:val="000000" w:themeColor="text1"/>
          <w14:textFill>
            <w14:solidFill>
              <w14:schemeClr w14:val="tx1"/>
            </w14:solidFill>
          </w14:textFill>
        </w:rPr>
        <w:t xml:space="preserve">2.9.2 </w:t>
      </w:r>
      <w:r>
        <w:rPr>
          <w:rFonts w:hint="eastAsia"/>
          <w:color w:val="000000" w:themeColor="text1"/>
          <w14:textFill>
            <w14:solidFill>
              <w14:schemeClr w14:val="tx1"/>
            </w14:solidFill>
          </w14:textFill>
        </w:rPr>
        <w:t>高并发场景设计</w:t>
      </w:r>
    </w:p>
    <w:p w14:paraId="1168A49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针对集中选房、集中缴费等业务高峰，系统从多层面保障并发能力：</w:t>
      </w:r>
    </w:p>
    <w:p w14:paraId="07497A9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无状态可扩展</w:t>
      </w:r>
      <w:r>
        <w:rPr>
          <w:rFonts w:hint="eastAsia"/>
          <w:color w:val="000000" w:themeColor="text1"/>
          <w14:textFill>
            <w14:solidFill>
              <w14:schemeClr w14:val="tx1"/>
            </w14:solidFill>
          </w14:textFill>
        </w:rPr>
        <w:t>：应用实例无状态，可水平扩展应对并发增长；</w:t>
      </w:r>
    </w:p>
    <w:p w14:paraId="4A16671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选房防超卖</w:t>
      </w:r>
      <w:r>
        <w:rPr>
          <w:rFonts w:hint="eastAsia"/>
          <w:color w:val="000000" w:themeColor="text1"/>
          <w14:textFill>
            <w14:solidFill>
              <w14:schemeClr w14:val="tx1"/>
            </w14:solidFill>
          </w14:textFill>
        </w:rPr>
        <w:t>：房源锁定采用并发安全控制（状态机</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唯一约束），杜绝一房多签；</w:t>
      </w:r>
    </w:p>
    <w:p w14:paraId="4D39BBD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缴费防重复</w:t>
      </w:r>
      <w:r>
        <w:rPr>
          <w:rFonts w:hint="eastAsia"/>
          <w:color w:val="000000" w:themeColor="text1"/>
          <w14:textFill>
            <w14:solidFill>
              <w14:schemeClr w14:val="tx1"/>
            </w14:solidFill>
          </w14:textFill>
        </w:rPr>
        <w:t>：支付下单与回调严格幂等，杜绝并发重复扣款；</w:t>
      </w:r>
    </w:p>
    <w:p w14:paraId="5FDDAE7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限流保护</w:t>
      </w:r>
      <w:r>
        <w:rPr>
          <w:rFonts w:hint="eastAsia"/>
          <w:color w:val="000000" w:themeColor="text1"/>
          <w14:textFill>
            <w14:solidFill>
              <w14:schemeClr w14:val="tx1"/>
            </w14:solidFill>
          </w14:textFill>
        </w:rPr>
        <w:t>：网关对高频接口限流，防止突发流量击穿后端；</w:t>
      </w:r>
    </w:p>
    <w:p w14:paraId="6354F93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异步削峰</w:t>
      </w:r>
      <w:r>
        <w:rPr>
          <w:rFonts w:hint="eastAsia"/>
          <w:color w:val="000000" w:themeColor="text1"/>
          <w14:textFill>
            <w14:solidFill>
              <w14:schemeClr w14:val="tx1"/>
            </w14:solidFill>
          </w14:textFill>
        </w:rPr>
        <w:t>：消息通知等非实时操作异步处理，平滑峰值压力。</w:t>
      </w:r>
    </w:p>
    <w:bookmarkEnd w:id="107"/>
    <w:p w14:paraId="7B492CAB">
      <w:pPr>
        <w:pStyle w:val="5"/>
        <w:rPr>
          <w:color w:val="000000" w:themeColor="text1"/>
          <w14:textFill>
            <w14:solidFill>
              <w14:schemeClr w14:val="tx1"/>
            </w14:solidFill>
          </w14:textFill>
        </w:rPr>
      </w:pPr>
      <w:bookmarkStart w:id="108" w:name="可用性设计"/>
      <w:r>
        <w:rPr>
          <w:color w:val="000000" w:themeColor="text1"/>
          <w14:textFill>
            <w14:solidFill>
              <w14:schemeClr w14:val="tx1"/>
            </w14:solidFill>
          </w14:textFill>
        </w:rPr>
        <w:t xml:space="preserve">2.9.3 </w:t>
      </w:r>
      <w:r>
        <w:rPr>
          <w:rFonts w:hint="eastAsia"/>
          <w:color w:val="000000" w:themeColor="text1"/>
          <w14:textFill>
            <w14:solidFill>
              <w14:schemeClr w14:val="tx1"/>
            </w14:solidFill>
          </w14:textFill>
        </w:rPr>
        <w:t>可用性设计</w:t>
      </w:r>
    </w:p>
    <w:p w14:paraId="3111469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多实例部署</w:t>
      </w:r>
      <w:r>
        <w:rPr>
          <w:rFonts w:hint="eastAsia"/>
          <w:color w:val="000000" w:themeColor="text1"/>
          <w14:textFill>
            <w14:solidFill>
              <w14:schemeClr w14:val="tx1"/>
            </w14:solidFill>
          </w14:textFill>
        </w:rPr>
        <w:t>：应用多实例</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负载均衡，单实例故障不影响整体可用；</w:t>
      </w:r>
    </w:p>
    <w:p w14:paraId="5FD6DF2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数据库主备</w:t>
      </w:r>
      <w:r>
        <w:rPr>
          <w:rFonts w:hint="eastAsia"/>
          <w:color w:val="000000" w:themeColor="text1"/>
          <w14:textFill>
            <w14:solidFill>
              <w14:schemeClr w14:val="tx1"/>
            </w14:solidFill>
          </w14:textFill>
        </w:rPr>
        <w:t>：数据库主备结构，主库故障可切换；</w:t>
      </w:r>
    </w:p>
    <w:p w14:paraId="1C36D05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健康检查</w:t>
      </w:r>
      <w:r>
        <w:rPr>
          <w:rFonts w:hint="eastAsia"/>
          <w:color w:val="000000" w:themeColor="text1"/>
          <w14:textFill>
            <w14:solidFill>
              <w14:schemeClr w14:val="tx1"/>
            </w14:solidFill>
          </w14:textFill>
        </w:rPr>
        <w:t>：实例健康检查与自动摘除异常节点；</w:t>
      </w:r>
    </w:p>
    <w:p w14:paraId="42D3383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容错降级</w:t>
      </w:r>
      <w:r>
        <w:rPr>
          <w:rFonts w:hint="eastAsia"/>
          <w:color w:val="000000" w:themeColor="text1"/>
          <w14:textFill>
            <w14:solidFill>
              <w14:schemeClr w14:val="tx1"/>
            </w14:solidFill>
          </w14:textFill>
        </w:rPr>
        <w:t>：外部接口（政务核验、支付、签章）异常时容错降级，保障主流程不中断。</w:t>
      </w:r>
    </w:p>
    <w:bookmarkEnd w:id="108"/>
    <w:p w14:paraId="7FAB5D33">
      <w:pPr>
        <w:pStyle w:val="5"/>
        <w:rPr>
          <w:color w:val="000000" w:themeColor="text1"/>
          <w14:textFill>
            <w14:solidFill>
              <w14:schemeClr w14:val="tx1"/>
            </w14:solidFill>
          </w14:textFill>
        </w:rPr>
      </w:pPr>
      <w:bookmarkStart w:id="109" w:name="可扩展性设计"/>
      <w:r>
        <w:rPr>
          <w:color w:val="000000" w:themeColor="text1"/>
          <w14:textFill>
            <w14:solidFill>
              <w14:schemeClr w14:val="tx1"/>
            </w14:solidFill>
          </w14:textFill>
        </w:rPr>
        <w:t xml:space="preserve">2.9.4 </w:t>
      </w:r>
      <w:r>
        <w:rPr>
          <w:rFonts w:hint="eastAsia"/>
          <w:color w:val="000000" w:themeColor="text1"/>
          <w14:textFill>
            <w14:solidFill>
              <w14:schemeClr w14:val="tx1"/>
            </w14:solidFill>
          </w14:textFill>
        </w:rPr>
        <w:t>可扩展性设计</w:t>
      </w:r>
    </w:p>
    <w:p w14:paraId="431DB4E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模块化边界</w:t>
      </w:r>
      <w:r>
        <w:rPr>
          <w:rFonts w:hint="eastAsia"/>
          <w:color w:val="000000" w:themeColor="text1"/>
          <w14:textFill>
            <w14:solidFill>
              <w14:schemeClr w14:val="tx1"/>
            </w14:solidFill>
          </w14:textFill>
        </w:rPr>
        <w:t>：业务域模块化，新增业态/功能以扩展模块与配置为主；</w:t>
      </w:r>
    </w:p>
    <w:p w14:paraId="064E2F3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参数化业态</w:t>
      </w:r>
      <w:r>
        <w:rPr>
          <w:rFonts w:hint="eastAsia"/>
          <w:color w:val="000000" w:themeColor="text1"/>
          <w14:textFill>
            <w14:solidFill>
              <w14:schemeClr w14:val="tx1"/>
            </w14:solidFill>
          </w14:textFill>
        </w:rPr>
        <w:t>：保租/人才/市场差异以参数化承载，新增业态以配置为主、少改码；</w:t>
      </w:r>
    </w:p>
    <w:p w14:paraId="0B9CD30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接口标准化</w:t>
      </w:r>
      <w:r>
        <w:rPr>
          <w:rFonts w:hint="eastAsia"/>
          <w:color w:val="000000" w:themeColor="text1"/>
          <w14:textFill>
            <w14:solidFill>
              <w14:schemeClr w14:val="tx1"/>
            </w14:solidFill>
          </w14:textFill>
        </w:rPr>
        <w:t>：对接采用标准化封装，新增外部对接复用统一模式；</w:t>
      </w:r>
    </w:p>
    <w:p w14:paraId="387A84D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演进友好</w:t>
      </w:r>
      <w:r>
        <w:rPr>
          <w:rFonts w:hint="eastAsia"/>
          <w:color w:val="000000" w:themeColor="text1"/>
          <w14:textFill>
            <w14:solidFill>
              <w14:schemeClr w14:val="tx1"/>
            </w14:solidFill>
          </w14:textFill>
        </w:rPr>
        <w:t>：模块边界清晰，未来某业务域可平滑演进为独立服务。</w:t>
      </w:r>
    </w:p>
    <w:bookmarkEnd w:id="109"/>
    <w:p w14:paraId="10E75196">
      <w:pPr>
        <w:pStyle w:val="5"/>
        <w:rPr>
          <w:color w:val="000000" w:themeColor="text1"/>
          <w14:textFill>
            <w14:solidFill>
              <w14:schemeClr w14:val="tx1"/>
            </w14:solidFill>
          </w14:textFill>
        </w:rPr>
      </w:pPr>
      <w:bookmarkStart w:id="110" w:name="可维护性设计"/>
      <w:r>
        <w:rPr>
          <w:color w:val="000000" w:themeColor="text1"/>
          <w14:textFill>
            <w14:solidFill>
              <w14:schemeClr w14:val="tx1"/>
            </w14:solidFill>
          </w14:textFill>
        </w:rPr>
        <w:t xml:space="preserve">2.9.5 </w:t>
      </w:r>
      <w:r>
        <w:rPr>
          <w:rFonts w:hint="eastAsia"/>
          <w:color w:val="000000" w:themeColor="text1"/>
          <w14:textFill>
            <w14:solidFill>
              <w14:schemeClr w14:val="tx1"/>
            </w14:solidFill>
          </w14:textFill>
        </w:rPr>
        <w:t>可维护性设计</w:t>
      </w:r>
    </w:p>
    <w:p w14:paraId="546AF7D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规范统一</w:t>
      </w:r>
      <w:r>
        <w:rPr>
          <w:rFonts w:hint="eastAsia"/>
          <w:color w:val="000000" w:themeColor="text1"/>
          <w14:textFill>
            <w14:solidFill>
              <w14:schemeClr w14:val="tx1"/>
            </w14:solidFill>
          </w14:textFill>
        </w:rPr>
        <w:t>：编码、命名、日志、异常处理规范统一，便于团队协作与长期维护；</w:t>
      </w:r>
    </w:p>
    <w:p w14:paraId="4DEDF78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文档完整</w:t>
      </w:r>
      <w:r>
        <w:rPr>
          <w:rFonts w:hint="eastAsia"/>
          <w:color w:val="000000" w:themeColor="text1"/>
          <w14:textFill>
            <w14:solidFill>
              <w14:schemeClr w14:val="tx1"/>
            </w14:solidFill>
          </w14:textFill>
        </w:rPr>
        <w:t>：需求、设计、接口、部署、运维文档齐全并同步更新；</w:t>
      </w:r>
    </w:p>
    <w:p w14:paraId="16E0DDC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日志完善</w:t>
      </w:r>
      <w:r>
        <w:rPr>
          <w:rFonts w:hint="eastAsia"/>
          <w:color w:val="000000" w:themeColor="text1"/>
          <w14:textFill>
            <w14:solidFill>
              <w14:schemeClr w14:val="tx1"/>
            </w14:solidFill>
          </w14:textFill>
        </w:rPr>
        <w:t>：分级日志与操作审计，便于问题定位；</w:t>
      </w:r>
    </w:p>
    <w:p w14:paraId="2113CBC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低耦合</w:t>
      </w:r>
      <w:r>
        <w:rPr>
          <w:rFonts w:hint="eastAsia"/>
          <w:color w:val="000000" w:themeColor="text1"/>
          <w14:textFill>
            <w14:solidFill>
              <w14:schemeClr w14:val="tx1"/>
            </w14:solidFill>
          </w14:textFill>
        </w:rPr>
        <w:t>：能力封装与模块解耦，改一处不牵动全身，契合六年长期运维。</w:t>
      </w:r>
    </w:p>
    <w:bookmarkEnd w:id="105"/>
    <w:bookmarkEnd w:id="110"/>
    <w:p w14:paraId="0A16D60C">
      <w:pPr>
        <w:pStyle w:val="4"/>
        <w:rPr>
          <w:color w:val="000000" w:themeColor="text1"/>
          <w14:textFill>
            <w14:solidFill>
              <w14:schemeClr w14:val="tx1"/>
            </w14:solidFill>
          </w14:textFill>
        </w:rPr>
      </w:pPr>
      <w:bookmarkStart w:id="111" w:name="方案特色与技术亮点总结"/>
      <w:r>
        <w:rPr>
          <w:color w:val="000000" w:themeColor="text1"/>
          <w14:textFill>
            <w14:solidFill>
              <w14:schemeClr w14:val="tx1"/>
            </w14:solidFill>
          </w14:textFill>
        </w:rPr>
        <w:t xml:space="preserve">2.10 </w:t>
      </w:r>
      <w:r>
        <w:rPr>
          <w:rFonts w:hint="eastAsia"/>
          <w:color w:val="000000" w:themeColor="text1"/>
          <w14:textFill>
            <w14:solidFill>
              <w14:schemeClr w14:val="tx1"/>
            </w14:solidFill>
          </w14:textFill>
        </w:rPr>
        <w:t>方案特色与技术亮点总结</w:t>
      </w:r>
    </w:p>
    <w:p w14:paraId="6073C2A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本章功能设计围绕项目特点形成如下特色与亮点：</w:t>
      </w:r>
    </w:p>
    <w:p w14:paraId="45FF2E21">
      <w:pPr>
        <w:pStyle w:val="24"/>
        <w:numPr>
          <w:ilvl w:val="0"/>
          <w:numId w:val="1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一条主线贯通四端</w:t>
      </w:r>
      <w:r>
        <w:rPr>
          <w:rFonts w:hint="eastAsia"/>
          <w:color w:val="000000" w:themeColor="text1"/>
          <w14:textFill>
            <w14:solidFill>
              <w14:schemeClr w14:val="tx1"/>
            </w14:solidFill>
          </w14:textFill>
        </w:rPr>
        <w:t>：以租赁全生命周期为主线组织功能，四端共享统一后端与业务规则，体验一致、维护成本低；</w:t>
      </w:r>
    </w:p>
    <w:p w14:paraId="479B1278">
      <w:pPr>
        <w:pStyle w:val="24"/>
        <w:numPr>
          <w:ilvl w:val="0"/>
          <w:numId w:val="1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业态差异参数化承载</w:t>
      </w:r>
      <w:r>
        <w:rPr>
          <w:rFonts w:hint="eastAsia"/>
          <w:color w:val="000000" w:themeColor="text1"/>
          <w14:textFill>
            <w14:solidFill>
              <w14:schemeClr w14:val="tx1"/>
            </w14:solidFill>
          </w14:textFill>
        </w:rPr>
        <w:t>：以”统一流程引擎</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业态规则参数化”承载保租/人才/市场差异，扩展业态以配置为主；</w:t>
      </w:r>
    </w:p>
    <w:p w14:paraId="2D9709B8">
      <w:pPr>
        <w:pStyle w:val="24"/>
        <w:numPr>
          <w:ilvl w:val="0"/>
          <w:numId w:val="1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资金安全多重保障</w:t>
      </w:r>
      <w:r>
        <w:rPr>
          <w:rFonts w:hint="eastAsia"/>
          <w:color w:val="000000" w:themeColor="text1"/>
          <w14:textFill>
            <w14:solidFill>
              <w14:schemeClr w14:val="tx1"/>
            </w14:solidFill>
          </w14:textFill>
        </w:rPr>
        <w:t>：支付唯一通道</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幂等</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对账兜底</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退款一次定死，守住资金红线；</w:t>
      </w:r>
    </w:p>
    <w:p w14:paraId="3FAD8E75">
      <w:pPr>
        <w:pStyle w:val="24"/>
        <w:numPr>
          <w:ilvl w:val="0"/>
          <w:numId w:val="1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政务核验闭环友好</w:t>
      </w:r>
      <w:r>
        <w:rPr>
          <w:rFonts w:hint="eastAsia"/>
          <w:color w:val="000000" w:themeColor="text1"/>
          <w14:textFill>
            <w14:solidFill>
              <w14:schemeClr w14:val="tx1"/>
            </w14:solidFill>
          </w14:textFill>
        </w:rPr>
        <w:t>：统一核验服务</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容错降级</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不符项展示</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在线申诉，兼顾严谨与人性化；</w:t>
      </w:r>
    </w:p>
    <w:p w14:paraId="6E44EA81">
      <w:pPr>
        <w:pStyle w:val="24"/>
        <w:numPr>
          <w:ilvl w:val="0"/>
          <w:numId w:val="1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架构取舍务实</w:t>
      </w:r>
      <w:r>
        <w:rPr>
          <w:rFonts w:hint="eastAsia"/>
          <w:color w:val="000000" w:themeColor="text1"/>
          <w14:textFill>
            <w14:solidFill>
              <w14:schemeClr w14:val="tx1"/>
            </w14:solidFill>
          </w14:textFill>
        </w:rPr>
        <w:t>：采用模块化单体而非过度微服务，最契合驻场小团队长期低成本运维；</w:t>
      </w:r>
    </w:p>
    <w:p w14:paraId="1288B05B">
      <w:pPr>
        <w:pStyle w:val="24"/>
        <w:numPr>
          <w:ilvl w:val="0"/>
          <w:numId w:val="1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数据迁移零干预</w:t>
      </w:r>
      <w:r>
        <w:rPr>
          <w:rFonts w:hint="eastAsia"/>
          <w:color w:val="000000" w:themeColor="text1"/>
          <w14:textFill>
            <w14:solidFill>
              <w14:schemeClr w14:val="tx1"/>
            </w14:solidFill>
          </w14:textFill>
        </w:rPr>
        <w:t>：对历史迁入数据坚持零干预，保障群众端合同可正常查看、业务连续。</w:t>
      </w:r>
    </w:p>
    <w:p w14:paraId="283A663E">
      <w:pPr>
        <w:rPr>
          <w:color w:val="000000" w:themeColor="text1"/>
          <w14:textFill>
            <w14:solidFill>
              <w14:schemeClr w14:val="tx1"/>
            </w14:solidFill>
          </w14:textFill>
        </w:rPr>
      </w:pPr>
      <w:r>
        <w:rPr>
          <w:color w:val="000000" w:themeColor="text1"/>
          <w14:textFill>
            <w14:solidFill>
              <w14:schemeClr w14:val="tx1"/>
            </w14:solidFill>
          </w14:textFill>
        </w:rPr>
        <w:br w:type="page"/>
      </w:r>
    </w:p>
    <w:bookmarkEnd w:id="47"/>
    <w:bookmarkEnd w:id="111"/>
    <w:p w14:paraId="316B95E7">
      <w:pPr>
        <w:pStyle w:val="2"/>
        <w:rPr>
          <w:color w:val="000000" w:themeColor="text1"/>
          <w14:textFill>
            <w14:solidFill>
              <w14:schemeClr w14:val="tx1"/>
            </w14:solidFill>
          </w14:textFill>
        </w:rPr>
      </w:pPr>
      <w:bookmarkStart w:id="112" w:name="第三章-项目实施管理"/>
      <w:r>
        <w:rPr>
          <w:rFonts w:hint="eastAsia"/>
          <w:color w:val="000000" w:themeColor="text1"/>
          <w14:textFill>
            <w14:solidFill>
              <w14:schemeClr w14:val="tx1"/>
            </w14:solidFill>
          </w14:textFill>
        </w:rPr>
        <w:t>第三章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项目实施管理</w:t>
      </w:r>
    </w:p>
    <w:p w14:paraId="024472E4">
      <w:pPr>
        <w:pStyle w:val="4"/>
        <w:rPr>
          <w:color w:val="000000" w:themeColor="text1"/>
          <w14:textFill>
            <w14:solidFill>
              <w14:schemeClr w14:val="tx1"/>
            </w14:solidFill>
          </w14:textFill>
        </w:rPr>
      </w:pPr>
      <w:bookmarkStart w:id="113" w:name="实施管理总体思路"/>
      <w:r>
        <w:rPr>
          <w:color w:val="000000" w:themeColor="text1"/>
          <w14:textFill>
            <w14:solidFill>
              <w14:schemeClr w14:val="tx1"/>
            </w14:solidFill>
          </w14:textFill>
        </w:rPr>
        <w:t xml:space="preserve">3.1 </w:t>
      </w:r>
      <w:r>
        <w:rPr>
          <w:rFonts w:hint="eastAsia"/>
          <w:color w:val="000000" w:themeColor="text1"/>
          <w14:textFill>
            <w14:solidFill>
              <w14:schemeClr w14:val="tx1"/>
            </w14:solidFill>
          </w14:textFill>
        </w:rPr>
        <w:t>实施管理总体思路</w:t>
      </w:r>
    </w:p>
    <w:p w14:paraId="2BDAE61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本项目采用驻场开发服务模式，实施管理的总体思路是”</w:t>
      </w:r>
      <w:r>
        <w:rPr>
          <w:rFonts w:hint="eastAsia"/>
          <w:b/>
          <w:bCs/>
          <w:color w:val="000000" w:themeColor="text1"/>
          <w14:textFill>
            <w14:solidFill>
              <w14:schemeClr w14:val="tx1"/>
            </w14:solidFill>
          </w14:textFill>
        </w:rPr>
        <w:t>一支稳定团队、一套敏捷节奏、一条质量底线、一个协同界面</w:t>
      </w:r>
      <w:r>
        <w:rPr>
          <w:rFonts w:hint="eastAsia"/>
          <w:color w:val="000000" w:themeColor="text1"/>
          <w14:textFill>
            <w14:solidFill>
              <w14:schemeClr w14:val="tx1"/>
            </w14:solidFill>
          </w14:textFill>
        </w:rPr>
        <w:t>”：以稳定的驻场团队为基础，以迭代开发+里程碑基线为节奏，以规范与多层测试为质量底线，以周报月报例会为与招标人的协同界面，实现”开发—对接—测试—验收”全流程可控。</w:t>
      </w:r>
    </w:p>
    <w:p w14:paraId="110328D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招标硬性约束：开发期</w:t>
      </w:r>
      <w:r>
        <w:rPr>
          <w:color w:val="000000" w:themeColor="text1"/>
          <w14:textFill>
            <w14:solidFill>
              <w14:schemeClr w14:val="tx1"/>
            </w14:solidFill>
          </w14:textFill>
        </w:rPr>
        <w:t xml:space="preserve"> </w:t>
      </w:r>
      <w:r>
        <w:rPr>
          <w:b/>
          <w:bCs/>
          <w:color w:val="000000" w:themeColor="text1"/>
          <w14:textFill>
            <w14:solidFill>
              <w14:schemeClr w14:val="tx1"/>
            </w14:solidFill>
          </w14:textFill>
        </w:rPr>
        <w:t xml:space="preserve">60 </w:t>
      </w:r>
      <w:r>
        <w:rPr>
          <w:rFonts w:hint="eastAsia"/>
          <w:b/>
          <w:bCs/>
          <w:color w:val="000000" w:themeColor="text1"/>
          <w14:textFill>
            <w14:solidFill>
              <w14:schemeClr w14:val="tx1"/>
            </w14:solidFill>
          </w14:textFill>
        </w:rPr>
        <w:t>日历天</w:t>
      </w:r>
      <w:r>
        <w:rPr>
          <w:rFonts w:hint="eastAsia"/>
          <w:color w:val="000000" w:themeColor="text1"/>
          <w14:textFill>
            <w14:solidFill>
              <w14:schemeClr w14:val="tx1"/>
            </w14:solidFill>
          </w14:textFill>
        </w:rPr>
        <w:t>（自甲方书面开工通知起算），研发服务总人月数</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不少于</w:t>
      </w:r>
      <w:r>
        <w:rPr>
          <w:b/>
          <w:bCs/>
          <w:color w:val="000000" w:themeColor="text1"/>
          <w14:textFill>
            <w14:solidFill>
              <w14:schemeClr w14:val="tx1"/>
            </w14:solidFill>
          </w14:textFill>
        </w:rPr>
        <w:t xml:space="preserve"> 37 </w:t>
      </w:r>
      <w:r>
        <w:rPr>
          <w:rFonts w:hint="eastAsia"/>
          <w:b/>
          <w:bCs/>
          <w:color w:val="000000" w:themeColor="text1"/>
          <w14:textFill>
            <w14:solidFill>
              <w14:schemeClr w14:val="tx1"/>
            </w14:solidFill>
          </w14:textFill>
        </w:rPr>
        <w:t>人月</w:t>
      </w:r>
      <w:r>
        <w:rPr>
          <w:rFonts w:hint="eastAsia"/>
          <w:color w:val="000000" w:themeColor="text1"/>
          <w14:textFill>
            <w14:solidFill>
              <w14:schemeClr w14:val="tx1"/>
            </w14:solidFill>
          </w14:textFill>
        </w:rPr>
        <w:t>，六年免费运维，付款按”签约25%</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初验50%</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终验95%</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5%运维保证金期满结算”节点执行。本章各项安排均以此为锚点。</w:t>
      </w:r>
    </w:p>
    <w:bookmarkEnd w:id="113"/>
    <w:p w14:paraId="6F855CA9">
      <w:pPr>
        <w:pStyle w:val="4"/>
        <w:rPr>
          <w:color w:val="000000" w:themeColor="text1"/>
          <w14:textFill>
            <w14:solidFill>
              <w14:schemeClr w14:val="tx1"/>
            </w14:solidFill>
          </w14:textFill>
        </w:rPr>
      </w:pPr>
      <w:bookmarkStart w:id="114" w:name="人员配置"/>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人员配置</w:t>
      </w:r>
    </w:p>
    <w:p w14:paraId="0CD12BE8">
      <w:pPr>
        <w:pStyle w:val="5"/>
        <w:rPr>
          <w:color w:val="000000" w:themeColor="text1"/>
          <w14:textFill>
            <w14:solidFill>
              <w14:schemeClr w14:val="tx1"/>
            </w14:solidFill>
          </w14:textFill>
        </w:rPr>
      </w:pPr>
      <w:bookmarkStart w:id="115" w:name="项目组织架构"/>
      <w:r>
        <w:rPr>
          <w:color w:val="000000" w:themeColor="text1"/>
          <w14:textFill>
            <w14:solidFill>
              <w14:schemeClr w14:val="tx1"/>
            </w14:solidFill>
          </w14:textFill>
        </w:rPr>
        <w:t xml:space="preserve">3.2.1 </w:t>
      </w:r>
      <w:r>
        <w:rPr>
          <w:rFonts w:hint="eastAsia"/>
          <w:color w:val="000000" w:themeColor="text1"/>
          <w14:textFill>
            <w14:solidFill>
              <w14:schemeClr w14:val="tx1"/>
            </w14:solidFill>
          </w14:textFill>
        </w:rPr>
        <w:t>项目组织架构</w:t>
      </w:r>
    </w:p>
    <w:p w14:paraId="0B551DE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项目设立”决策层—管理层—执行层”三级组织：</w:t>
      </w:r>
    </w:p>
    <w:p w14:paraId="54EC09C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决策层</w:t>
      </w:r>
      <w:r>
        <w:rPr>
          <w:rFonts w:hint="eastAsia"/>
          <w:color w:val="000000" w:themeColor="text1"/>
          <w14:textFill>
            <w14:solidFill>
              <w14:schemeClr w14:val="tx1"/>
            </w14:solidFill>
          </w14:textFill>
        </w:rPr>
        <w:t>：项目发起人/公司分管领导，负责重大事项决策与资源保障；</w:t>
      </w:r>
    </w:p>
    <w:p w14:paraId="691768D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管理层</w:t>
      </w:r>
      <w:r>
        <w:rPr>
          <w:rFonts w:hint="eastAsia"/>
          <w:color w:val="000000" w:themeColor="text1"/>
          <w14:textFill>
            <w14:solidFill>
              <w14:schemeClr w14:val="tx1"/>
            </w14:solidFill>
          </w14:textFill>
        </w:rPr>
        <w:t>：项目经理，负责整体计划、进度、质量、风险、沟通；</w:t>
      </w:r>
    </w:p>
    <w:p w14:paraId="1DF3EBA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执行层</w:t>
      </w:r>
      <w:r>
        <w:rPr>
          <w:rFonts w:hint="eastAsia"/>
          <w:color w:val="000000" w:themeColor="text1"/>
          <w14:textFill>
            <w14:solidFill>
              <w14:schemeClr w14:val="tx1"/>
            </w14:solidFill>
          </w14:textFill>
        </w:rPr>
        <w:t>：驻场研发团队（前端、后端、对接、测试、实施运维），负责具体开发、对接、测试、上线与运维。</w:t>
      </w:r>
    </w:p>
    <w:p w14:paraId="523EBB4A">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619250"/>
            <wp:effectExtent l="0" t="0" r="0" b="0"/>
            <wp:docPr id="162" name="Picture" descr="图3-1 项目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图3-1 项目组织架构图"/>
                    <pic:cNvPicPr>
                      <a:picLocks noChangeAspect="1" noChangeArrowheads="1"/>
                    </pic:cNvPicPr>
                  </pic:nvPicPr>
                  <pic:blipFill>
                    <a:blip r:embed="rId18"/>
                    <a:stretch>
                      <a:fillRect/>
                    </a:stretch>
                  </pic:blipFill>
                  <pic:spPr>
                    <a:xfrm>
                      <a:off x="0" y="0"/>
                      <a:ext cx="5334000" cy="1619250"/>
                    </a:xfrm>
                    <a:prstGeom prst="rect">
                      <a:avLst/>
                    </a:prstGeom>
                    <a:noFill/>
                    <a:ln w="9525">
                      <a:noFill/>
                    </a:ln>
                  </pic:spPr>
                </pic:pic>
              </a:graphicData>
            </a:graphic>
          </wp:inline>
        </w:drawing>
      </w:r>
    </w:p>
    <w:p w14:paraId="7D0B0246">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图3-1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项目组织架构图</w:t>
      </w:r>
    </w:p>
    <w:p w14:paraId="78A0978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图3-1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项目组织架构图</w:t>
      </w:r>
    </w:p>
    <w:bookmarkEnd w:id="115"/>
    <w:p w14:paraId="1016E7D9">
      <w:pPr>
        <w:pStyle w:val="5"/>
        <w:rPr>
          <w:color w:val="000000" w:themeColor="text1"/>
          <w14:textFill>
            <w14:solidFill>
              <w14:schemeClr w14:val="tx1"/>
            </w14:solidFill>
          </w14:textFill>
        </w:rPr>
      </w:pPr>
      <w:bookmarkStart w:id="116" w:name="驻场团队角色与职责"/>
      <w:r>
        <w:rPr>
          <w:color w:val="000000" w:themeColor="text1"/>
          <w14:textFill>
            <w14:solidFill>
              <w14:schemeClr w14:val="tx1"/>
            </w14:solidFill>
          </w14:textFill>
        </w:rPr>
        <w:t xml:space="preserve">3.2.2 </w:t>
      </w:r>
      <w:r>
        <w:rPr>
          <w:rFonts w:hint="eastAsia"/>
          <w:color w:val="000000" w:themeColor="text1"/>
          <w14:textFill>
            <w14:solidFill>
              <w14:schemeClr w14:val="tx1"/>
            </w14:solidFill>
          </w14:textFill>
        </w:rPr>
        <w:t>驻场团队角色与职责</w:t>
      </w:r>
    </w:p>
    <w:tbl>
      <w:tblPr>
        <w:tblStyle w:val="41"/>
        <w:tblW w:w="0" w:type="auto"/>
        <w:tblInd w:w="0" w:type="dxa"/>
        <w:tblLayout w:type="autofit"/>
        <w:tblCellMar>
          <w:top w:w="0" w:type="dxa"/>
          <w:left w:w="108" w:type="dxa"/>
          <w:bottom w:w="0" w:type="dxa"/>
          <w:right w:w="108" w:type="dxa"/>
        </w:tblCellMar>
      </w:tblPr>
      <w:tblGrid>
        <w:gridCol w:w="1896"/>
        <w:gridCol w:w="6696"/>
      </w:tblGrid>
      <w:tr w14:paraId="2E96DB8E">
        <w:trPr>
          <w:tblHeader/>
        </w:trPr>
        <w:tc>
          <w:p w14:paraId="47D97DC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角色</w:t>
            </w:r>
          </w:p>
        </w:tc>
        <w:tc>
          <w:p w14:paraId="0EB412B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主要职责</w:t>
            </w:r>
          </w:p>
        </w:tc>
      </w:tr>
      <w:tr w14:paraId="4F60B8EF">
        <w:tc>
          <w:p w14:paraId="4D91E4D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项目经理</w:t>
            </w:r>
          </w:p>
        </w:tc>
        <w:tc>
          <w:p w14:paraId="0CD92A1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总体计划与协调、进度质量风险管控、对甲方沟通、周报月报</w:t>
            </w:r>
          </w:p>
        </w:tc>
      </w:tr>
      <w:tr w14:paraId="52F809D3">
        <w:tc>
          <w:p w14:paraId="24E4FA0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后端开发工程师</w:t>
            </w:r>
          </w:p>
        </w:tc>
        <w:tc>
          <w:p w14:paraId="170FD53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后端服务、业务逻辑、数据库、接口开发</w:t>
            </w:r>
          </w:p>
        </w:tc>
      </w:tr>
      <w:tr w14:paraId="310F3C36">
        <w:tc>
          <w:p w14:paraId="028DC66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前端开发工程师</w:t>
            </w:r>
          </w:p>
        </w:tc>
        <w:tc>
          <w:p w14:paraId="48F3DE3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四端界面开发与联调</w:t>
            </w:r>
          </w:p>
        </w:tc>
      </w:tr>
      <w:tr w14:paraId="6A61FCC9">
        <w:tc>
          <w:p w14:paraId="48822BF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对接工程师</w:t>
            </w:r>
          </w:p>
        </w:tc>
        <w:tc>
          <w:p w14:paraId="5075DB5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郑好办、政务数据、支付、签章、人脸等外部对接</w:t>
            </w:r>
          </w:p>
        </w:tc>
      </w:tr>
      <w:tr w14:paraId="5183F9AE">
        <w:tc>
          <w:p w14:paraId="79E8D09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测试工程师</w:t>
            </w:r>
          </w:p>
        </w:tc>
        <w:tc>
          <w:p w14:paraId="33E1765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测试计划、用例、执行、缺陷跟踪、回归</w:t>
            </w:r>
          </w:p>
        </w:tc>
      </w:tr>
      <w:tr w14:paraId="210DE97D">
        <w:tc>
          <w:p w14:paraId="05A9A6B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实施运维工程师</w:t>
            </w:r>
          </w:p>
        </w:tc>
        <w:tc>
          <w:p w14:paraId="30428C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部署、上线、数据迁移、日常运维与用户培训</w:t>
            </w:r>
          </w:p>
        </w:tc>
      </w:tr>
    </w:tbl>
    <w:p w14:paraId="7B7E3268">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各角色职责清晰、协同配合，关键岗位配备具备相应经验的人员，驻场人员满足”3年以上系统运维及管理经验、独立承担任务与进度把控、良好沟通与服务意识”的要求。</w:t>
      </w:r>
    </w:p>
    <w:bookmarkEnd w:id="116"/>
    <w:p w14:paraId="6676595A">
      <w:pPr>
        <w:pStyle w:val="5"/>
        <w:rPr>
          <w:color w:val="000000" w:themeColor="text1"/>
          <w14:textFill>
            <w14:solidFill>
              <w14:schemeClr w14:val="tx1"/>
            </w14:solidFill>
          </w14:textFill>
        </w:rPr>
      </w:pPr>
      <w:bookmarkStart w:id="117" w:name="岗位任职资格要求"/>
      <w:r>
        <w:rPr>
          <w:color w:val="000000" w:themeColor="text1"/>
          <w14:textFill>
            <w14:solidFill>
              <w14:schemeClr w14:val="tx1"/>
            </w14:solidFill>
          </w14:textFill>
        </w:rPr>
        <w:t xml:space="preserve">3.2.3 </w:t>
      </w:r>
      <w:r>
        <w:rPr>
          <w:rFonts w:hint="eastAsia"/>
          <w:color w:val="000000" w:themeColor="text1"/>
          <w14:textFill>
            <w14:solidFill>
              <w14:schemeClr w14:val="tx1"/>
            </w14:solidFill>
          </w14:textFill>
        </w:rPr>
        <w:t>岗位任职资格要求</w:t>
      </w:r>
    </w:p>
    <w:p w14:paraId="2C2A634A">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项目经理</w:t>
      </w:r>
      <w:r>
        <w:rPr>
          <w:rFonts w:hint="eastAsia"/>
          <w:color w:val="000000" w:themeColor="text1"/>
          <w14:textFill>
            <w14:solidFill>
              <w14:schemeClr w14:val="tx1"/>
            </w14:solidFill>
          </w14:textFill>
        </w:rPr>
        <w:t>：具备信息系统项目管理经验与相应资质，具备统筹协调与风险管控能力；</w:t>
      </w:r>
    </w:p>
    <w:p w14:paraId="754F31C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开发工程师</w:t>
      </w:r>
      <w:r>
        <w:rPr>
          <w:rFonts w:hint="eastAsia"/>
          <w:color w:val="000000" w:themeColor="text1"/>
          <w14:textFill>
            <w14:solidFill>
              <w14:schemeClr w14:val="tx1"/>
            </w14:solidFill>
          </w14:textFill>
        </w:rPr>
        <w:t>：熟练掌握</w:t>
      </w:r>
      <w:r>
        <w:rPr>
          <w:color w:val="000000" w:themeColor="text1"/>
          <w14:textFill>
            <w14:solidFill>
              <w14:schemeClr w14:val="tx1"/>
            </w14:solidFill>
          </w14:textFill>
        </w:rPr>
        <w:t xml:space="preserve"> Spring Boot/MyBatis-Plus/Vue/uni-app </w:t>
      </w:r>
      <w:r>
        <w:rPr>
          <w:rFonts w:hint="eastAsia"/>
          <w:color w:val="000000" w:themeColor="text1"/>
          <w14:textFill>
            <w14:solidFill>
              <w14:schemeClr w14:val="tx1"/>
            </w14:solidFill>
          </w14:textFill>
        </w:rPr>
        <w:t>技术栈，具备同类系统开发经验；</w:t>
      </w:r>
    </w:p>
    <w:p w14:paraId="209FB9C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对接工程师</w:t>
      </w:r>
      <w:r>
        <w:rPr>
          <w:rFonts w:hint="eastAsia"/>
          <w:color w:val="000000" w:themeColor="text1"/>
          <w14:textFill>
            <w14:solidFill>
              <w14:schemeClr w14:val="tx1"/>
            </w14:solidFill>
          </w14:textFill>
        </w:rPr>
        <w:t>：具备政务/支付/第三方接口对接经验，熟悉网络与安全要求；</w:t>
      </w:r>
    </w:p>
    <w:p w14:paraId="41A47F5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测试工程师</w:t>
      </w:r>
      <w:r>
        <w:rPr>
          <w:rFonts w:hint="eastAsia"/>
          <w:color w:val="000000" w:themeColor="text1"/>
          <w14:textFill>
            <w14:solidFill>
              <w14:schemeClr w14:val="tx1"/>
            </w14:solidFill>
          </w14:textFill>
        </w:rPr>
        <w:t>：具备测试用例设计与自动化/性能测试能力；</w:t>
      </w:r>
    </w:p>
    <w:p w14:paraId="729613A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实施运维工程师</w:t>
      </w:r>
      <w:r>
        <w:rPr>
          <w:rFonts w:hint="eastAsia"/>
          <w:color w:val="000000" w:themeColor="text1"/>
          <w14:textFill>
            <w14:solidFill>
              <w14:schemeClr w14:val="tx1"/>
            </w14:solidFill>
          </w14:textFill>
        </w:rPr>
        <w:t>：具备</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Linux/数据库/中间件运维与部署经验、良好服务意识。</w:t>
      </w:r>
    </w:p>
    <w:bookmarkEnd w:id="117"/>
    <w:p w14:paraId="00385E94">
      <w:pPr>
        <w:pStyle w:val="5"/>
        <w:rPr>
          <w:color w:val="000000" w:themeColor="text1"/>
          <w14:textFill>
            <w14:solidFill>
              <w14:schemeClr w14:val="tx1"/>
            </w14:solidFill>
          </w14:textFill>
        </w:rPr>
      </w:pPr>
      <w:bookmarkStart w:id="118" w:name="人月投入分布"/>
      <w:r>
        <w:rPr>
          <w:color w:val="000000" w:themeColor="text1"/>
          <w14:textFill>
            <w14:solidFill>
              <w14:schemeClr w14:val="tx1"/>
            </w14:solidFill>
          </w14:textFill>
        </w:rPr>
        <w:t xml:space="preserve">3.2.4 </w:t>
      </w:r>
      <w:r>
        <w:rPr>
          <w:rFonts w:hint="eastAsia"/>
          <w:color w:val="000000" w:themeColor="text1"/>
          <w14:textFill>
            <w14:solidFill>
              <w14:schemeClr w14:val="tx1"/>
            </w14:solidFill>
          </w14:textFill>
        </w:rPr>
        <w:t>人月投入分布</w:t>
      </w:r>
    </w:p>
    <w:p w14:paraId="4D7394C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围绕”总人月不少于37人月”的约束，人月投入按项目阶段动态分布：开发期（60日历天）集中投入以完成核心功能建设与对接，进入运维期后按运维保障需要配置稳定驻场力量。人月投入随阶段呈”前密后稳”分布，保证开发期强度与运维期连续性。</w:t>
      </w:r>
    </w:p>
    <w:tbl>
      <w:tblPr>
        <w:tblStyle w:val="41"/>
        <w:tblW w:w="0" w:type="auto"/>
        <w:tblInd w:w="0" w:type="dxa"/>
        <w:tblLayout w:type="autofit"/>
        <w:tblCellMar>
          <w:top w:w="0" w:type="dxa"/>
          <w:left w:w="108" w:type="dxa"/>
          <w:bottom w:w="0" w:type="dxa"/>
          <w:right w:w="108" w:type="dxa"/>
        </w:tblCellMar>
      </w:tblPr>
      <w:tblGrid>
        <w:gridCol w:w="2616"/>
        <w:gridCol w:w="3576"/>
        <w:gridCol w:w="1176"/>
      </w:tblGrid>
      <w:tr w14:paraId="16E68F60">
        <w:trPr>
          <w:tblHeader/>
        </w:trPr>
        <w:tc>
          <w:p w14:paraId="70F0087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阶段</w:t>
            </w:r>
          </w:p>
        </w:tc>
        <w:tc>
          <w:p w14:paraId="16EA20E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投入重点</w:t>
            </w:r>
          </w:p>
        </w:tc>
        <w:tc>
          <w:p w14:paraId="668EEC9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人月强度</w:t>
            </w:r>
          </w:p>
        </w:tc>
      </w:tr>
      <w:tr w14:paraId="01B7BC34">
        <w:tc>
          <w:p w14:paraId="27A187A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启动准备</w:t>
            </w:r>
          </w:p>
        </w:tc>
        <w:tc>
          <w:p w14:paraId="5D6E0FA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环境、需求确认、方案细化</w:t>
            </w:r>
          </w:p>
        </w:tc>
        <w:tc>
          <w:p w14:paraId="1430E3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中</w:t>
            </w:r>
          </w:p>
        </w:tc>
      </w:tr>
      <w:tr w14:paraId="1BF0B108">
        <w:tc>
          <w:p w14:paraId="4C5AE61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核心开发（开发期内）</w:t>
            </w:r>
          </w:p>
        </w:tc>
        <w:tc>
          <w:p w14:paraId="4D1B1DE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四端与八大业务域开发、对接</w:t>
            </w:r>
          </w:p>
        </w:tc>
        <w:tc>
          <w:p w14:paraId="28B37DA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271CB336">
        <w:tc>
          <w:p w14:paraId="59915EF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联调测试</w:t>
            </w:r>
          </w:p>
        </w:tc>
        <w:tc>
          <w:p w14:paraId="4CCBB64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对接联调、系统测试、性能测试</w:t>
            </w:r>
          </w:p>
        </w:tc>
        <w:tc>
          <w:p w14:paraId="06B95A9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高</w:t>
            </w:r>
          </w:p>
        </w:tc>
      </w:tr>
      <w:tr w14:paraId="33327AA3">
        <w:tc>
          <w:p w14:paraId="7C273DE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上线验收</w:t>
            </w:r>
          </w:p>
        </w:tc>
        <w:tc>
          <w:p w14:paraId="4B97604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数据迁移、上线、初验、终验</w:t>
            </w:r>
          </w:p>
        </w:tc>
        <w:tc>
          <w:p w14:paraId="376D8FE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中高</w:t>
            </w:r>
          </w:p>
        </w:tc>
      </w:tr>
      <w:tr w14:paraId="01B3DBF7">
        <w:tc>
          <w:p w14:paraId="65B8FB9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运维期</w:t>
            </w:r>
          </w:p>
        </w:tc>
        <w:tc>
          <w:p w14:paraId="1D6B132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驻场运维、迭代优化、培训</w:t>
            </w:r>
          </w:p>
        </w:tc>
        <w:tc>
          <w:p w14:paraId="6AB28C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稳定</w:t>
            </w:r>
          </w:p>
        </w:tc>
      </w:tr>
    </w:tbl>
    <w:p w14:paraId="17E9CE7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（累计人月不少于37人月，具体分配在项目启动会与甲方确认后细化。）</w:t>
      </w:r>
    </w:p>
    <w:p w14:paraId="1E33966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分角色人月投入分解（示意，总计不少于37人月）</w:t>
      </w:r>
      <w:r>
        <w:rPr>
          <w:rFonts w:hint="eastAsia"/>
          <w:color w:val="000000" w:themeColor="text1"/>
          <w14:textFill>
            <w14:solidFill>
              <w14:schemeClr w14:val="tx1"/>
            </w14:solidFill>
          </w14:textFill>
        </w:rPr>
        <w:t>：</w:t>
      </w:r>
    </w:p>
    <w:tbl>
      <w:tblPr>
        <w:tblStyle w:val="41"/>
        <w:tblW w:w="0" w:type="auto"/>
        <w:tblInd w:w="0" w:type="dxa"/>
        <w:tblLayout w:type="autofit"/>
        <w:tblCellMar>
          <w:top w:w="0" w:type="dxa"/>
          <w:left w:w="108" w:type="dxa"/>
          <w:bottom w:w="0" w:type="dxa"/>
          <w:right w:w="108" w:type="dxa"/>
        </w:tblCellMar>
      </w:tblPr>
      <w:tblGrid>
        <w:gridCol w:w="1416"/>
        <w:gridCol w:w="1416"/>
        <w:gridCol w:w="1416"/>
        <w:gridCol w:w="2856"/>
      </w:tblGrid>
      <w:tr w14:paraId="560E203C">
        <w:trPr>
          <w:tblHeader/>
        </w:trPr>
        <w:tc>
          <w:p w14:paraId="11D11CC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角色</w:t>
            </w:r>
          </w:p>
        </w:tc>
        <w:tc>
          <w:p w14:paraId="0BECC45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开发期投入</w:t>
            </w:r>
          </w:p>
        </w:tc>
        <w:tc>
          <w:p w14:paraId="42509D6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运维期投入</w:t>
            </w:r>
          </w:p>
        </w:tc>
        <w:tc>
          <w:p w14:paraId="60BDE86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4E57F50B">
        <w:tc>
          <w:p w14:paraId="73C1341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项目经理</w:t>
            </w:r>
          </w:p>
        </w:tc>
        <w:tc>
          <w:p w14:paraId="00C70BC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全程</w:t>
            </w:r>
          </w:p>
        </w:tc>
        <w:tc>
          <w:p w14:paraId="50F1DDA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全程</w:t>
            </w:r>
          </w:p>
        </w:tc>
        <w:tc>
          <w:p w14:paraId="79B3BE5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计划、协调、质量、沟通</w:t>
            </w:r>
          </w:p>
        </w:tc>
      </w:tr>
      <w:tr w14:paraId="2301988B">
        <w:tc>
          <w:p w14:paraId="71ACB09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后端开发</w:t>
            </w:r>
          </w:p>
        </w:tc>
        <w:tc>
          <w:p w14:paraId="114B400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集中高强度</w:t>
            </w:r>
          </w:p>
        </w:tc>
        <w:tc>
          <w:p w14:paraId="64E9DEC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按需迭代</w:t>
            </w:r>
          </w:p>
        </w:tc>
        <w:tc>
          <w:p w14:paraId="5BAFC4F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业务域与接口开发</w:t>
            </w:r>
          </w:p>
        </w:tc>
      </w:tr>
      <w:tr w14:paraId="591C948C">
        <w:tc>
          <w:p w14:paraId="3BC6679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前端开发</w:t>
            </w:r>
          </w:p>
        </w:tc>
        <w:tc>
          <w:p w14:paraId="38D2F8B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集中高强度</w:t>
            </w:r>
          </w:p>
        </w:tc>
        <w:tc>
          <w:p w14:paraId="1D8F8DE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按需迭代</w:t>
            </w:r>
          </w:p>
        </w:tc>
        <w:tc>
          <w:p w14:paraId="555AB98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四端界面与联调</w:t>
            </w:r>
          </w:p>
        </w:tc>
      </w:tr>
      <w:tr w14:paraId="0114A661">
        <w:tc>
          <w:p w14:paraId="230307E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对接工程师</w:t>
            </w:r>
          </w:p>
        </w:tc>
        <w:tc>
          <w:p w14:paraId="3D47DB5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集中高强度</w:t>
            </w:r>
          </w:p>
        </w:tc>
        <w:tc>
          <w:p w14:paraId="1661962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按需维护</w:t>
            </w:r>
          </w:p>
        </w:tc>
        <w:tc>
          <w:p w14:paraId="1B462FD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外部对接与联调</w:t>
            </w:r>
          </w:p>
        </w:tc>
      </w:tr>
      <w:tr w14:paraId="008C871E">
        <w:tc>
          <w:p w14:paraId="7C041B5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测试工程师</w:t>
            </w:r>
          </w:p>
        </w:tc>
        <w:tc>
          <w:p w14:paraId="4F7B78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中后期集中</w:t>
            </w:r>
          </w:p>
        </w:tc>
        <w:tc>
          <w:p w14:paraId="5C74479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回归保障</w:t>
            </w:r>
          </w:p>
        </w:tc>
        <w:tc>
          <w:p w14:paraId="6C91EC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测试与缺陷跟踪</w:t>
            </w:r>
          </w:p>
        </w:tc>
      </w:tr>
      <w:tr w14:paraId="01347E53">
        <w:tc>
          <w:p w14:paraId="5EA119D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实施运维</w:t>
            </w:r>
          </w:p>
        </w:tc>
        <w:tc>
          <w:p w14:paraId="6D6F50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中后期集中</w:t>
            </w:r>
          </w:p>
        </w:tc>
        <w:tc>
          <w:p w14:paraId="207A7C9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全程驻场</w:t>
            </w:r>
          </w:p>
        </w:tc>
        <w:tc>
          <w:p w14:paraId="673321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部署、迁移、运维、培训</w:t>
            </w:r>
          </w:p>
        </w:tc>
      </w:tr>
    </w:tbl>
    <w:p w14:paraId="5249058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我方承诺研发服务总投入不少于</w:t>
      </w:r>
      <w:r>
        <w:rPr>
          <w:color w:val="000000" w:themeColor="text1"/>
          <w14:textFill>
            <w14:solidFill>
              <w14:schemeClr w14:val="tx1"/>
            </w14:solidFill>
          </w14:textFill>
        </w:rPr>
        <w:t xml:space="preserve"> 37 </w:t>
      </w:r>
      <w:r>
        <w:rPr>
          <w:rFonts w:hint="eastAsia"/>
          <w:color w:val="000000" w:themeColor="text1"/>
          <w14:textFill>
            <w14:solidFill>
              <w14:schemeClr w14:val="tx1"/>
            </w14:solidFill>
          </w14:textFill>
        </w:rPr>
        <w:t>人月；若在总人月内未能完成约定交付，我方自担费用继续投入人员直至如期交付，不因人月用尽而中断或降低交付质量。</w:t>
      </w:r>
    </w:p>
    <w:bookmarkEnd w:id="118"/>
    <w:p w14:paraId="66FBF9C4">
      <w:pPr>
        <w:pStyle w:val="5"/>
        <w:rPr>
          <w:color w:val="000000" w:themeColor="text1"/>
          <w14:textFill>
            <w14:solidFill>
              <w14:schemeClr w14:val="tx1"/>
            </w14:solidFill>
          </w14:textFill>
        </w:rPr>
      </w:pPr>
      <w:bookmarkStart w:id="119" w:name="团队后方支撑"/>
      <w:r>
        <w:rPr>
          <w:color w:val="000000" w:themeColor="text1"/>
          <w14:textFill>
            <w14:solidFill>
              <w14:schemeClr w14:val="tx1"/>
            </w14:solidFill>
          </w14:textFill>
        </w:rPr>
        <w:t xml:space="preserve">3.2.5 </w:t>
      </w:r>
      <w:r>
        <w:rPr>
          <w:rFonts w:hint="eastAsia"/>
          <w:color w:val="000000" w:themeColor="text1"/>
          <w14:textFill>
            <w14:solidFill>
              <w14:schemeClr w14:val="tx1"/>
            </w14:solidFill>
          </w14:textFill>
        </w:rPr>
        <w:t>团队后方支撑</w:t>
      </w:r>
    </w:p>
    <w:p w14:paraId="28A62CA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除驻场团队外，公司后方配备架构师、数据库专家、安全专家作为二线支撑，驻场团队遇到复杂技术问题可随时调用后方资源远程支援，形成”前场驻场</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后方专家”的双层保障，提升疑难问题的处置能力与响应速度。</w:t>
      </w:r>
    </w:p>
    <w:bookmarkEnd w:id="119"/>
    <w:p w14:paraId="0CB0F6AC">
      <w:pPr>
        <w:pStyle w:val="5"/>
        <w:rPr>
          <w:color w:val="000000" w:themeColor="text1"/>
          <w14:textFill>
            <w14:solidFill>
              <w14:schemeClr w14:val="tx1"/>
            </w14:solidFill>
          </w14:textFill>
        </w:rPr>
      </w:pPr>
      <w:bookmarkStart w:id="120" w:name="人员进场与到岗保障"/>
      <w:r>
        <w:rPr>
          <w:color w:val="000000" w:themeColor="text1"/>
          <w14:textFill>
            <w14:solidFill>
              <w14:schemeClr w14:val="tx1"/>
            </w14:solidFill>
          </w14:textFill>
        </w:rPr>
        <w:t xml:space="preserve">3.2.6 </w:t>
      </w:r>
      <w:r>
        <w:rPr>
          <w:rFonts w:hint="eastAsia"/>
          <w:color w:val="000000" w:themeColor="text1"/>
          <w14:textFill>
            <w14:solidFill>
              <w14:schemeClr w14:val="tx1"/>
            </w14:solidFill>
          </w14:textFill>
        </w:rPr>
        <w:t>人员进场与到岗保障</w:t>
      </w:r>
    </w:p>
    <w:p w14:paraId="67BEB447">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接甲方书面开工通知后，项目经理与核心开发人员按计划进场；</w:t>
      </w:r>
    </w:p>
    <w:p w14:paraId="3A5A4CB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建立到岗签到与考勤机制，服从甲方现场管理与考勤要求；</w:t>
      </w:r>
    </w:p>
    <w:p w14:paraId="12456832">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关键岗位设</w:t>
      </w:r>
      <w:r>
        <w:rPr>
          <w:color w:val="000000" w:themeColor="text1"/>
          <w14:textFill>
            <w14:solidFill>
              <w14:schemeClr w14:val="tx1"/>
            </w14:solidFill>
          </w14:textFill>
        </w:rPr>
        <w:t xml:space="preserve"> AB </w:t>
      </w:r>
      <w:r>
        <w:rPr>
          <w:rFonts w:hint="eastAsia"/>
          <w:color w:val="000000" w:themeColor="text1"/>
          <w14:textFill>
            <w14:solidFill>
              <w14:schemeClr w14:val="tx1"/>
            </w14:solidFill>
          </w14:textFill>
        </w:rPr>
        <w:t>角，防止单点缺位影响进度。</w:t>
      </w:r>
    </w:p>
    <w:bookmarkEnd w:id="120"/>
    <w:p w14:paraId="1B8CE3E4">
      <w:pPr>
        <w:pStyle w:val="5"/>
        <w:rPr>
          <w:color w:val="000000" w:themeColor="text1"/>
          <w14:textFill>
            <w14:solidFill>
              <w14:schemeClr w14:val="tx1"/>
            </w14:solidFill>
          </w14:textFill>
        </w:rPr>
      </w:pPr>
      <w:bookmarkStart w:id="121" w:name="人员稳定性与替换保障"/>
      <w:r>
        <w:rPr>
          <w:color w:val="000000" w:themeColor="text1"/>
          <w14:textFill>
            <w14:solidFill>
              <w14:schemeClr w14:val="tx1"/>
            </w14:solidFill>
          </w14:textFill>
        </w:rPr>
        <w:t xml:space="preserve">3.2.7 </w:t>
      </w:r>
      <w:r>
        <w:rPr>
          <w:rFonts w:hint="eastAsia"/>
          <w:color w:val="000000" w:themeColor="text1"/>
          <w14:textFill>
            <w14:solidFill>
              <w14:schemeClr w14:val="tx1"/>
            </w14:solidFill>
          </w14:textFill>
        </w:rPr>
        <w:t>人员稳定性与替换保障</w:t>
      </w:r>
    </w:p>
    <w:p w14:paraId="36F9EEB1">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与团队成员签订项目承诺，保证项目期内人员稳定；</w:t>
      </w:r>
    </w:p>
    <w:p w14:paraId="36FD22E2">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确需替换时，提前报告甲方并保证接替人员能力不低于原岗位、做好交接，避免影响进度与质量；</w:t>
      </w:r>
    </w:p>
    <w:p w14:paraId="22F6BBFA">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建立知识共享与文档沉淀机制，降低人员变动风险。</w:t>
      </w:r>
    </w:p>
    <w:bookmarkEnd w:id="121"/>
    <w:p w14:paraId="5D3ACD3A">
      <w:pPr>
        <w:pStyle w:val="5"/>
        <w:rPr>
          <w:color w:val="000000" w:themeColor="text1"/>
          <w14:textFill>
            <w14:solidFill>
              <w14:schemeClr w14:val="tx1"/>
            </w14:solidFill>
          </w14:textFill>
        </w:rPr>
      </w:pPr>
      <w:bookmarkStart w:id="122" w:name="人员配置数量与到岗计划"/>
      <w:r>
        <w:rPr>
          <w:color w:val="000000" w:themeColor="text1"/>
          <w14:textFill>
            <w14:solidFill>
              <w14:schemeClr w14:val="tx1"/>
            </w14:solidFill>
          </w14:textFill>
        </w:rPr>
        <w:t xml:space="preserve">3.2.8 </w:t>
      </w:r>
      <w:r>
        <w:rPr>
          <w:rFonts w:hint="eastAsia"/>
          <w:color w:val="000000" w:themeColor="text1"/>
          <w14:textFill>
            <w14:solidFill>
              <w14:schemeClr w14:val="tx1"/>
            </w14:solidFill>
          </w14:textFill>
        </w:rPr>
        <w:t>人员配置数量与到岗计划</w:t>
      </w:r>
    </w:p>
    <w:p w14:paraId="7B72543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结合</w:t>
      </w:r>
      <w:r>
        <w:rPr>
          <w:color w:val="000000" w:themeColor="text1"/>
          <w14:textFill>
            <w14:solidFill>
              <w14:schemeClr w14:val="tx1"/>
            </w14:solidFill>
          </w14:textFill>
        </w:rPr>
        <w:t xml:space="preserve"> 60 </w:t>
      </w:r>
      <w:r>
        <w:rPr>
          <w:rFonts w:hint="eastAsia"/>
          <w:color w:val="000000" w:themeColor="text1"/>
          <w14:textFill>
            <w14:solidFill>
              <w14:schemeClr w14:val="tx1"/>
            </w14:solidFill>
          </w14:textFill>
        </w:rPr>
        <w:t>日历天开发期与六年运维期的不同强度需求，我方按”开发期强配置、运维期稳配置”原则安排人员数量与到岗节奏，确保关键岗位不断档、总投入不少于</w:t>
      </w:r>
      <w:r>
        <w:rPr>
          <w:color w:val="000000" w:themeColor="text1"/>
          <w14:textFill>
            <w14:solidFill>
              <w14:schemeClr w14:val="tx1"/>
            </w14:solidFill>
          </w14:textFill>
        </w:rPr>
        <w:t xml:space="preserve"> 37 </w:t>
      </w:r>
      <w:r>
        <w:rPr>
          <w:rFonts w:hint="eastAsia"/>
          <w:color w:val="000000" w:themeColor="text1"/>
          <w14:textFill>
            <w14:solidFill>
              <w14:schemeClr w14:val="tx1"/>
            </w14:solidFill>
          </w14:textFill>
        </w:rPr>
        <w:t>人月。</w:t>
      </w:r>
    </w:p>
    <w:tbl>
      <w:tblPr>
        <w:tblStyle w:val="41"/>
        <w:tblW w:w="0" w:type="auto"/>
        <w:tblInd w:w="0" w:type="dxa"/>
        <w:tblLayout w:type="autofit"/>
        <w:tblCellMar>
          <w:top w:w="0" w:type="dxa"/>
          <w:left w:w="108" w:type="dxa"/>
          <w:bottom w:w="0" w:type="dxa"/>
          <w:right w:w="108" w:type="dxa"/>
        </w:tblCellMar>
      </w:tblPr>
      <w:tblGrid>
        <w:gridCol w:w="1896"/>
        <w:gridCol w:w="1617"/>
        <w:gridCol w:w="1736"/>
        <w:gridCol w:w="2855"/>
      </w:tblGrid>
      <w:tr w14:paraId="3DD2B0C6">
        <w:trPr>
          <w:tblHeader/>
        </w:trPr>
        <w:tc>
          <w:p w14:paraId="6B5177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岗位</w:t>
            </w:r>
          </w:p>
        </w:tc>
        <w:tc>
          <w:p w14:paraId="6739A5C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开发期配置</w:t>
            </w:r>
          </w:p>
        </w:tc>
        <w:tc>
          <w:p w14:paraId="6C79EF7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运维期配置</w:t>
            </w:r>
          </w:p>
        </w:tc>
        <w:tc>
          <w:p w14:paraId="4A861E6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到岗时点</w:t>
            </w:r>
          </w:p>
        </w:tc>
      </w:tr>
      <w:tr w14:paraId="37734141">
        <w:tc>
          <w:p w14:paraId="63D4C52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项目经理</w:t>
            </w:r>
          </w:p>
        </w:tc>
        <w:tc>
          <w:p w14:paraId="55FA0D2A">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人（全程）</w:t>
            </w:r>
          </w:p>
        </w:tc>
        <w:tc>
          <w:p w14:paraId="392E3B38">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人（全程）</w:t>
            </w:r>
          </w:p>
        </w:tc>
        <w:tc>
          <w:p w14:paraId="25CBF84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开工通知后立即到岗</w:t>
            </w:r>
          </w:p>
        </w:tc>
      </w:tr>
      <w:tr w14:paraId="3A27FD79">
        <w:tc>
          <w:p w14:paraId="20A95DD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后端开发工程师</w:t>
            </w:r>
          </w:p>
        </w:tc>
        <w:tc>
          <w:p w14:paraId="6504BE4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多人集中</w:t>
            </w:r>
          </w:p>
        </w:tc>
        <w:tc>
          <w:p w14:paraId="249A3E6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按需驻场/远程</w:t>
            </w:r>
          </w:p>
        </w:tc>
        <w:tc>
          <w:p w14:paraId="3A798B8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第1周到岗</w:t>
            </w:r>
          </w:p>
        </w:tc>
      </w:tr>
      <w:tr w14:paraId="07FBFC6A">
        <w:tc>
          <w:p w14:paraId="35646E1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前端开发工程师</w:t>
            </w:r>
          </w:p>
        </w:tc>
        <w:tc>
          <w:p w14:paraId="2402E01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多人集中</w:t>
            </w:r>
          </w:p>
        </w:tc>
        <w:tc>
          <w:p w14:paraId="5220C89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按需驻场/远程</w:t>
            </w:r>
          </w:p>
        </w:tc>
        <w:tc>
          <w:p w14:paraId="644CA3D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第1周到岗</w:t>
            </w:r>
          </w:p>
        </w:tc>
      </w:tr>
      <w:tr w14:paraId="5FC24AB4">
        <w:tc>
          <w:p w14:paraId="4B30F34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对接工程师</w:t>
            </w:r>
          </w:p>
        </w:tc>
        <w:tc>
          <w:p w14:paraId="12BB53C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专岗</w:t>
            </w:r>
          </w:p>
        </w:tc>
        <w:tc>
          <w:p w14:paraId="3CCC587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按需</w:t>
            </w:r>
          </w:p>
        </w:tc>
        <w:tc>
          <w:p w14:paraId="6C5276D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第1周到岗（对接前置）</w:t>
            </w:r>
          </w:p>
        </w:tc>
      </w:tr>
      <w:tr w14:paraId="54594D2A">
        <w:tc>
          <w:p w14:paraId="121FA49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测试工程师</w:t>
            </w:r>
          </w:p>
        </w:tc>
        <w:tc>
          <w:p w14:paraId="6050EB5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专岗</w:t>
            </w:r>
          </w:p>
        </w:tc>
        <w:tc>
          <w:p w14:paraId="6679E1C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回归保障</w:t>
            </w:r>
          </w:p>
        </w:tc>
        <w:tc>
          <w:p w14:paraId="2C2969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第4周到岗</w:t>
            </w:r>
          </w:p>
        </w:tc>
      </w:tr>
      <w:tr w14:paraId="52622CB6">
        <w:tc>
          <w:p w14:paraId="498B717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实施运维工程师</w:t>
            </w:r>
          </w:p>
        </w:tc>
        <w:tc>
          <w:p w14:paraId="1BDDBDF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专岗</w:t>
            </w:r>
          </w:p>
        </w:tc>
        <w:tc>
          <w:p w14:paraId="7B75A55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全程驻场</w:t>
            </w:r>
          </w:p>
        </w:tc>
        <w:tc>
          <w:p w14:paraId="77E790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第6周到岗、运维期常驻</w:t>
            </w:r>
          </w:p>
        </w:tc>
      </w:tr>
    </w:tbl>
    <w:p w14:paraId="7EAB18C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开发期采取”核心岗位满员并行、测试与实施按节点滚动进场”的方式，压缩关键路径工期；进入运维期后，保留项目经理与实施运维工程师作为常态驻场力量，开发与对接人员转为按需响应，既满足六年免费运维的连续保障要求，又控制长期人力成本。所有到岗人员服从甲方现场考勤与管理要求，关键岗位设</w:t>
      </w:r>
      <w:r>
        <w:rPr>
          <w:color w:val="000000" w:themeColor="text1"/>
          <w14:textFill>
            <w14:solidFill>
              <w14:schemeClr w14:val="tx1"/>
            </w14:solidFill>
          </w14:textFill>
        </w:rPr>
        <w:t xml:space="preserve"> AB </w:t>
      </w:r>
      <w:r>
        <w:rPr>
          <w:rFonts w:hint="eastAsia"/>
          <w:color w:val="000000" w:themeColor="text1"/>
          <w14:textFill>
            <w14:solidFill>
              <w14:schemeClr w14:val="tx1"/>
            </w14:solidFill>
          </w14:textFill>
        </w:rPr>
        <w:t>角，杜绝单点缺位。</w:t>
      </w:r>
    </w:p>
    <w:bookmarkEnd w:id="114"/>
    <w:bookmarkEnd w:id="122"/>
    <w:p w14:paraId="0A0067A8">
      <w:pPr>
        <w:pStyle w:val="4"/>
        <w:rPr>
          <w:color w:val="000000" w:themeColor="text1"/>
          <w14:textFill>
            <w14:solidFill>
              <w14:schemeClr w14:val="tx1"/>
            </w14:solidFill>
          </w14:textFill>
        </w:rPr>
      </w:pPr>
      <w:bookmarkStart w:id="123" w:name="开发规划"/>
      <w:r>
        <w:rPr>
          <w:color w:val="000000" w:themeColor="text1"/>
          <w14:textFill>
            <w14:solidFill>
              <w14:schemeClr w14:val="tx1"/>
            </w14:solidFill>
          </w14:textFill>
        </w:rPr>
        <w:t xml:space="preserve">3.3 </w:t>
      </w:r>
      <w:r>
        <w:rPr>
          <w:rFonts w:hint="eastAsia"/>
          <w:color w:val="000000" w:themeColor="text1"/>
          <w14:textFill>
            <w14:solidFill>
              <w14:schemeClr w14:val="tx1"/>
            </w14:solidFill>
          </w14:textFill>
        </w:rPr>
        <w:t>开发规划</w:t>
      </w:r>
    </w:p>
    <w:p w14:paraId="4646EAF9">
      <w:pPr>
        <w:pStyle w:val="5"/>
        <w:rPr>
          <w:color w:val="000000" w:themeColor="text1"/>
          <w14:textFill>
            <w14:solidFill>
              <w14:schemeClr w14:val="tx1"/>
            </w14:solidFill>
          </w14:textFill>
        </w:rPr>
      </w:pPr>
      <w:bookmarkStart w:id="124" w:name="开发模式"/>
      <w:r>
        <w:rPr>
          <w:color w:val="000000" w:themeColor="text1"/>
          <w14:textFill>
            <w14:solidFill>
              <w14:schemeClr w14:val="tx1"/>
            </w14:solidFill>
          </w14:textFill>
        </w:rPr>
        <w:t xml:space="preserve">3.3.1 </w:t>
      </w:r>
      <w:r>
        <w:rPr>
          <w:rFonts w:hint="eastAsia"/>
          <w:color w:val="000000" w:themeColor="text1"/>
          <w14:textFill>
            <w14:solidFill>
              <w14:schemeClr w14:val="tx1"/>
            </w14:solidFill>
          </w14:textFill>
        </w:rPr>
        <w:t>开发模式</w:t>
      </w:r>
    </w:p>
    <w:p w14:paraId="6D7E9D1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采用</w:t>
      </w:r>
      <w:r>
        <w:rPr>
          <w:rFonts w:hint="eastAsia"/>
          <w:b/>
          <w:bCs/>
          <w:color w:val="000000" w:themeColor="text1"/>
          <w14:textFill>
            <w14:solidFill>
              <w14:schemeClr w14:val="tx1"/>
            </w14:solidFill>
          </w14:textFill>
        </w:rPr>
        <w:t>迭代增量开发</w:t>
      </w:r>
      <w:r>
        <w:rPr>
          <w:rFonts w:hint="eastAsia"/>
          <w:color w:val="000000" w:themeColor="text1"/>
          <w14:textFill>
            <w14:solidFill>
              <w14:schemeClr w14:val="tx1"/>
            </w14:solidFill>
          </w14:textFill>
        </w:rPr>
        <w:t>：将系统按业务域与优先级切分为若干迭代，每个迭代完成”可运行、可演示、可验证”的功能增量，边开发边与甲方确认，快速响应需求调整，契合驻场”边建边用”的节奏。</w:t>
      </w:r>
    </w:p>
    <w:bookmarkEnd w:id="124"/>
    <w:p w14:paraId="2A333DC8">
      <w:pPr>
        <w:pStyle w:val="5"/>
        <w:rPr>
          <w:color w:val="000000" w:themeColor="text1"/>
          <w14:textFill>
            <w14:solidFill>
              <w14:schemeClr w14:val="tx1"/>
            </w14:solidFill>
          </w14:textFill>
        </w:rPr>
      </w:pPr>
      <w:bookmarkStart w:id="125" w:name="开发阶段规划"/>
      <w:r>
        <w:rPr>
          <w:color w:val="000000" w:themeColor="text1"/>
          <w14:textFill>
            <w14:solidFill>
              <w14:schemeClr w14:val="tx1"/>
            </w14:solidFill>
          </w14:textFill>
        </w:rPr>
        <w:t xml:space="preserve">3.3.2 </w:t>
      </w:r>
      <w:r>
        <w:rPr>
          <w:rFonts w:hint="eastAsia"/>
          <w:color w:val="000000" w:themeColor="text1"/>
          <w14:textFill>
            <w14:solidFill>
              <w14:schemeClr w14:val="tx1"/>
            </w14:solidFill>
          </w14:textFill>
        </w:rPr>
        <w:t>开发阶段规划</w:t>
      </w:r>
    </w:p>
    <w:p w14:paraId="624FCAC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结合</w:t>
      </w:r>
      <w:r>
        <w:rPr>
          <w:color w:val="000000" w:themeColor="text1"/>
          <w14:textFill>
            <w14:solidFill>
              <w14:schemeClr w14:val="tx1"/>
            </w14:solidFill>
          </w14:textFill>
        </w:rPr>
        <w:t xml:space="preserve"> 60 </w:t>
      </w:r>
      <w:r>
        <w:rPr>
          <w:rFonts w:hint="eastAsia"/>
          <w:color w:val="000000" w:themeColor="text1"/>
          <w14:textFill>
            <w14:solidFill>
              <w14:schemeClr w14:val="tx1"/>
            </w14:solidFill>
          </w14:textFill>
        </w:rPr>
        <w:t>日历天开发期，划分为四个阶段：</w:t>
      </w:r>
    </w:p>
    <w:p w14:paraId="1BD3D742">
      <w:pPr>
        <w:pStyle w:val="24"/>
        <w:numPr>
          <w:ilvl w:val="0"/>
          <w:numId w:val="1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启动与设计阶段</w:t>
      </w:r>
      <w:r>
        <w:rPr>
          <w:rFonts w:hint="eastAsia"/>
          <w:color w:val="000000" w:themeColor="text1"/>
          <w14:textFill>
            <w14:solidFill>
              <w14:schemeClr w14:val="tx1"/>
            </w14:solidFill>
          </w14:textFill>
        </w:rPr>
        <w:t>：环境搭建、需求最终确认、详细设计、技术验证；</w:t>
      </w:r>
    </w:p>
    <w:p w14:paraId="6EBAA9DB">
      <w:pPr>
        <w:pStyle w:val="24"/>
        <w:numPr>
          <w:ilvl w:val="0"/>
          <w:numId w:val="1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核心开发阶段</w:t>
      </w:r>
      <w:r>
        <w:rPr>
          <w:rFonts w:hint="eastAsia"/>
          <w:color w:val="000000" w:themeColor="text1"/>
          <w14:textFill>
            <w14:solidFill>
              <w14:schemeClr w14:val="tx1"/>
            </w14:solidFill>
          </w14:textFill>
        </w:rPr>
        <w:t>：四端与八大业务域核心功能开发、关键对接（郑好办、政务核验、支付、签章）；</w:t>
      </w:r>
    </w:p>
    <w:p w14:paraId="555CA8CB">
      <w:pPr>
        <w:pStyle w:val="24"/>
        <w:numPr>
          <w:ilvl w:val="0"/>
          <w:numId w:val="1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联调与测试阶段</w:t>
      </w:r>
      <w:r>
        <w:rPr>
          <w:rFonts w:hint="eastAsia"/>
          <w:color w:val="000000" w:themeColor="text1"/>
          <w14:textFill>
            <w14:solidFill>
              <w14:schemeClr w14:val="tx1"/>
            </w14:solidFill>
          </w14:textFill>
        </w:rPr>
        <w:t>：对接联调、系统测试、性能测试、缺陷修复；</w:t>
      </w:r>
    </w:p>
    <w:p w14:paraId="5F66B010">
      <w:pPr>
        <w:pStyle w:val="24"/>
        <w:numPr>
          <w:ilvl w:val="0"/>
          <w:numId w:val="12"/>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迁移与上线阶段</w:t>
      </w:r>
      <w:r>
        <w:rPr>
          <w:rFonts w:hint="eastAsia"/>
          <w:color w:val="000000" w:themeColor="text1"/>
          <w14:textFill>
            <w14:solidFill>
              <w14:schemeClr w14:val="tx1"/>
            </w14:solidFill>
          </w14:textFill>
        </w:rPr>
        <w:t>：数据迁移、上线部署、初验、终验准备。</w:t>
      </w:r>
    </w:p>
    <w:p w14:paraId="3A8B0CC5">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482600"/>
            <wp:effectExtent l="0" t="0" r="0" b="0"/>
            <wp:docPr id="175" name="Picture" descr="图3-2 项目实施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descr="图3-2 项目实施流程图"/>
                    <pic:cNvPicPr>
                      <a:picLocks noChangeAspect="1" noChangeArrowheads="1"/>
                    </pic:cNvPicPr>
                  </pic:nvPicPr>
                  <pic:blipFill>
                    <a:blip r:embed="rId19"/>
                    <a:stretch>
                      <a:fillRect/>
                    </a:stretch>
                  </pic:blipFill>
                  <pic:spPr>
                    <a:xfrm>
                      <a:off x="0" y="0"/>
                      <a:ext cx="5334000" cy="483053"/>
                    </a:xfrm>
                    <a:prstGeom prst="rect">
                      <a:avLst/>
                    </a:prstGeom>
                    <a:noFill/>
                    <a:ln w="9525">
                      <a:noFill/>
                    </a:ln>
                  </pic:spPr>
                </pic:pic>
              </a:graphicData>
            </a:graphic>
          </wp:inline>
        </w:drawing>
      </w:r>
    </w:p>
    <w:p w14:paraId="32D47497">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图3-2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项目实施流程图</w:t>
      </w:r>
    </w:p>
    <w:p w14:paraId="20D6155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图3-2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项目实施流程图</w:t>
      </w:r>
    </w:p>
    <w:p w14:paraId="03744C47">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823085"/>
            <wp:effectExtent l="0" t="0" r="0" b="0"/>
            <wp:docPr id="178" name="Picture" descr="图3-3 进度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descr="图3-3 进度甘特图"/>
                    <pic:cNvPicPr>
                      <a:picLocks noChangeAspect="1" noChangeArrowheads="1"/>
                    </pic:cNvPicPr>
                  </pic:nvPicPr>
                  <pic:blipFill>
                    <a:blip r:embed="rId20"/>
                    <a:stretch>
                      <a:fillRect/>
                    </a:stretch>
                  </pic:blipFill>
                  <pic:spPr>
                    <a:xfrm>
                      <a:off x="0" y="0"/>
                      <a:ext cx="5334000" cy="1823357"/>
                    </a:xfrm>
                    <a:prstGeom prst="rect">
                      <a:avLst/>
                    </a:prstGeom>
                    <a:noFill/>
                    <a:ln w="9525">
                      <a:noFill/>
                    </a:ln>
                  </pic:spPr>
                </pic:pic>
              </a:graphicData>
            </a:graphic>
          </wp:inline>
        </w:drawing>
      </w:r>
    </w:p>
    <w:p w14:paraId="56F132C2">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进度甘特图</w:t>
      </w:r>
    </w:p>
    <w:p w14:paraId="2A2FAF31">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进度甘特图</w:t>
      </w:r>
    </w:p>
    <w:p w14:paraId="3236CCEF">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60日历天开发期周计划分解</w:t>
      </w:r>
      <w:r>
        <w:rPr>
          <w:rFonts w:hint="eastAsia"/>
          <w:color w:val="000000" w:themeColor="text1"/>
          <w14:textFill>
            <w14:solidFill>
              <w14:schemeClr w14:val="tx1"/>
            </w14:solidFill>
          </w14:textFill>
        </w:rPr>
        <w:t>（以书面开工通知为第0天，实际以启动会确认为准）：</w:t>
      </w:r>
    </w:p>
    <w:tbl>
      <w:tblPr>
        <w:tblStyle w:val="41"/>
        <w:tblW w:w="5000" w:type="pct"/>
        <w:tblInd w:w="0" w:type="dxa"/>
        <w:tblLayout w:type="fixed"/>
        <w:tblCellMar>
          <w:top w:w="0" w:type="dxa"/>
          <w:left w:w="108" w:type="dxa"/>
          <w:bottom w:w="0" w:type="dxa"/>
          <w:right w:w="108" w:type="dxa"/>
        </w:tblCellMar>
      </w:tblPr>
      <w:tblGrid>
        <w:gridCol w:w="1925"/>
        <w:gridCol w:w="3466"/>
        <w:gridCol w:w="3466"/>
      </w:tblGrid>
      <w:tr w14:paraId="35E9EBBF">
        <w:trPr>
          <w:tblHeader/>
        </w:trPr>
        <w:tc>
          <w:p w14:paraId="2ABA3BD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周次</w:t>
            </w:r>
          </w:p>
        </w:tc>
        <w:tc>
          <w:p w14:paraId="2EB6375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主要任务</w:t>
            </w:r>
          </w:p>
        </w:tc>
        <w:tc>
          <w:p w14:paraId="2EA0631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阶段产出</w:t>
            </w:r>
          </w:p>
        </w:tc>
      </w:tr>
      <w:tr w14:paraId="364869AF">
        <w:tc>
          <w:p w14:paraId="3A76567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第1周</w:t>
            </w:r>
          </w:p>
        </w:tc>
        <w:tc>
          <w:p w14:paraId="59748C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环境搭建、需求最终确认、详细设计启动</w:t>
            </w:r>
          </w:p>
        </w:tc>
        <w:tc>
          <w:p w14:paraId="2C429F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环境就绪、需求规格基线</w:t>
            </w:r>
          </w:p>
        </w:tc>
      </w:tr>
      <w:tr w14:paraId="15BE414C">
        <w:tc>
          <w:p w14:paraId="37E9981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第2周</w:t>
            </w:r>
          </w:p>
        </w:tc>
        <w:tc>
          <w:p w14:paraId="74A3F98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详细设计、数据库设计、技术验证、对接规范对齐</w:t>
            </w:r>
          </w:p>
        </w:tc>
        <w:tc>
          <w:p w14:paraId="7966BA7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设计文档、库表设计</w:t>
            </w:r>
          </w:p>
        </w:tc>
      </w:tr>
      <w:tr w14:paraId="11B554BD">
        <w:tc>
          <w:p w14:paraId="76A2BA1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第3—4周</w:t>
            </w:r>
          </w:p>
        </w:tc>
        <w:tc>
          <w:p w14:paraId="229ACB9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用户主链路开发（找房/核验/选房/签约）、郑好办与核验对接</w:t>
            </w:r>
          </w:p>
        </w:tc>
        <w:tc>
          <w:p w14:paraId="070DBB2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主链路可演示</w:t>
            </w:r>
          </w:p>
        </w:tc>
      </w:tr>
      <w:tr w14:paraId="3AD1C8D3">
        <w:tc>
          <w:p w14:paraId="2C2DAE8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第5—6周</w:t>
            </w:r>
          </w:p>
        </w:tc>
        <w:tc>
          <w:p w14:paraId="105CFA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缴费/入住/合同开发、支付与签章对接</w:t>
            </w:r>
          </w:p>
        </w:tc>
        <w:tc>
          <w:p w14:paraId="13D416B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交易链路可演示</w:t>
            </w:r>
          </w:p>
        </w:tc>
      </w:tr>
      <w:tr w14:paraId="1F823DCE">
        <w:tc>
          <w:p w14:paraId="3FAE324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第7周</w:t>
            </w:r>
          </w:p>
        </w:tc>
        <w:tc>
          <w:p w14:paraId="171D8D6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续租/退租/开票、生活服务、企业客户、运营与看板开发</w:t>
            </w:r>
          </w:p>
        </w:tc>
        <w:tc>
          <w:p w14:paraId="4816DC0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全功能基本完成</w:t>
            </w:r>
          </w:p>
        </w:tc>
      </w:tr>
      <w:tr w14:paraId="08E197CC">
        <w:tc>
          <w:p w14:paraId="500D103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第8周</w:t>
            </w:r>
          </w:p>
        </w:tc>
        <w:tc>
          <w:p w14:paraId="480CDEF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对接联调、系统测试、性能与安全测试、缺陷修复</w:t>
            </w:r>
          </w:p>
        </w:tc>
        <w:tc>
          <w:p w14:paraId="4D894B5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测试报告、缺陷清零</w:t>
            </w:r>
          </w:p>
        </w:tc>
      </w:tr>
      <w:tr w14:paraId="0C3B6495">
        <w:tc>
          <w:p w14:paraId="259AECE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第9周</w:t>
            </w:r>
          </w:p>
        </w:tc>
        <w:tc>
          <w:p w14:paraId="31CDAA2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数据迁移演练与正式迁移、灰度验证</w:t>
            </w:r>
          </w:p>
        </w:tc>
        <w:tc>
          <w:p w14:paraId="1011067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迁移完成、灰度通过</w:t>
            </w:r>
          </w:p>
        </w:tc>
      </w:tr>
      <w:tr w14:paraId="1DED2CC4">
        <w:tc>
          <w:p w14:paraId="0F9E16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第9—10周内收尾</w:t>
            </w:r>
          </w:p>
        </w:tc>
        <w:tc>
          <w:p w14:paraId="57F533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上线部署、初验准备与初验</w:t>
            </w:r>
          </w:p>
        </w:tc>
        <w:tc>
          <w:p w14:paraId="30A6FF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上线运行、初步验收</w:t>
            </w:r>
          </w:p>
        </w:tc>
      </w:tr>
    </w:tbl>
    <w:p w14:paraId="3AA33E1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各阶段存在合理并行与交叠以压缩工期；关键路径为”需求确认→主链路开发→关键对接联调→系统测试→数据迁移→上线”。我方将在启动会上与甲方确认细化到周/到人的作战计划，并按周跟踪偏差、及时纠偏，确保60日历天内完成开发部署并具备上线条件。</w:t>
      </w:r>
    </w:p>
    <w:bookmarkEnd w:id="125"/>
    <w:p w14:paraId="5CF4EC7F">
      <w:pPr>
        <w:pStyle w:val="5"/>
        <w:rPr>
          <w:color w:val="000000" w:themeColor="text1"/>
          <w14:textFill>
            <w14:solidFill>
              <w14:schemeClr w14:val="tx1"/>
            </w14:solidFill>
          </w14:textFill>
        </w:rPr>
      </w:pPr>
      <w:bookmarkStart w:id="126" w:name="迭代任务分解"/>
      <w:r>
        <w:rPr>
          <w:color w:val="000000" w:themeColor="text1"/>
          <w14:textFill>
            <w14:solidFill>
              <w14:schemeClr w14:val="tx1"/>
            </w14:solidFill>
          </w14:textFill>
        </w:rPr>
        <w:t xml:space="preserve">3.3.3 </w:t>
      </w:r>
      <w:r>
        <w:rPr>
          <w:rFonts w:hint="eastAsia"/>
          <w:color w:val="000000" w:themeColor="text1"/>
          <w14:textFill>
            <w14:solidFill>
              <w14:schemeClr w14:val="tx1"/>
            </w14:solidFill>
          </w14:textFill>
        </w:rPr>
        <w:t>迭代任务分解</w:t>
      </w:r>
    </w:p>
    <w:p w14:paraId="4D3ED69F">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按”用户旅程优先”的原则安排迭代顺序：优先打通”找房—核验—选房—签约—缴费—入住”主链路，再完善续租/退租/开票、生活服务、企业客户、运营与看板，保证主干业务尽早可用、可演示。每个迭代输出功能清单、验收标准与演示。</w:t>
      </w:r>
    </w:p>
    <w:bookmarkEnd w:id="126"/>
    <w:p w14:paraId="0D3E3B89">
      <w:pPr>
        <w:pStyle w:val="5"/>
        <w:rPr>
          <w:color w:val="000000" w:themeColor="text1"/>
          <w14:textFill>
            <w14:solidFill>
              <w14:schemeClr w14:val="tx1"/>
            </w14:solidFill>
          </w14:textFill>
        </w:rPr>
      </w:pPr>
      <w:bookmarkStart w:id="127" w:name="需求管理"/>
      <w:r>
        <w:rPr>
          <w:color w:val="000000" w:themeColor="text1"/>
          <w14:textFill>
            <w14:solidFill>
              <w14:schemeClr w14:val="tx1"/>
            </w14:solidFill>
          </w14:textFill>
        </w:rPr>
        <w:t xml:space="preserve">3.3.4 </w:t>
      </w:r>
      <w:r>
        <w:rPr>
          <w:rFonts w:hint="eastAsia"/>
          <w:color w:val="000000" w:themeColor="text1"/>
          <w14:textFill>
            <w14:solidFill>
              <w14:schemeClr w14:val="tx1"/>
            </w14:solidFill>
          </w14:textFill>
        </w:rPr>
        <w:t>需求管理</w:t>
      </w:r>
    </w:p>
    <w:p w14:paraId="35B0F42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建立需求登记与变更台账，需求来源、状态、责任人清晰；</w:t>
      </w:r>
    </w:p>
    <w:p w14:paraId="7C053A5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需求变更走变更评审，评估影响后再实施（详见</w:t>
      </w:r>
      <w:r>
        <w:rPr>
          <w:color w:val="000000" w:themeColor="text1"/>
          <w14:textFill>
            <w14:solidFill>
              <w14:schemeClr w14:val="tx1"/>
            </w14:solidFill>
          </w14:textFill>
        </w:rPr>
        <w:t xml:space="preserve"> 3.6 </w:t>
      </w:r>
      <w:r>
        <w:rPr>
          <w:rFonts w:hint="eastAsia"/>
          <w:color w:val="000000" w:themeColor="text1"/>
          <w14:textFill>
            <w14:solidFill>
              <w14:schemeClr w14:val="tx1"/>
            </w14:solidFill>
          </w14:textFill>
        </w:rPr>
        <w:t>变更管理）；</w:t>
      </w:r>
    </w:p>
    <w:p w14:paraId="765E026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以功能清单为基线，逐项跟踪实现与验收状态，确保”不缺项、不漏项”。</w:t>
      </w:r>
    </w:p>
    <w:bookmarkEnd w:id="123"/>
    <w:bookmarkEnd w:id="127"/>
    <w:p w14:paraId="713A3D9A">
      <w:pPr>
        <w:pStyle w:val="4"/>
        <w:rPr>
          <w:color w:val="000000" w:themeColor="text1"/>
          <w14:textFill>
            <w14:solidFill>
              <w14:schemeClr w14:val="tx1"/>
            </w14:solidFill>
          </w14:textFill>
        </w:rPr>
      </w:pPr>
      <w:bookmarkStart w:id="128" w:name="开发测试与协作管理"/>
      <w:r>
        <w:rPr>
          <w:color w:val="000000" w:themeColor="text1"/>
          <w14:textFill>
            <w14:solidFill>
              <w14:schemeClr w14:val="tx1"/>
            </w14:solidFill>
          </w14:textFill>
        </w:rPr>
        <w:t xml:space="preserve">3.4 </w:t>
      </w:r>
      <w:r>
        <w:rPr>
          <w:rFonts w:hint="eastAsia"/>
          <w:color w:val="000000" w:themeColor="text1"/>
          <w14:textFill>
            <w14:solidFill>
              <w14:schemeClr w14:val="tx1"/>
            </w14:solidFill>
          </w14:textFill>
        </w:rPr>
        <w:t>开发测试与协作管理</w:t>
      </w:r>
    </w:p>
    <w:p w14:paraId="71547B78">
      <w:pPr>
        <w:pStyle w:val="5"/>
        <w:rPr>
          <w:color w:val="000000" w:themeColor="text1"/>
          <w14:textFill>
            <w14:solidFill>
              <w14:schemeClr w14:val="tx1"/>
            </w14:solidFill>
          </w14:textFill>
        </w:rPr>
      </w:pPr>
      <w:bookmarkStart w:id="129" w:name="协作机制"/>
      <w:r>
        <w:rPr>
          <w:color w:val="000000" w:themeColor="text1"/>
          <w14:textFill>
            <w14:solidFill>
              <w14:schemeClr w14:val="tx1"/>
            </w14:solidFill>
          </w14:textFill>
        </w:rPr>
        <w:t xml:space="preserve">3.4.1 </w:t>
      </w:r>
      <w:r>
        <w:rPr>
          <w:rFonts w:hint="eastAsia"/>
          <w:color w:val="000000" w:themeColor="text1"/>
          <w14:textFill>
            <w14:solidFill>
              <w14:schemeClr w14:val="tx1"/>
            </w14:solidFill>
          </w14:textFill>
        </w:rPr>
        <w:t>协作机制</w:t>
      </w:r>
    </w:p>
    <w:p w14:paraId="0A02924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例会</w:t>
      </w:r>
      <w:r>
        <w:rPr>
          <w:rFonts w:hint="eastAsia"/>
          <w:color w:val="000000" w:themeColor="text1"/>
          <w14:textFill>
            <w14:solidFill>
              <w14:schemeClr w14:val="tx1"/>
            </w14:solidFill>
          </w14:textFill>
        </w:rPr>
        <w:t>：每日站会同步进展与阻塞，每周周会对齐计划与风险；</w:t>
      </w:r>
    </w:p>
    <w:p w14:paraId="2C081B0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协同工具</w:t>
      </w:r>
      <w:r>
        <w:rPr>
          <w:rFonts w:hint="eastAsia"/>
          <w:color w:val="000000" w:themeColor="text1"/>
          <w14:textFill>
            <w14:solidFill>
              <w14:schemeClr w14:val="tx1"/>
            </w14:solidFill>
          </w14:textFill>
        </w:rPr>
        <w:t>：需求/任务/缺陷统一在协作平台跟踪，代码统一版本管理；</w:t>
      </w:r>
    </w:p>
    <w:p w14:paraId="5DDB5EF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甲方协同</w:t>
      </w:r>
      <w:r>
        <w:rPr>
          <w:rFonts w:hint="eastAsia"/>
          <w:color w:val="000000" w:themeColor="text1"/>
          <w14:textFill>
            <w14:solidFill>
              <w14:schemeClr w14:val="tx1"/>
            </w14:solidFill>
          </w14:textFill>
        </w:rPr>
        <w:t>：设立与甲方的固定沟通窗口，周报周知、月报总结、重大事项即时沟通。</w:t>
      </w:r>
    </w:p>
    <w:bookmarkEnd w:id="129"/>
    <w:p w14:paraId="50911FCC">
      <w:pPr>
        <w:pStyle w:val="5"/>
        <w:rPr>
          <w:color w:val="000000" w:themeColor="text1"/>
          <w14:textFill>
            <w14:solidFill>
              <w14:schemeClr w14:val="tx1"/>
            </w14:solidFill>
          </w14:textFill>
        </w:rPr>
      </w:pPr>
      <w:bookmarkStart w:id="130" w:name="测试管理"/>
      <w:r>
        <w:rPr>
          <w:color w:val="000000" w:themeColor="text1"/>
          <w14:textFill>
            <w14:solidFill>
              <w14:schemeClr w14:val="tx1"/>
            </w14:solidFill>
          </w14:textFill>
        </w:rPr>
        <w:t xml:space="preserve">3.4.2 </w:t>
      </w:r>
      <w:r>
        <w:rPr>
          <w:rFonts w:hint="eastAsia"/>
          <w:color w:val="000000" w:themeColor="text1"/>
          <w14:textFill>
            <w14:solidFill>
              <w14:schemeClr w14:val="tx1"/>
            </w14:solidFill>
          </w14:textFill>
        </w:rPr>
        <w:t>测试管理</w:t>
      </w:r>
    </w:p>
    <w:p w14:paraId="052F3E9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建立”单元测试—集成测试—系统测试—验收测试”多层测试体系：</w:t>
      </w:r>
    </w:p>
    <w:p w14:paraId="200373D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单元测试</w:t>
      </w:r>
      <w:r>
        <w:rPr>
          <w:rFonts w:hint="eastAsia"/>
          <w:color w:val="000000" w:themeColor="text1"/>
          <w14:textFill>
            <w14:solidFill>
              <w14:schemeClr w14:val="tx1"/>
            </w14:solidFill>
          </w14:textFill>
        </w:rPr>
        <w:t>：开发自测关键逻辑；</w:t>
      </w:r>
    </w:p>
    <w:p w14:paraId="3CD5448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集成测试</w:t>
      </w:r>
      <w:r>
        <w:rPr>
          <w:rFonts w:hint="eastAsia"/>
          <w:color w:val="000000" w:themeColor="text1"/>
          <w14:textFill>
            <w14:solidFill>
              <w14:schemeClr w14:val="tx1"/>
            </w14:solidFill>
          </w14:textFill>
        </w:rPr>
        <w:t>：业务域间与对接接口集成验证；</w:t>
      </w:r>
    </w:p>
    <w:p w14:paraId="4D3FF9C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系统测试</w:t>
      </w:r>
      <w:r>
        <w:rPr>
          <w:rFonts w:hint="eastAsia"/>
          <w:color w:val="000000" w:themeColor="text1"/>
          <w14:textFill>
            <w14:solidFill>
              <w14:schemeClr w14:val="tx1"/>
            </w14:solidFill>
          </w14:textFill>
        </w:rPr>
        <w:t>：按功能清单与业务流程全面测试；</w:t>
      </w:r>
    </w:p>
    <w:p w14:paraId="3E62A1E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验收测试</w:t>
      </w:r>
      <w:r>
        <w:rPr>
          <w:rFonts w:hint="eastAsia"/>
          <w:color w:val="000000" w:themeColor="text1"/>
          <w14:textFill>
            <w14:solidFill>
              <w14:schemeClr w14:val="tx1"/>
            </w14:solidFill>
          </w14:textFill>
        </w:rPr>
        <w:t>：配合甲方开展验收，覆盖关键业务场景。</w:t>
      </w:r>
    </w:p>
    <w:p w14:paraId="09DF06D0">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7649190"/>
            <wp:effectExtent l="0" t="0" r="0" b="0"/>
            <wp:docPr id="186" name="Picture" descr="图3-4 测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descr="图3-4 测试流程图"/>
                    <pic:cNvPicPr>
                      <a:picLocks noChangeAspect="1" noChangeArrowheads="1"/>
                    </pic:cNvPicPr>
                  </pic:nvPicPr>
                  <pic:blipFill>
                    <a:blip r:embed="rId21"/>
                    <a:stretch>
                      <a:fillRect/>
                    </a:stretch>
                  </pic:blipFill>
                  <pic:spPr>
                    <a:xfrm>
                      <a:off x="0" y="0"/>
                      <a:ext cx="5334000" cy="17649504"/>
                    </a:xfrm>
                    <a:prstGeom prst="rect">
                      <a:avLst/>
                    </a:prstGeom>
                    <a:noFill/>
                    <a:ln w="9525">
                      <a:noFill/>
                    </a:ln>
                  </pic:spPr>
                </pic:pic>
              </a:graphicData>
            </a:graphic>
          </wp:inline>
        </w:drawing>
      </w:r>
    </w:p>
    <w:p w14:paraId="0F888F45">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图3-4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测试流程图</w:t>
      </w:r>
    </w:p>
    <w:p w14:paraId="50E2068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图3-4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测试流程图</w:t>
      </w:r>
    </w:p>
    <w:bookmarkEnd w:id="130"/>
    <w:p w14:paraId="39646DA8">
      <w:pPr>
        <w:pStyle w:val="5"/>
        <w:rPr>
          <w:color w:val="000000" w:themeColor="text1"/>
          <w14:textFill>
            <w14:solidFill>
              <w14:schemeClr w14:val="tx1"/>
            </w14:solidFill>
          </w14:textFill>
        </w:rPr>
      </w:pPr>
      <w:bookmarkStart w:id="131" w:name="关键业务测试用例样例"/>
      <w:r>
        <w:rPr>
          <w:color w:val="000000" w:themeColor="text1"/>
          <w14:textFill>
            <w14:solidFill>
              <w14:schemeClr w14:val="tx1"/>
            </w14:solidFill>
          </w14:textFill>
        </w:rPr>
        <w:t xml:space="preserve">3.4.3 </w:t>
      </w:r>
      <w:r>
        <w:rPr>
          <w:rFonts w:hint="eastAsia"/>
          <w:color w:val="000000" w:themeColor="text1"/>
          <w14:textFill>
            <w14:solidFill>
              <w14:schemeClr w14:val="tx1"/>
            </w14:solidFill>
          </w14:textFill>
        </w:rPr>
        <w:t>关键业务测试用例样例</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03EA7D9C">
        <w:trPr>
          <w:tblHeader/>
        </w:trPr>
        <w:tc>
          <w:p w14:paraId="652489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5752321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场景</w:t>
            </w:r>
          </w:p>
        </w:tc>
        <w:tc>
          <w:p w14:paraId="3632BDF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前置</w:t>
            </w:r>
          </w:p>
        </w:tc>
        <w:tc>
          <w:p w14:paraId="4FE8A17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步骤</w:t>
            </w:r>
          </w:p>
        </w:tc>
        <w:tc>
          <w:p w14:paraId="24E1C1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预期</w:t>
            </w:r>
          </w:p>
        </w:tc>
      </w:tr>
      <w:tr w14:paraId="19076FEB">
        <w:tc>
          <w:p w14:paraId="30963EA2">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TC-01</w:t>
            </w:r>
          </w:p>
        </w:tc>
        <w:tc>
          <w:p w14:paraId="2202E6D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保租房资格核验通过</w:t>
            </w:r>
          </w:p>
        </w:tc>
        <w:tc>
          <w:p w14:paraId="577B29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用户已郑好办登录</w:t>
            </w:r>
          </w:p>
        </w:tc>
        <w:tc>
          <w:p w14:paraId="11A7D26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发起办事→系统核验社保/住房</w:t>
            </w:r>
          </w:p>
        </w:tc>
        <w:tc>
          <w:p w14:paraId="7DA982D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核验通过，可进入选房</w:t>
            </w:r>
          </w:p>
        </w:tc>
      </w:tr>
      <w:tr w14:paraId="51B6BD6A">
        <w:tc>
          <w:p w14:paraId="20E0BAFC">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TC-02</w:t>
            </w:r>
          </w:p>
        </w:tc>
        <w:tc>
          <w:p w14:paraId="0FC3CBB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资格不符与申诉</w:t>
            </w:r>
          </w:p>
        </w:tc>
        <w:tc>
          <w:p w14:paraId="30F8238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存在不符项</w:t>
            </w:r>
          </w:p>
        </w:tc>
        <w:tc>
          <w:p w14:paraId="60F8CEF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展示不符项→提交申诉→审批通过</w:t>
            </w:r>
          </w:p>
        </w:tc>
        <w:tc>
          <w:p w14:paraId="517C87D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申诉通过后可继续办理</w:t>
            </w:r>
          </w:p>
        </w:tc>
      </w:tr>
      <w:tr w14:paraId="55177AF1">
        <w:tc>
          <w:p w14:paraId="009514F9">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TC-03</w:t>
            </w:r>
          </w:p>
        </w:tc>
        <w:tc>
          <w:p w14:paraId="5537D0A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押金未缴不得缴租</w:t>
            </w:r>
          </w:p>
        </w:tc>
        <w:tc>
          <w:p w14:paraId="35FD359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押金账单未缴</w:t>
            </w:r>
          </w:p>
        </w:tc>
        <w:tc>
          <w:p w14:paraId="3746EDE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尝试缴纳租期账单</w:t>
            </w:r>
          </w:p>
        </w:tc>
        <w:tc>
          <w:p w14:paraId="56D1D38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系统阻止并提示先缴押金</w:t>
            </w:r>
          </w:p>
        </w:tc>
      </w:tr>
      <w:tr w14:paraId="28AAD7DD">
        <w:tc>
          <w:p w14:paraId="52011173">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TC-04</w:t>
            </w:r>
          </w:p>
        </w:tc>
        <w:tc>
          <w:p w14:paraId="5997849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支付回调丢失兜底</w:t>
            </w:r>
          </w:p>
        </w:tc>
        <w:tc>
          <w:p w14:paraId="494FF43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支付成功但回调丢失</w:t>
            </w:r>
          </w:p>
        </w:tc>
        <w:tc>
          <w:p w14:paraId="49106A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触发定时查单</w:t>
            </w:r>
          </w:p>
        </w:tc>
        <w:tc>
          <w:p w14:paraId="43FDE95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系统查单补推进，账单标记已缴</w:t>
            </w:r>
          </w:p>
        </w:tc>
      </w:tr>
      <w:tr w14:paraId="3B11E048">
        <w:tc>
          <w:p w14:paraId="1CA79114">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TC-05</w:t>
            </w:r>
          </w:p>
        </w:tc>
        <w:tc>
          <w:p w14:paraId="0A6F01A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退租按日精算</w:t>
            </w:r>
          </w:p>
        </w:tc>
        <w:tc>
          <w:p w14:paraId="5B85C1E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在租合同</w:t>
            </w:r>
          </w:p>
        </w:tc>
        <w:tc>
          <w:p w14:paraId="7B1E0E7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审批核定实际退租日期</w:t>
            </w:r>
          </w:p>
        </w:tc>
        <w:tc>
          <w:p w14:paraId="31D071A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退款按日精算并锁定金额</w:t>
            </w:r>
          </w:p>
        </w:tc>
      </w:tr>
      <w:tr w14:paraId="6E7CF21D">
        <w:tc>
          <w:p w14:paraId="3165B04A">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TC-06</w:t>
            </w:r>
          </w:p>
        </w:tc>
        <w:tc>
          <w:p w14:paraId="08B9759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一房多签防护</w:t>
            </w:r>
          </w:p>
        </w:tc>
        <w:tc>
          <w:p w14:paraId="0DCB79E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房源已被签约</w:t>
            </w:r>
          </w:p>
        </w:tc>
        <w:tc>
          <w:p w14:paraId="5191826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另一用户尝试选该房</w:t>
            </w:r>
          </w:p>
        </w:tc>
        <w:tc>
          <w:p w14:paraId="4C26488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系统拒绝，房源不可选</w:t>
            </w:r>
          </w:p>
        </w:tc>
      </w:tr>
      <w:bookmarkEnd w:id="131"/>
    </w:tbl>
    <w:p w14:paraId="01B55D67">
      <w:pPr>
        <w:pStyle w:val="5"/>
        <w:rPr>
          <w:color w:val="000000" w:themeColor="text1"/>
          <w14:textFill>
            <w14:solidFill>
              <w14:schemeClr w14:val="tx1"/>
            </w14:solidFill>
          </w14:textFill>
        </w:rPr>
      </w:pPr>
      <w:bookmarkStart w:id="132" w:name="缺陷管理细则"/>
      <w:r>
        <w:rPr>
          <w:color w:val="000000" w:themeColor="text1"/>
          <w14:textFill>
            <w14:solidFill>
              <w14:schemeClr w14:val="tx1"/>
            </w14:solidFill>
          </w14:textFill>
        </w:rPr>
        <w:t xml:space="preserve">3.4.4 </w:t>
      </w:r>
      <w:r>
        <w:rPr>
          <w:rFonts w:hint="eastAsia"/>
          <w:color w:val="000000" w:themeColor="text1"/>
          <w14:textFill>
            <w14:solidFill>
              <w14:schemeClr w14:val="tx1"/>
            </w14:solidFill>
          </w14:textFill>
        </w:rPr>
        <w:t>缺陷管理细则</w:t>
      </w:r>
    </w:p>
    <w:p w14:paraId="7FFE6A4F">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缺陷按严重程度分级（致命/严重/一般/轻微），全程在缺陷管理平台跟踪”发现—定位—修复—验证—关闭”闭环；致命/严重缺陷优先处理，回归测试防止引入新问题；上线前致命/严重缺陷清零。</w:t>
      </w:r>
    </w:p>
    <w:p w14:paraId="040D917D">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7649190"/>
            <wp:effectExtent l="0" t="0" r="0" b="0"/>
            <wp:docPr id="190" name="Picture" descr="图3-5 缺陷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descr="图3-5 缺陷管理流程图"/>
                    <pic:cNvPicPr>
                      <a:picLocks noChangeAspect="1" noChangeArrowheads="1"/>
                    </pic:cNvPicPr>
                  </pic:nvPicPr>
                  <pic:blipFill>
                    <a:blip r:embed="rId21"/>
                    <a:stretch>
                      <a:fillRect/>
                    </a:stretch>
                  </pic:blipFill>
                  <pic:spPr>
                    <a:xfrm>
                      <a:off x="0" y="0"/>
                      <a:ext cx="5334000" cy="17649504"/>
                    </a:xfrm>
                    <a:prstGeom prst="rect">
                      <a:avLst/>
                    </a:prstGeom>
                    <a:noFill/>
                    <a:ln w="9525">
                      <a:noFill/>
                    </a:ln>
                  </pic:spPr>
                </pic:pic>
              </a:graphicData>
            </a:graphic>
          </wp:inline>
        </w:drawing>
      </w:r>
    </w:p>
    <w:p w14:paraId="1B97059C">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图3-5</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缺陷管理流程图</w:t>
      </w:r>
    </w:p>
    <w:p w14:paraId="13A7757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图3-5</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缺陷管理流程图</w:t>
      </w:r>
    </w:p>
    <w:bookmarkEnd w:id="132"/>
    <w:p w14:paraId="52431F4F">
      <w:pPr>
        <w:pStyle w:val="5"/>
        <w:rPr>
          <w:color w:val="000000" w:themeColor="text1"/>
          <w14:textFill>
            <w14:solidFill>
              <w14:schemeClr w14:val="tx1"/>
            </w14:solidFill>
          </w14:textFill>
        </w:rPr>
      </w:pPr>
      <w:bookmarkStart w:id="133" w:name="质量保证"/>
      <w:r>
        <w:rPr>
          <w:color w:val="000000" w:themeColor="text1"/>
          <w14:textFill>
            <w14:solidFill>
              <w14:schemeClr w14:val="tx1"/>
            </w14:solidFill>
          </w14:textFill>
        </w:rPr>
        <w:t xml:space="preserve">3.4.5 </w:t>
      </w:r>
      <w:r>
        <w:rPr>
          <w:rFonts w:hint="eastAsia"/>
          <w:color w:val="000000" w:themeColor="text1"/>
          <w14:textFill>
            <w14:solidFill>
              <w14:schemeClr w14:val="tx1"/>
            </w14:solidFill>
          </w14:textFill>
        </w:rPr>
        <w:t>质量保证</w:t>
      </w:r>
    </w:p>
    <w:p w14:paraId="09E17A3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代码评审（Code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Review）覆盖关键改动；</w:t>
      </w:r>
    </w:p>
    <w:p w14:paraId="0B4A637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静态代码检查与规范校验；</w:t>
      </w:r>
    </w:p>
    <w:p w14:paraId="2CE24097">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持续集成（编译/测试自动化）保证主干可用；</w:t>
      </w:r>
    </w:p>
    <w:p w14:paraId="59BE1D73">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关键交易（支付、退款、核验）专项质量校验。</w:t>
      </w:r>
    </w:p>
    <w:bookmarkEnd w:id="133"/>
    <w:p w14:paraId="55BF5D69">
      <w:pPr>
        <w:pStyle w:val="5"/>
        <w:rPr>
          <w:color w:val="000000" w:themeColor="text1"/>
          <w14:textFill>
            <w14:solidFill>
              <w14:schemeClr w14:val="tx1"/>
            </w14:solidFill>
          </w14:textFill>
        </w:rPr>
      </w:pPr>
      <w:bookmarkStart w:id="134" w:name="性能压测方案"/>
      <w:r>
        <w:rPr>
          <w:color w:val="000000" w:themeColor="text1"/>
          <w14:textFill>
            <w14:solidFill>
              <w14:schemeClr w14:val="tx1"/>
            </w14:solidFill>
          </w14:textFill>
        </w:rPr>
        <w:t xml:space="preserve">3.4.6 </w:t>
      </w:r>
      <w:r>
        <w:rPr>
          <w:rFonts w:hint="eastAsia"/>
          <w:color w:val="000000" w:themeColor="text1"/>
          <w14:textFill>
            <w14:solidFill>
              <w14:schemeClr w14:val="tx1"/>
            </w14:solidFill>
          </w14:textFill>
        </w:rPr>
        <w:t>性能压测方案</w:t>
      </w:r>
    </w:p>
    <w:p w14:paraId="67B379FB">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针对集中选房、集中缴费等高峰场景开展性能压测：设定并发目标与响应时间目标，使用压测工具模拟高并发，观测响应时间、吞吐、错误率与资源占用，定位瓶颈并优化（数据库索引、缓存、连接池、慢查询治理），出具压测报告。</w:t>
      </w:r>
    </w:p>
    <w:bookmarkEnd w:id="134"/>
    <w:p w14:paraId="670CAA93">
      <w:pPr>
        <w:pStyle w:val="5"/>
        <w:rPr>
          <w:color w:val="000000" w:themeColor="text1"/>
          <w14:textFill>
            <w14:solidFill>
              <w14:schemeClr w14:val="tx1"/>
            </w14:solidFill>
          </w14:textFill>
        </w:rPr>
      </w:pPr>
      <w:bookmarkStart w:id="135" w:name="测试环境与测试数据管理"/>
      <w:r>
        <w:rPr>
          <w:color w:val="000000" w:themeColor="text1"/>
          <w14:textFill>
            <w14:solidFill>
              <w14:schemeClr w14:val="tx1"/>
            </w14:solidFill>
          </w14:textFill>
        </w:rPr>
        <w:t xml:space="preserve">3.4.7 </w:t>
      </w:r>
      <w:r>
        <w:rPr>
          <w:rFonts w:hint="eastAsia"/>
          <w:color w:val="000000" w:themeColor="text1"/>
          <w14:textFill>
            <w14:solidFill>
              <w14:schemeClr w14:val="tx1"/>
            </w14:solidFill>
          </w14:textFill>
        </w:rPr>
        <w:t>测试环境与测试数据管理</w:t>
      </w:r>
    </w:p>
    <w:p w14:paraId="2C49492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建立与生产环境隔离的独立测试环境，用于系统测试、性能压测、数据迁移演练与灰度验证。测试环境与生产环境在中间件版本、数据库结构上保持一致，保证测试结果可信。测试数据管理遵循以下原则：</w:t>
      </w:r>
    </w:p>
    <w:p w14:paraId="3845DCA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数据脱敏</w:t>
      </w:r>
      <w:r>
        <w:rPr>
          <w:rFonts w:hint="eastAsia"/>
          <w:color w:val="000000" w:themeColor="text1"/>
          <w14:textFill>
            <w14:solidFill>
              <w14:schemeClr w14:val="tx1"/>
            </w14:solidFill>
          </w14:textFill>
        </w:rPr>
        <w:t>：从生产/存量提取的测试数据必须脱敏（身份证、手机号、人脸等敏感字段），严禁真实敏感数据流入测试环境；</w:t>
      </w:r>
    </w:p>
    <w:p w14:paraId="7FB05D8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数据可复位</w:t>
      </w:r>
      <w:r>
        <w:rPr>
          <w:rFonts w:hint="eastAsia"/>
          <w:color w:val="000000" w:themeColor="text1"/>
          <w14:textFill>
            <w14:solidFill>
              <w14:schemeClr w14:val="tx1"/>
            </w14:solidFill>
          </w14:textFill>
        </w:rPr>
        <w:t>：测试数据集可一键重置，保证每轮测试起点一致、结果可复现；</w:t>
      </w:r>
    </w:p>
    <w:p w14:paraId="286FFDE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覆盖典型场景</w:t>
      </w:r>
      <w:r>
        <w:rPr>
          <w:rFonts w:hint="eastAsia"/>
          <w:color w:val="000000" w:themeColor="text1"/>
          <w14:textFill>
            <w14:solidFill>
              <w14:schemeClr w14:val="tx1"/>
            </w14:solidFill>
          </w14:textFill>
        </w:rPr>
        <w:t>：构造覆盖多业态、多状态（在租/退租/欠费/申诉）、边界值（临期、逾期、零元账单）的测试数据，保证测试充分。</w:t>
      </w:r>
    </w:p>
    <w:bookmarkEnd w:id="135"/>
    <w:p w14:paraId="183BBAF3">
      <w:pPr>
        <w:pStyle w:val="5"/>
        <w:rPr>
          <w:color w:val="000000" w:themeColor="text1"/>
          <w14:textFill>
            <w14:solidFill>
              <w14:schemeClr w14:val="tx1"/>
            </w14:solidFill>
          </w14:textFill>
        </w:rPr>
      </w:pPr>
      <w:bookmarkStart w:id="136" w:name="持续集成与自动化保障"/>
      <w:r>
        <w:rPr>
          <w:color w:val="000000" w:themeColor="text1"/>
          <w14:textFill>
            <w14:solidFill>
              <w14:schemeClr w14:val="tx1"/>
            </w14:solidFill>
          </w14:textFill>
        </w:rPr>
        <w:t xml:space="preserve">3.4.8 </w:t>
      </w:r>
      <w:r>
        <w:rPr>
          <w:rFonts w:hint="eastAsia"/>
          <w:color w:val="000000" w:themeColor="text1"/>
          <w14:textFill>
            <w14:solidFill>
              <w14:schemeClr w14:val="tx1"/>
            </w14:solidFill>
          </w14:textFill>
        </w:rPr>
        <w:t>持续集成与自动化保障</w:t>
      </w:r>
    </w:p>
    <w:p w14:paraId="1C4B0B5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建立持续集成（CI）流水线：代码提交后自动触发编译、静态检查与自动化测试，主干构建失败即时告警、快速修复，保证”主干随时可编译、可部署”。关键交易链路（核验、支付、退款、签署）编写自动化回归用例，每次重要改动后自动回归，防止”改一处、坏一片”。构建产物版本化归档，与</w:t>
      </w:r>
      <w:r>
        <w:rPr>
          <w:color w:val="000000" w:themeColor="text1"/>
          <w14:textFill>
            <w14:solidFill>
              <w14:schemeClr w14:val="tx1"/>
            </w14:solidFill>
          </w14:textFill>
        </w:rPr>
        <w:t xml:space="preserve"> Git </w:t>
      </w:r>
      <w:r>
        <w:rPr>
          <w:rFonts w:hint="eastAsia"/>
          <w:color w:val="000000" w:themeColor="text1"/>
          <w14:textFill>
            <w14:solidFill>
              <w14:schemeClr w14:val="tx1"/>
            </w14:solidFill>
          </w14:textFill>
        </w:rPr>
        <w:t>标签一一对应，支持按版本快速部署与回滚。此机制既契合招标”源代码可独立编译生成与生产环境一致的可执行文件”的要求，也为六年运维期的持续迭代提供了稳定的工程底座。</w:t>
      </w:r>
    </w:p>
    <w:bookmarkEnd w:id="128"/>
    <w:bookmarkEnd w:id="136"/>
    <w:p w14:paraId="23A30F89">
      <w:pPr>
        <w:pStyle w:val="4"/>
        <w:rPr>
          <w:color w:val="000000" w:themeColor="text1"/>
          <w14:textFill>
            <w14:solidFill>
              <w14:schemeClr w14:val="tx1"/>
            </w14:solidFill>
          </w14:textFill>
        </w:rPr>
      </w:pPr>
      <w:bookmarkStart w:id="137" w:name="配置与变更管理"/>
      <w:r>
        <w:rPr>
          <w:color w:val="000000" w:themeColor="text1"/>
          <w14:textFill>
            <w14:solidFill>
              <w14:schemeClr w14:val="tx1"/>
            </w14:solidFill>
          </w14:textFill>
        </w:rPr>
        <w:t xml:space="preserve">3.5 </w:t>
      </w:r>
      <w:r>
        <w:rPr>
          <w:rFonts w:hint="eastAsia"/>
          <w:color w:val="000000" w:themeColor="text1"/>
          <w14:textFill>
            <w14:solidFill>
              <w14:schemeClr w14:val="tx1"/>
            </w14:solidFill>
          </w14:textFill>
        </w:rPr>
        <w:t>配置与变更管理</w:t>
      </w:r>
    </w:p>
    <w:p w14:paraId="5928E7E7">
      <w:pPr>
        <w:pStyle w:val="5"/>
        <w:rPr>
          <w:color w:val="000000" w:themeColor="text1"/>
          <w14:textFill>
            <w14:solidFill>
              <w14:schemeClr w14:val="tx1"/>
            </w14:solidFill>
          </w14:textFill>
        </w:rPr>
      </w:pPr>
      <w:bookmarkStart w:id="138" w:name="配置管理"/>
      <w:r>
        <w:rPr>
          <w:color w:val="000000" w:themeColor="text1"/>
          <w14:textFill>
            <w14:solidFill>
              <w14:schemeClr w14:val="tx1"/>
            </w14:solidFill>
          </w14:textFill>
        </w:rPr>
        <w:t xml:space="preserve">3.5.1 </w:t>
      </w:r>
      <w:r>
        <w:rPr>
          <w:rFonts w:hint="eastAsia"/>
          <w:color w:val="000000" w:themeColor="text1"/>
          <w14:textFill>
            <w14:solidFill>
              <w14:schemeClr w14:val="tx1"/>
            </w14:solidFill>
          </w14:textFill>
        </w:rPr>
        <w:t>配置管理</w:t>
      </w:r>
    </w:p>
    <w:p w14:paraId="7C17557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代码配置</w:t>
      </w:r>
      <w:r>
        <w:rPr>
          <w:rFonts w:hint="eastAsia"/>
          <w:color w:val="000000" w:themeColor="text1"/>
          <w14:textFill>
            <w14:solidFill>
              <w14:schemeClr w14:val="tx1"/>
            </w14:solidFill>
          </w14:textFill>
        </w:rPr>
        <w:t>：统一版本管理（Git），分支策略清晰（主干/开发/发布），标签管理版本；</w:t>
      </w:r>
    </w:p>
    <w:p w14:paraId="1059633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环境配置</w:t>
      </w:r>
      <w:r>
        <w:rPr>
          <w:rFonts w:hint="eastAsia"/>
          <w:color w:val="000000" w:themeColor="text1"/>
          <w14:textFill>
            <w14:solidFill>
              <w14:schemeClr w14:val="tx1"/>
            </w14:solidFill>
          </w14:textFill>
        </w:rPr>
        <w:t>：开发/测试/生产环境配置分离，敏感配置加密管理；</w:t>
      </w:r>
    </w:p>
    <w:p w14:paraId="01B88D2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制品配置</w:t>
      </w:r>
      <w:r>
        <w:rPr>
          <w:rFonts w:hint="eastAsia"/>
          <w:color w:val="000000" w:themeColor="text1"/>
          <w14:textFill>
            <w14:solidFill>
              <w14:schemeClr w14:val="tx1"/>
            </w14:solidFill>
          </w14:textFill>
        </w:rPr>
        <w:t>：构建产物版本化，可追溯、可回滚。</w:t>
      </w:r>
    </w:p>
    <w:p w14:paraId="1BDC6692">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815975"/>
            <wp:effectExtent l="0" t="0" r="0" b="0"/>
            <wp:docPr id="199" name="Picture" descr="图3-6 变更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descr="图3-6 变更管理流程图"/>
                    <pic:cNvPicPr>
                      <a:picLocks noChangeAspect="1" noChangeArrowheads="1"/>
                    </pic:cNvPicPr>
                  </pic:nvPicPr>
                  <pic:blipFill>
                    <a:blip r:embed="rId22"/>
                    <a:stretch>
                      <a:fillRect/>
                    </a:stretch>
                  </pic:blipFill>
                  <pic:spPr>
                    <a:xfrm>
                      <a:off x="0" y="0"/>
                      <a:ext cx="5334000" cy="816428"/>
                    </a:xfrm>
                    <a:prstGeom prst="rect">
                      <a:avLst/>
                    </a:prstGeom>
                    <a:noFill/>
                    <a:ln w="9525">
                      <a:noFill/>
                    </a:ln>
                  </pic:spPr>
                </pic:pic>
              </a:graphicData>
            </a:graphic>
          </wp:inline>
        </w:drawing>
      </w:r>
    </w:p>
    <w:p w14:paraId="7931453E">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图3-6</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变更管理流程图</w:t>
      </w:r>
    </w:p>
    <w:p w14:paraId="5020120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图3-6</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变更管理流程图</w:t>
      </w:r>
    </w:p>
    <w:bookmarkEnd w:id="138"/>
    <w:p w14:paraId="3D886F3C">
      <w:pPr>
        <w:pStyle w:val="5"/>
        <w:rPr>
          <w:color w:val="000000" w:themeColor="text1"/>
          <w14:textFill>
            <w14:solidFill>
              <w14:schemeClr w14:val="tx1"/>
            </w14:solidFill>
          </w14:textFill>
        </w:rPr>
      </w:pPr>
      <w:bookmarkStart w:id="139" w:name="变更管理"/>
      <w:r>
        <w:rPr>
          <w:color w:val="000000" w:themeColor="text1"/>
          <w14:textFill>
            <w14:solidFill>
              <w14:schemeClr w14:val="tx1"/>
            </w14:solidFill>
          </w14:textFill>
        </w:rPr>
        <w:t xml:space="preserve">3.5.2 </w:t>
      </w:r>
      <w:r>
        <w:rPr>
          <w:rFonts w:hint="eastAsia"/>
          <w:color w:val="000000" w:themeColor="text1"/>
          <w14:textFill>
            <w14:solidFill>
              <w14:schemeClr w14:val="tx1"/>
            </w14:solidFill>
          </w14:textFill>
        </w:rPr>
        <w:t>变更管理</w:t>
      </w:r>
    </w:p>
    <w:p w14:paraId="20C388C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变更（需求/设计/代码/配置）走统一变更流程：提出→评估影响→评审审批→实施→验证→记录。重大变更需甲方确认，所有变更留痕可追溯，防止无序变更影响进度与质量。</w:t>
      </w:r>
    </w:p>
    <w:bookmarkEnd w:id="137"/>
    <w:bookmarkEnd w:id="139"/>
    <w:p w14:paraId="14339BEE">
      <w:pPr>
        <w:pStyle w:val="4"/>
        <w:rPr>
          <w:color w:val="000000" w:themeColor="text1"/>
          <w14:textFill>
            <w14:solidFill>
              <w14:schemeClr w14:val="tx1"/>
            </w14:solidFill>
          </w14:textFill>
        </w:rPr>
      </w:pPr>
      <w:bookmarkStart w:id="140" w:name="技术规范管控"/>
      <w:r>
        <w:rPr>
          <w:color w:val="000000" w:themeColor="text1"/>
          <w14:textFill>
            <w14:solidFill>
              <w14:schemeClr w14:val="tx1"/>
            </w14:solidFill>
          </w14:textFill>
        </w:rPr>
        <w:t xml:space="preserve">3.6 </w:t>
      </w:r>
      <w:r>
        <w:rPr>
          <w:rFonts w:hint="eastAsia"/>
          <w:color w:val="000000" w:themeColor="text1"/>
          <w14:textFill>
            <w14:solidFill>
              <w14:schemeClr w14:val="tx1"/>
            </w14:solidFill>
          </w14:textFill>
        </w:rPr>
        <w:t>技术规范管控</w:t>
      </w:r>
    </w:p>
    <w:p w14:paraId="55F937DC">
      <w:pPr>
        <w:pStyle w:val="5"/>
        <w:rPr>
          <w:color w:val="000000" w:themeColor="text1"/>
          <w14:textFill>
            <w14:solidFill>
              <w14:schemeClr w14:val="tx1"/>
            </w14:solidFill>
          </w14:textFill>
        </w:rPr>
      </w:pPr>
      <w:bookmarkStart w:id="141" w:name="编码规范细则要点"/>
      <w:r>
        <w:rPr>
          <w:color w:val="000000" w:themeColor="text1"/>
          <w14:textFill>
            <w14:solidFill>
              <w14:schemeClr w14:val="tx1"/>
            </w14:solidFill>
          </w14:textFill>
        </w:rPr>
        <w:t xml:space="preserve">3.6.1 </w:t>
      </w:r>
      <w:r>
        <w:rPr>
          <w:rFonts w:hint="eastAsia"/>
          <w:color w:val="000000" w:themeColor="text1"/>
          <w14:textFill>
            <w14:solidFill>
              <w14:schemeClr w14:val="tx1"/>
            </w14:solidFill>
          </w14:textFill>
        </w:rPr>
        <w:t>编码规范细则（要点）</w:t>
      </w:r>
    </w:p>
    <w:p w14:paraId="083045A3">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遵循阿里《Java</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开发手册》，命名、注释、异常处理规范统一；</w:t>
      </w:r>
    </w:p>
    <w:p w14:paraId="5F4D047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新代码统一采用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MyBatis-Plus，优先使用</w:t>
      </w:r>
      <w:r>
        <w:rPr>
          <w:color w:val="000000" w:themeColor="text1"/>
          <w14:textFill>
            <w14:solidFill>
              <w14:schemeClr w14:val="tx1"/>
            </w14:solidFill>
          </w14:textFill>
        </w:rPr>
        <w:t xml:space="preserve"> BaseMapper </w:t>
      </w:r>
      <w:r>
        <w:rPr>
          <w:rFonts w:hint="eastAsia"/>
          <w:color w:val="000000" w:themeColor="text1"/>
          <w14:textFill>
            <w14:solidFill>
              <w14:schemeClr w14:val="tx1"/>
            </w14:solidFill>
          </w14:textFill>
        </w:rPr>
        <w:t>通用方法，减少样板</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XML；</w:t>
      </w:r>
    </w:p>
    <w:p w14:paraId="37537DA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前端遵循组件规范与目录约定，API</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统一管理；</w:t>
      </w:r>
    </w:p>
    <w:p w14:paraId="3EAE351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提交信息规范，关键改动关联需求/缺陷编号。</w:t>
      </w:r>
    </w:p>
    <w:bookmarkEnd w:id="141"/>
    <w:p w14:paraId="5D4C599B">
      <w:pPr>
        <w:pStyle w:val="5"/>
        <w:rPr>
          <w:color w:val="000000" w:themeColor="text1"/>
          <w14:textFill>
            <w14:solidFill>
              <w14:schemeClr w14:val="tx1"/>
            </w14:solidFill>
          </w14:textFill>
        </w:rPr>
      </w:pPr>
      <w:bookmarkStart w:id="142" w:name="数据库规范细则要点"/>
      <w:r>
        <w:rPr>
          <w:color w:val="000000" w:themeColor="text1"/>
          <w14:textFill>
            <w14:solidFill>
              <w14:schemeClr w14:val="tx1"/>
            </w14:solidFill>
          </w14:textFill>
        </w:rPr>
        <w:t xml:space="preserve">3.6.2 </w:t>
      </w:r>
      <w:r>
        <w:rPr>
          <w:rFonts w:hint="eastAsia"/>
          <w:color w:val="000000" w:themeColor="text1"/>
          <w14:textFill>
            <w14:solidFill>
              <w14:schemeClr w14:val="tx1"/>
            </w14:solidFill>
          </w14:textFill>
        </w:rPr>
        <w:t>数据库规范细则（要点）</w:t>
      </w:r>
    </w:p>
    <w:p w14:paraId="436BF2DE">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表/字段命名语义清晰、统一字符集；</w:t>
      </w:r>
    </w:p>
    <w:p w14:paraId="7EBF871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统一逻辑删除字段与全局配置；</w:t>
      </w:r>
    </w:p>
    <w:p w14:paraId="5420C5F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索引合理、防重唯一索引到位；</w:t>
      </w:r>
    </w:p>
    <w:p w14:paraId="0C3A40E7">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金额/时间字段类型与精度统一；</w:t>
      </w:r>
    </w:p>
    <w:p w14:paraId="1FC0921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变更脚本版本化、可回滚，生产变更审慎评审。</w:t>
      </w:r>
    </w:p>
    <w:bookmarkEnd w:id="140"/>
    <w:bookmarkEnd w:id="142"/>
    <w:p w14:paraId="31A9775B">
      <w:pPr>
        <w:pStyle w:val="4"/>
        <w:rPr>
          <w:color w:val="000000" w:themeColor="text1"/>
          <w14:textFill>
            <w14:solidFill>
              <w14:schemeClr w14:val="tx1"/>
            </w14:solidFill>
          </w14:textFill>
        </w:rPr>
      </w:pPr>
      <w:bookmarkStart w:id="143" w:name="部署对接及运行测试保障"/>
      <w:r>
        <w:rPr>
          <w:color w:val="000000" w:themeColor="text1"/>
          <w14:textFill>
            <w14:solidFill>
              <w14:schemeClr w14:val="tx1"/>
            </w14:solidFill>
          </w14:textFill>
        </w:rPr>
        <w:t xml:space="preserve">3.7 </w:t>
      </w:r>
      <w:r>
        <w:rPr>
          <w:rFonts w:hint="eastAsia"/>
          <w:color w:val="000000" w:themeColor="text1"/>
          <w14:textFill>
            <w14:solidFill>
              <w14:schemeClr w14:val="tx1"/>
            </w14:solidFill>
          </w14:textFill>
        </w:rPr>
        <w:t>部署对接及运行测试保障</w:t>
      </w:r>
    </w:p>
    <w:p w14:paraId="2DC04379">
      <w:pPr>
        <w:pStyle w:val="5"/>
        <w:rPr>
          <w:color w:val="000000" w:themeColor="text1"/>
          <w14:textFill>
            <w14:solidFill>
              <w14:schemeClr w14:val="tx1"/>
            </w14:solidFill>
          </w14:textFill>
        </w:rPr>
      </w:pPr>
      <w:bookmarkStart w:id="144" w:name="外部对接联调计划"/>
      <w:r>
        <w:rPr>
          <w:color w:val="000000" w:themeColor="text1"/>
          <w14:textFill>
            <w14:solidFill>
              <w14:schemeClr w14:val="tx1"/>
            </w14:solidFill>
          </w14:textFill>
        </w:rPr>
        <w:t xml:space="preserve">3.7.1 </w:t>
      </w:r>
      <w:r>
        <w:rPr>
          <w:rFonts w:hint="eastAsia"/>
          <w:color w:val="000000" w:themeColor="text1"/>
          <w14:textFill>
            <w14:solidFill>
              <w14:schemeClr w14:val="tx1"/>
            </w14:solidFill>
          </w14:textFill>
        </w:rPr>
        <w:t>外部对接联调计划</w:t>
      </w:r>
    </w:p>
    <w:p w14:paraId="358D430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对接联调是本项目的关键环节，需与多个外部系统协同，制定专项联调计划：</w:t>
      </w:r>
    </w:p>
    <w:tbl>
      <w:tblPr>
        <w:tblStyle w:val="41"/>
        <w:tblW w:w="0" w:type="auto"/>
        <w:tblInd w:w="0" w:type="dxa"/>
        <w:tblLayout w:type="autofit"/>
        <w:tblCellMar>
          <w:top w:w="0" w:type="dxa"/>
          <w:left w:w="108" w:type="dxa"/>
          <w:bottom w:w="0" w:type="dxa"/>
          <w:right w:w="108" w:type="dxa"/>
        </w:tblCellMar>
      </w:tblPr>
      <w:tblGrid>
        <w:gridCol w:w="1896"/>
        <w:gridCol w:w="2856"/>
        <w:gridCol w:w="3336"/>
      </w:tblGrid>
      <w:tr w14:paraId="31AAD5C7">
        <w:trPr>
          <w:tblHeader/>
        </w:trPr>
        <w:tc>
          <w:p w14:paraId="73BF50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对接项</w:t>
            </w:r>
          </w:p>
        </w:tc>
        <w:tc>
          <w:p w14:paraId="240CBB5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联调内容</w:t>
            </w:r>
          </w:p>
        </w:tc>
        <w:tc>
          <w:p w14:paraId="47E7991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保障措施</w:t>
            </w:r>
          </w:p>
        </w:tc>
      </w:tr>
      <w:tr w14:paraId="1C3A52DE">
        <w:tc>
          <w:p w14:paraId="2F00ABD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郑好办用户体系</w:t>
            </w:r>
          </w:p>
        </w:tc>
        <w:tc>
          <w:p w14:paraId="3A79BE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授权登录、用户信息</w:t>
            </w:r>
          </w:p>
        </w:tc>
        <w:tc>
          <w:p w14:paraId="6C8172E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提前对接规范、联调环境准备</w:t>
            </w:r>
          </w:p>
        </w:tc>
      </w:tr>
      <w:tr w14:paraId="472ADDC1">
        <w:tc>
          <w:p w14:paraId="3A00587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政务数据核验</w:t>
            </w:r>
          </w:p>
        </w:tc>
        <w:tc>
          <w:p w14:paraId="3A2FE3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社保/婚姻/学历/住房核验</w:t>
            </w:r>
          </w:p>
        </w:tc>
        <w:tc>
          <w:p w14:paraId="0A0BFB1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合规网络通道、容错降级验证</w:t>
            </w:r>
          </w:p>
        </w:tc>
      </w:tr>
      <w:tr w14:paraId="0E38656B">
        <w:tc>
          <w:p w14:paraId="120A7C9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港区支付</w:t>
            </w:r>
          </w:p>
        </w:tc>
        <w:tc>
          <w:p w14:paraId="23F36D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下单/回调/查询/退款</w:t>
            </w:r>
          </w:p>
        </w:tc>
        <w:tc>
          <w:p w14:paraId="48CD244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幂等与对账专项验证</w:t>
            </w:r>
          </w:p>
        </w:tc>
      </w:tr>
      <w:tr w14:paraId="5BF08F7E">
        <w:tc>
          <w:p w14:paraId="68135C3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电子签章</w:t>
            </w:r>
          </w:p>
        </w:tc>
        <w:tc>
          <w:p w14:paraId="3E5A433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模板/签署/回调/归档</w:t>
            </w:r>
          </w:p>
        </w:tc>
        <w:tc>
          <w:p w14:paraId="284C380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签署全链路联调</w:t>
            </w:r>
          </w:p>
        </w:tc>
      </w:tr>
      <w:tr w14:paraId="50ACF9AC">
        <w:tc>
          <w:p w14:paraId="117D717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人脸识别</w:t>
            </w:r>
          </w:p>
        </w:tc>
        <w:tc>
          <w:p w14:paraId="4E32CE6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实人核身</w:t>
            </w:r>
          </w:p>
        </w:tc>
        <w:tc>
          <w:p w14:paraId="276DE64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端上能力联调</w:t>
            </w:r>
          </w:p>
        </w:tc>
      </w:tr>
      <w:tr w14:paraId="1428EEF4">
        <w:tc>
          <w:p w14:paraId="097BC57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地图/开票</w:t>
            </w:r>
          </w:p>
        </w:tc>
        <w:tc>
          <w:p w14:paraId="29355A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点位/开票</w:t>
            </w:r>
          </w:p>
        </w:tc>
        <w:tc>
          <w:p w14:paraId="41E2455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功能联调</w:t>
            </w:r>
          </w:p>
        </w:tc>
      </w:tr>
    </w:tbl>
    <w:p w14:paraId="094D62E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联调按”接口连通—单场景验证—全流程贯通—异常演练”推进，确保上线前对接稳定可靠。</w:t>
      </w:r>
    </w:p>
    <w:bookmarkEnd w:id="144"/>
    <w:p w14:paraId="38D768FA">
      <w:pPr>
        <w:pStyle w:val="5"/>
        <w:rPr>
          <w:color w:val="000000" w:themeColor="text1"/>
          <w14:textFill>
            <w14:solidFill>
              <w14:schemeClr w14:val="tx1"/>
            </w14:solidFill>
          </w14:textFill>
        </w:rPr>
      </w:pPr>
      <w:bookmarkStart w:id="145" w:name="运行测试保障"/>
      <w:r>
        <w:rPr>
          <w:color w:val="000000" w:themeColor="text1"/>
          <w14:textFill>
            <w14:solidFill>
              <w14:schemeClr w14:val="tx1"/>
            </w14:solidFill>
          </w14:textFill>
        </w:rPr>
        <w:t xml:space="preserve">3.7.2 </w:t>
      </w:r>
      <w:r>
        <w:rPr>
          <w:rFonts w:hint="eastAsia"/>
          <w:color w:val="000000" w:themeColor="text1"/>
          <w14:textFill>
            <w14:solidFill>
              <w14:schemeClr w14:val="tx1"/>
            </w14:solidFill>
          </w14:textFill>
        </w:rPr>
        <w:t>运行测试保障</w:t>
      </w:r>
    </w:p>
    <w:p w14:paraId="113EA45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上线前完成系统运行测试：功能回归、性能压测、安全测试、数据迁移校验、灰度验证，形成测试报告，确保系统在生产环境稳定运行。</w:t>
      </w:r>
    </w:p>
    <w:bookmarkEnd w:id="145"/>
    <w:p w14:paraId="5EDE4507">
      <w:pPr>
        <w:pStyle w:val="5"/>
        <w:rPr>
          <w:color w:val="000000" w:themeColor="text1"/>
          <w14:textFill>
            <w14:solidFill>
              <w14:schemeClr w14:val="tx1"/>
            </w14:solidFill>
          </w14:textFill>
        </w:rPr>
      </w:pPr>
      <w:bookmarkStart w:id="146" w:name="上线切换方案与回退预案"/>
      <w:r>
        <w:rPr>
          <w:color w:val="000000" w:themeColor="text1"/>
          <w14:textFill>
            <w14:solidFill>
              <w14:schemeClr w14:val="tx1"/>
            </w14:solidFill>
          </w14:textFill>
        </w:rPr>
        <w:t xml:space="preserve">3.7.3 </w:t>
      </w:r>
      <w:r>
        <w:rPr>
          <w:rFonts w:hint="eastAsia"/>
          <w:color w:val="000000" w:themeColor="text1"/>
          <w14:textFill>
            <w14:solidFill>
              <w14:schemeClr w14:val="tx1"/>
            </w14:solidFill>
          </w14:textFill>
        </w:rPr>
        <w:t>上线切换方案与回退预案</w:t>
      </w:r>
    </w:p>
    <w:p w14:paraId="606800D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系统上线采取”停机窗口迁移</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灰度验证</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全量放开”的稳妥切换策略，最大限度降低对在办业务的影响：</w:t>
      </w:r>
    </w:p>
    <w:p w14:paraId="57525941">
      <w:pPr>
        <w:pStyle w:val="24"/>
        <w:numPr>
          <w:ilvl w:val="0"/>
          <w:numId w:val="13"/>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上线前准备</w:t>
      </w:r>
      <w:r>
        <w:rPr>
          <w:rFonts w:hint="eastAsia"/>
          <w:color w:val="000000" w:themeColor="text1"/>
          <w14:textFill>
            <w14:solidFill>
              <w14:schemeClr w14:val="tx1"/>
            </w14:solidFill>
          </w14:textFill>
        </w:rPr>
        <w:t>：完成生产环境部署与配置核对、数据迁移演练通过、回退预案与操作清单准备就绪、上线值守人员与甲方接口人到位；</w:t>
      </w:r>
    </w:p>
    <w:p w14:paraId="2DED7D69">
      <w:pPr>
        <w:pStyle w:val="24"/>
        <w:numPr>
          <w:ilvl w:val="0"/>
          <w:numId w:val="13"/>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切换执行</w:t>
      </w:r>
      <w:r>
        <w:rPr>
          <w:rFonts w:hint="eastAsia"/>
          <w:color w:val="000000" w:themeColor="text1"/>
          <w14:textFill>
            <w14:solidFill>
              <w14:schemeClr w14:val="tx1"/>
            </w14:solidFill>
          </w14:textFill>
        </w:rPr>
        <w:t>：在与甲方约定的低峰停机窗口执行存量数据正式迁移与系统切换，迁移完成后立即执行迁后校验（数据量核对、关键业务抽验）；</w:t>
      </w:r>
    </w:p>
    <w:p w14:paraId="42FAFDB2">
      <w:pPr>
        <w:pStyle w:val="24"/>
        <w:numPr>
          <w:ilvl w:val="0"/>
          <w:numId w:val="13"/>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灰度验证</w:t>
      </w:r>
      <w:r>
        <w:rPr>
          <w:rFonts w:hint="eastAsia"/>
          <w:color w:val="000000" w:themeColor="text1"/>
          <w14:textFill>
            <w14:solidFill>
              <w14:schemeClr w14:val="tx1"/>
            </w14:solidFill>
          </w14:textFill>
        </w:rPr>
        <w:t>：先开放核心链路（登录、找房、账单查看）供小范围验证，确认无误后逐步放开全部功能；</w:t>
      </w:r>
    </w:p>
    <w:p w14:paraId="00F6EBAC">
      <w:pPr>
        <w:pStyle w:val="24"/>
        <w:numPr>
          <w:ilvl w:val="0"/>
          <w:numId w:val="13"/>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回退预案</w:t>
      </w:r>
      <w:r>
        <w:rPr>
          <w:rFonts w:hint="eastAsia"/>
          <w:color w:val="000000" w:themeColor="text1"/>
          <w14:textFill>
            <w14:solidFill>
              <w14:schemeClr w14:val="tx1"/>
            </w14:solidFill>
          </w14:textFill>
        </w:rPr>
        <w:t>：切换过程中若出现重大阻断问题且短时无法修复，立即按回退预案恢复到切换前状态（保留切换前数据库快照与原系统入口），保证业务连续，择期重新上线。</w:t>
      </w:r>
    </w:p>
    <w:p w14:paraId="6DE9339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上线切换全程有操作清单、时间节点与责任人，关键步骤双人复核，做到”每一步可控、出问题可退”。</w:t>
      </w:r>
    </w:p>
    <w:bookmarkEnd w:id="143"/>
    <w:bookmarkEnd w:id="146"/>
    <w:p w14:paraId="31932227">
      <w:pPr>
        <w:pStyle w:val="4"/>
        <w:rPr>
          <w:color w:val="000000" w:themeColor="text1"/>
          <w14:textFill>
            <w14:solidFill>
              <w14:schemeClr w14:val="tx1"/>
            </w14:solidFill>
          </w14:textFill>
        </w:rPr>
      </w:pPr>
      <w:bookmarkStart w:id="147" w:name="低成本标准化实现系统互联互通"/>
      <w:r>
        <w:rPr>
          <w:color w:val="000000" w:themeColor="text1"/>
          <w14:textFill>
            <w14:solidFill>
              <w14:schemeClr w14:val="tx1"/>
            </w14:solidFill>
          </w14:textFill>
        </w:rPr>
        <w:t xml:space="preserve">3.8 </w:t>
      </w:r>
      <w:r>
        <w:rPr>
          <w:rFonts w:hint="eastAsia"/>
          <w:color w:val="000000" w:themeColor="text1"/>
          <w14:textFill>
            <w14:solidFill>
              <w14:schemeClr w14:val="tx1"/>
            </w14:solidFill>
          </w14:textFill>
        </w:rPr>
        <w:t>低成本、标准化实现系统互联互通</w:t>
      </w:r>
    </w:p>
    <w:p w14:paraId="28B529C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系统以”标准化接口</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统一网关</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能力封装”实现低成本互联互通：</w:t>
      </w:r>
    </w:p>
    <w:p w14:paraId="723A6F7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标准化</w:t>
      </w:r>
      <w:r>
        <w:rPr>
          <w:rFonts w:hint="eastAsia"/>
          <w:color w:val="000000" w:themeColor="text1"/>
          <w14:textFill>
            <w14:solidFill>
              <w14:schemeClr w14:val="tx1"/>
            </w14:solidFill>
          </w14:textFill>
        </w:rPr>
        <w:t>：对外对内接口统一采用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RESTful+JSON+HTTPS，遵循各外部系统对接规范，降低对接与维护成本；</w:t>
      </w:r>
    </w:p>
    <w:p w14:paraId="29FBE77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能力封装</w:t>
      </w:r>
      <w:r>
        <w:rPr>
          <w:rFonts w:hint="eastAsia"/>
          <w:color w:val="000000" w:themeColor="text1"/>
          <w14:textFill>
            <w14:solidFill>
              <w14:schemeClr w14:val="tx1"/>
            </w14:solidFill>
          </w14:textFill>
        </w:rPr>
        <w:t>：将支付、签约、核验等外部能力封装为内部统一服务，业务域复用同一封装，避免重复对接；</w:t>
      </w:r>
    </w:p>
    <w:p w14:paraId="1CD2833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配置化</w:t>
      </w:r>
      <w:r>
        <w:rPr>
          <w:rFonts w:hint="eastAsia"/>
          <w:color w:val="000000" w:themeColor="text1"/>
          <w14:textFill>
            <w14:solidFill>
              <w14:schemeClr w14:val="tx1"/>
            </w14:solidFill>
          </w14:textFill>
        </w:rPr>
        <w:t>：对接参数、业态规则配置化，环境切换与规则调整无需大规模改码；</w:t>
      </w:r>
    </w:p>
    <w:p w14:paraId="7FAD4CA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一套多端</w:t>
      </w:r>
      <w:r>
        <w:rPr>
          <w:rFonts w:hint="eastAsia"/>
          <w:color w:val="000000" w:themeColor="text1"/>
          <w14:textFill>
            <w14:solidFill>
              <w14:schemeClr w14:val="tx1"/>
            </w14:solidFill>
          </w14:textFill>
        </w:rPr>
        <w:t>：群众端</w:t>
      </w:r>
      <w:r>
        <w:rPr>
          <w:color w:val="000000" w:themeColor="text1"/>
          <w14:textFill>
            <w14:solidFill>
              <w14:schemeClr w14:val="tx1"/>
            </w14:solidFill>
          </w14:textFill>
        </w:rPr>
        <w:t xml:space="preserve"> uni-app </w:t>
      </w:r>
      <w:r>
        <w:rPr>
          <w:rFonts w:hint="eastAsia"/>
          <w:color w:val="000000" w:themeColor="text1"/>
          <w14:textFill>
            <w14:solidFill>
              <w14:schemeClr w14:val="tx1"/>
            </w14:solidFill>
          </w14:textFill>
        </w:rPr>
        <w:t>一套代码多端发布，后端一套服务支撑四端，显著降低多端互通成本。</w:t>
      </w:r>
    </w:p>
    <w:p w14:paraId="5F09991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这些举措使系统在满足互联互通要求的同时，把建设与长期运维成本控制在合理范围，契合驻场服务模式。</w:t>
      </w:r>
    </w:p>
    <w:bookmarkEnd w:id="147"/>
    <w:p w14:paraId="5AF0E685">
      <w:pPr>
        <w:pStyle w:val="4"/>
        <w:rPr>
          <w:color w:val="000000" w:themeColor="text1"/>
          <w14:textFill>
            <w14:solidFill>
              <w14:schemeClr w14:val="tx1"/>
            </w14:solidFill>
          </w14:textFill>
        </w:rPr>
      </w:pPr>
      <w:bookmarkStart w:id="148" w:name="项目风险管理"/>
      <w:r>
        <w:rPr>
          <w:color w:val="000000" w:themeColor="text1"/>
          <w14:textFill>
            <w14:solidFill>
              <w14:schemeClr w14:val="tx1"/>
            </w14:solidFill>
          </w14:textFill>
        </w:rPr>
        <w:t xml:space="preserve">3.9 </w:t>
      </w:r>
      <w:r>
        <w:rPr>
          <w:rFonts w:hint="eastAsia"/>
          <w:color w:val="000000" w:themeColor="text1"/>
          <w14:textFill>
            <w14:solidFill>
              <w14:schemeClr w14:val="tx1"/>
            </w14:solidFill>
          </w14:textFill>
        </w:rPr>
        <w:t>项目风险管理</w:t>
      </w:r>
    </w:p>
    <w:p w14:paraId="57DF2559">
      <w:pPr>
        <w:pStyle w:val="5"/>
        <w:rPr>
          <w:color w:val="000000" w:themeColor="text1"/>
          <w14:textFill>
            <w14:solidFill>
              <w14:schemeClr w14:val="tx1"/>
            </w14:solidFill>
          </w14:textFill>
        </w:rPr>
      </w:pPr>
      <w:bookmarkStart w:id="149" w:name="风险管理机制"/>
      <w:r>
        <w:rPr>
          <w:color w:val="000000" w:themeColor="text1"/>
          <w14:textFill>
            <w14:solidFill>
              <w14:schemeClr w14:val="tx1"/>
            </w14:solidFill>
          </w14:textFill>
        </w:rPr>
        <w:t xml:space="preserve">3.9.1 </w:t>
      </w:r>
      <w:r>
        <w:rPr>
          <w:rFonts w:hint="eastAsia"/>
          <w:color w:val="000000" w:themeColor="text1"/>
          <w14:textFill>
            <w14:solidFill>
              <w14:schemeClr w14:val="tx1"/>
            </w14:solidFill>
          </w14:textFill>
        </w:rPr>
        <w:t>风险管理机制</w:t>
      </w:r>
    </w:p>
    <w:p w14:paraId="58AC48FF">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建立”识别—评估—应对—监控”的风险管理闭环，项目经理牵头维护风险登记册，定期评审风险状态与应对进展。</w:t>
      </w:r>
    </w:p>
    <w:bookmarkEnd w:id="149"/>
    <w:p w14:paraId="1E3B0B67">
      <w:pPr>
        <w:pStyle w:val="5"/>
        <w:rPr>
          <w:color w:val="000000" w:themeColor="text1"/>
          <w14:textFill>
            <w14:solidFill>
              <w14:schemeClr w14:val="tx1"/>
            </w14:solidFill>
          </w14:textFill>
        </w:rPr>
      </w:pPr>
      <w:bookmarkStart w:id="150" w:name="项目风险登记册"/>
      <w:r>
        <w:rPr>
          <w:color w:val="000000" w:themeColor="text1"/>
          <w14:textFill>
            <w14:solidFill>
              <w14:schemeClr w14:val="tx1"/>
            </w14:solidFill>
          </w14:textFill>
        </w:rPr>
        <w:t xml:space="preserve">3.9.2 </w:t>
      </w:r>
      <w:r>
        <w:rPr>
          <w:rFonts w:hint="eastAsia"/>
          <w:color w:val="000000" w:themeColor="text1"/>
          <w14:textFill>
            <w14:solidFill>
              <w14:schemeClr w14:val="tx1"/>
            </w14:solidFill>
          </w14:textFill>
        </w:rPr>
        <w:t>项目风险登记册</w:t>
      </w:r>
    </w:p>
    <w:tbl>
      <w:tblPr>
        <w:tblStyle w:val="41"/>
        <w:tblW w:w="5000" w:type="pct"/>
        <w:tblInd w:w="0" w:type="dxa"/>
        <w:tblLayout w:type="fixed"/>
        <w:tblCellMar>
          <w:top w:w="0" w:type="dxa"/>
          <w:left w:w="108" w:type="dxa"/>
          <w:bottom w:w="0" w:type="dxa"/>
          <w:right w:w="108" w:type="dxa"/>
        </w:tblCellMar>
      </w:tblPr>
      <w:tblGrid>
        <w:gridCol w:w="2331"/>
        <w:gridCol w:w="2331"/>
        <w:gridCol w:w="4195"/>
      </w:tblGrid>
      <w:tr w14:paraId="58953263">
        <w:trPr>
          <w:tblHeader/>
        </w:trPr>
        <w:tc>
          <w:p w14:paraId="6E52AFA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风险</w:t>
            </w:r>
          </w:p>
        </w:tc>
        <w:tc>
          <w:p w14:paraId="70E4C27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影响</w:t>
            </w:r>
          </w:p>
        </w:tc>
        <w:tc>
          <w:p w14:paraId="2EAC198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应对措施</w:t>
            </w:r>
          </w:p>
        </w:tc>
      </w:tr>
      <w:tr w14:paraId="7EC4370C">
        <w:tc>
          <w:p w14:paraId="0B19F3F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政务接口不稳定/变更</w:t>
            </w:r>
          </w:p>
        </w:tc>
        <w:tc>
          <w:p w14:paraId="1B25956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核验受阻</w:t>
            </w:r>
          </w:p>
        </w:tc>
        <w:tc>
          <w:p w14:paraId="72849BB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容错降级、留痕、与数据方保持沟通、申诉兜底</w:t>
            </w:r>
          </w:p>
        </w:tc>
      </w:tr>
      <w:tr w14:paraId="5B9DC7E8">
        <w:tc>
          <w:p w14:paraId="41894A0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需求频繁变更</w:t>
            </w:r>
          </w:p>
        </w:tc>
        <w:tc>
          <w:p w14:paraId="6EF2261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进度压力</w:t>
            </w:r>
          </w:p>
        </w:tc>
        <w:tc>
          <w:p w14:paraId="52BDC45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迭代吸收、变更评审、基线管控</w:t>
            </w:r>
          </w:p>
        </w:tc>
      </w:tr>
      <w:tr w14:paraId="284C2C75">
        <w:tc>
          <w:p w14:paraId="4275024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关键人员变动</w:t>
            </w:r>
          </w:p>
        </w:tc>
        <w:tc>
          <w:p w14:paraId="5CCB3B5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进度/质量波动</w:t>
            </w:r>
          </w:p>
        </w:tc>
        <w:tc>
          <w:p w14:paraId="2066879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AB角、文档沉淀、平滑交接</w:t>
            </w:r>
          </w:p>
        </w:tc>
      </w:tr>
      <w:tr w14:paraId="5867D5FE">
        <w:tc>
          <w:p w14:paraId="0E80B7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数据迁移质量</w:t>
            </w:r>
          </w:p>
        </w:tc>
        <w:tc>
          <w:p w14:paraId="5EB0CFB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业务连续性</w:t>
            </w:r>
          </w:p>
        </w:tc>
        <w:tc>
          <w:p w14:paraId="72DFC7D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分步迁移、全表校验、试迁与回退预案</w:t>
            </w:r>
          </w:p>
        </w:tc>
      </w:tr>
      <w:tr w14:paraId="16F7EC90">
        <w:tc>
          <w:p w14:paraId="12B3805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业务高峰性能</w:t>
            </w:r>
          </w:p>
        </w:tc>
        <w:tc>
          <w:p w14:paraId="2F77CF9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可用性</w:t>
            </w:r>
          </w:p>
        </w:tc>
        <w:tc>
          <w:p w14:paraId="52B19A9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压测、缓存、水平扩展、限流</w:t>
            </w:r>
          </w:p>
        </w:tc>
      </w:tr>
      <w:tr w14:paraId="020F16F1">
        <w:tc>
          <w:p w14:paraId="5451881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资金对账差错</w:t>
            </w:r>
          </w:p>
        </w:tc>
        <w:tc>
          <w:p w14:paraId="46E2DC4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资金安全</w:t>
            </w:r>
          </w:p>
        </w:tc>
        <w:tc>
          <w:p w14:paraId="1E8CEA3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幂等、对账、台账、专项校验</w:t>
            </w:r>
          </w:p>
        </w:tc>
      </w:tr>
      <w:bookmarkEnd w:id="150"/>
    </w:tbl>
    <w:p w14:paraId="58565397">
      <w:pPr>
        <w:pStyle w:val="5"/>
        <w:rPr>
          <w:color w:val="000000" w:themeColor="text1"/>
          <w14:textFill>
            <w14:solidFill>
              <w14:schemeClr w14:val="tx1"/>
            </w14:solidFill>
          </w14:textFill>
        </w:rPr>
      </w:pPr>
      <w:bookmarkStart w:id="151" w:name="风险升级路径"/>
      <w:r>
        <w:rPr>
          <w:color w:val="000000" w:themeColor="text1"/>
          <w14:textFill>
            <w14:solidFill>
              <w14:schemeClr w14:val="tx1"/>
            </w14:solidFill>
          </w14:textFill>
        </w:rPr>
        <w:t xml:space="preserve">3.9.3 </w:t>
      </w:r>
      <w:r>
        <w:rPr>
          <w:rFonts w:hint="eastAsia"/>
          <w:color w:val="000000" w:themeColor="text1"/>
          <w14:textFill>
            <w14:solidFill>
              <w14:schemeClr w14:val="tx1"/>
            </w14:solidFill>
          </w14:textFill>
        </w:rPr>
        <w:t>风险升级路径</w:t>
      </w:r>
    </w:p>
    <w:p w14:paraId="675FF3D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一般风险由项目经理处置；重大风险按”项目经理→管理层→决策层”升级，必要时与甲方协商应对，保证风险可控。</w:t>
      </w:r>
    </w:p>
    <w:bookmarkEnd w:id="151"/>
    <w:p w14:paraId="73EC403C">
      <w:pPr>
        <w:pStyle w:val="5"/>
        <w:rPr>
          <w:color w:val="000000" w:themeColor="text1"/>
          <w14:textFill>
            <w14:solidFill>
              <w14:schemeClr w14:val="tx1"/>
            </w14:solidFill>
          </w14:textFill>
        </w:rPr>
      </w:pPr>
      <w:bookmarkStart w:id="152" w:name="项目沟通管理计划"/>
      <w:r>
        <w:rPr>
          <w:color w:val="000000" w:themeColor="text1"/>
          <w14:textFill>
            <w14:solidFill>
              <w14:schemeClr w14:val="tx1"/>
            </w14:solidFill>
          </w14:textFill>
        </w:rPr>
        <w:t xml:space="preserve">3.9.4 </w:t>
      </w:r>
      <w:r>
        <w:rPr>
          <w:rFonts w:hint="eastAsia"/>
          <w:color w:val="000000" w:themeColor="text1"/>
          <w14:textFill>
            <w14:solidFill>
              <w14:schemeClr w14:val="tx1"/>
            </w14:solidFill>
          </w14:textFill>
        </w:rPr>
        <w:t>项目沟通管理计划</w:t>
      </w:r>
    </w:p>
    <w:p w14:paraId="4636A00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周报</w:t>
      </w:r>
      <w:r>
        <w:rPr>
          <w:rFonts w:hint="eastAsia"/>
          <w:color w:val="000000" w:themeColor="text1"/>
          <w14:textFill>
            <w14:solidFill>
              <w14:schemeClr w14:val="tx1"/>
            </w14:solidFill>
          </w14:textFill>
        </w:rPr>
        <w:t>：每周向甲方报送进展、计划、风险；</w:t>
      </w:r>
    </w:p>
    <w:p w14:paraId="1F1748C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月报</w:t>
      </w:r>
      <w:r>
        <w:rPr>
          <w:rFonts w:hint="eastAsia"/>
          <w:color w:val="000000" w:themeColor="text1"/>
          <w14:textFill>
            <w14:solidFill>
              <w14:schemeClr w14:val="tx1"/>
            </w14:solidFill>
          </w14:textFill>
        </w:rPr>
        <w:t>：每月总结（运维期每月末前2个工作日报送运维月报）；</w:t>
      </w:r>
    </w:p>
    <w:p w14:paraId="06D756B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例会</w:t>
      </w:r>
      <w:r>
        <w:rPr>
          <w:rFonts w:hint="eastAsia"/>
          <w:color w:val="000000" w:themeColor="text1"/>
          <w14:textFill>
            <w14:solidFill>
              <w14:schemeClr w14:val="tx1"/>
            </w14:solidFill>
          </w14:textFill>
        </w:rPr>
        <w:t>：定期项目例会与专题会；</w:t>
      </w:r>
    </w:p>
    <w:p w14:paraId="356E949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即时沟通</w:t>
      </w:r>
      <w:r>
        <w:rPr>
          <w:rFonts w:hint="eastAsia"/>
          <w:color w:val="000000" w:themeColor="text1"/>
          <w14:textFill>
            <w14:solidFill>
              <w14:schemeClr w14:val="tx1"/>
            </w14:solidFill>
          </w14:textFill>
        </w:rPr>
        <w:t>：重大事项即时沟通与响应。</w:t>
      </w:r>
    </w:p>
    <w:bookmarkEnd w:id="148"/>
    <w:bookmarkEnd w:id="152"/>
    <w:p w14:paraId="5CDC7CF3">
      <w:pPr>
        <w:pStyle w:val="4"/>
        <w:rPr>
          <w:color w:val="000000" w:themeColor="text1"/>
          <w14:textFill>
            <w14:solidFill>
              <w14:schemeClr w14:val="tx1"/>
            </w14:solidFill>
          </w14:textFill>
        </w:rPr>
      </w:pPr>
      <w:bookmarkStart w:id="153" w:name="项目文档管理"/>
      <w:r>
        <w:rPr>
          <w:color w:val="000000" w:themeColor="text1"/>
          <w14:textFill>
            <w14:solidFill>
              <w14:schemeClr w14:val="tx1"/>
            </w14:solidFill>
          </w14:textFill>
        </w:rPr>
        <w:t xml:space="preserve">3.10 </w:t>
      </w:r>
      <w:r>
        <w:rPr>
          <w:rFonts w:hint="eastAsia"/>
          <w:color w:val="000000" w:themeColor="text1"/>
          <w14:textFill>
            <w14:solidFill>
              <w14:schemeClr w14:val="tx1"/>
            </w14:solidFill>
          </w14:textFill>
        </w:rPr>
        <w:t>项目文档管理</w:t>
      </w:r>
    </w:p>
    <w:p w14:paraId="7BAD060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交付并持续维护完整项目文档：需求规格、设计文档、接口文档、测试文档、部署文档、操作手册、运维手册、源代码及编译部署说明。文档随开发同步更新、版本化管理，保证交付物齐全、可维护、可移交。</w:t>
      </w:r>
    </w:p>
    <w:bookmarkEnd w:id="153"/>
    <w:p w14:paraId="1BF2A6FF">
      <w:pPr>
        <w:pStyle w:val="4"/>
        <w:rPr>
          <w:color w:val="000000" w:themeColor="text1"/>
          <w14:textFill>
            <w14:solidFill>
              <w14:schemeClr w14:val="tx1"/>
            </w14:solidFill>
          </w14:textFill>
        </w:rPr>
      </w:pPr>
      <w:bookmarkStart w:id="154" w:name="培训管理"/>
      <w:r>
        <w:rPr>
          <w:color w:val="000000" w:themeColor="text1"/>
          <w14:textFill>
            <w14:solidFill>
              <w14:schemeClr w14:val="tx1"/>
            </w14:solidFill>
          </w14:textFill>
        </w:rPr>
        <w:t xml:space="preserve">3.11 </w:t>
      </w:r>
      <w:r>
        <w:rPr>
          <w:rFonts w:hint="eastAsia"/>
          <w:color w:val="000000" w:themeColor="text1"/>
          <w14:textFill>
            <w14:solidFill>
              <w14:schemeClr w14:val="tx1"/>
            </w14:solidFill>
          </w14:textFill>
        </w:rPr>
        <w:t>培训管理</w:t>
      </w:r>
    </w:p>
    <w:p w14:paraId="5450DC3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为保证系统顺利交付使用，我方制定分层培训计划，覆盖管理人员、运营人员与运维人员：</w:t>
      </w:r>
    </w:p>
    <w:tbl>
      <w:tblPr>
        <w:tblStyle w:val="41"/>
        <w:tblW w:w="5000" w:type="pct"/>
        <w:tblInd w:w="0" w:type="dxa"/>
        <w:tblLayout w:type="fixed"/>
        <w:tblCellMar>
          <w:top w:w="0" w:type="dxa"/>
          <w:left w:w="108" w:type="dxa"/>
          <w:bottom w:w="0" w:type="dxa"/>
          <w:right w:w="108" w:type="dxa"/>
        </w:tblCellMar>
      </w:tblPr>
      <w:tblGrid>
        <w:gridCol w:w="2748"/>
        <w:gridCol w:w="2748"/>
        <w:gridCol w:w="1527"/>
        <w:gridCol w:w="1832"/>
      </w:tblGrid>
      <w:tr w14:paraId="33F93CA9">
        <w:trPr>
          <w:tblHeader/>
        </w:trPr>
        <w:tc>
          <w:p w14:paraId="44A216E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培训对象</w:t>
            </w:r>
          </w:p>
        </w:tc>
        <w:tc>
          <w:p w14:paraId="6D57169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培训内容</w:t>
            </w:r>
          </w:p>
        </w:tc>
        <w:tc>
          <w:p w14:paraId="1582528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形式</w:t>
            </w:r>
          </w:p>
        </w:tc>
        <w:tc>
          <w:p w14:paraId="1B8779D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时机</w:t>
            </w:r>
          </w:p>
        </w:tc>
      </w:tr>
      <w:tr w14:paraId="7BCEB7D8">
        <w:tc>
          <w:p w14:paraId="06D587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业务管理人员</w:t>
            </w:r>
          </w:p>
        </w:tc>
        <w:tc>
          <w:p w14:paraId="54451E8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房源/合同/账单/审批等日常操作</w:t>
            </w:r>
          </w:p>
        </w:tc>
        <w:tc>
          <w:p w14:paraId="4F343F9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现场授课+实操</w:t>
            </w:r>
          </w:p>
        </w:tc>
        <w:tc>
          <w:p w14:paraId="7B8290F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上线前</w:t>
            </w:r>
          </w:p>
        </w:tc>
      </w:tr>
      <w:tr w14:paraId="53996306">
        <w:tc>
          <w:p w14:paraId="21E04E4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运营人员</w:t>
            </w:r>
          </w:p>
        </w:tc>
        <w:tc>
          <w:p w14:paraId="5092845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首页配置、优惠券、消息公告运营</w:t>
            </w:r>
          </w:p>
        </w:tc>
        <w:tc>
          <w:p w14:paraId="0C985D6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现场授课+实操</w:t>
            </w:r>
          </w:p>
        </w:tc>
        <w:tc>
          <w:p w14:paraId="03643E1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上线前</w:t>
            </w:r>
          </w:p>
        </w:tc>
      </w:tr>
      <w:tr w14:paraId="090432B0">
        <w:tc>
          <w:p w14:paraId="4DBA90D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系统管理员</w:t>
            </w:r>
          </w:p>
        </w:tc>
        <w:tc>
          <w:p w14:paraId="76AB47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用户权限、字典参数、系统维护</w:t>
            </w:r>
          </w:p>
        </w:tc>
        <w:tc>
          <w:p w14:paraId="47CEB8E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现场授课+文档</w:t>
            </w:r>
          </w:p>
        </w:tc>
        <w:tc>
          <w:p w14:paraId="7676316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上线前</w:t>
            </w:r>
          </w:p>
        </w:tc>
      </w:tr>
      <w:tr w14:paraId="3776E03A">
        <w:tc>
          <w:p w14:paraId="70B5D8E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甲方运维/接口人</w:t>
            </w:r>
          </w:p>
        </w:tc>
        <w:tc>
          <w:p w14:paraId="1BF9CA0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部署、监控、故障处置、二次开发入门</w:t>
            </w:r>
          </w:p>
        </w:tc>
        <w:tc>
          <w:p w14:paraId="78A5D73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专题+文档</w:t>
            </w:r>
          </w:p>
        </w:tc>
        <w:tc>
          <w:p w14:paraId="543C827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上线前后</w:t>
            </w:r>
          </w:p>
        </w:tc>
      </w:tr>
    </w:tbl>
    <w:p w14:paraId="3AF3B6F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培训提供操作手册、培训</w:t>
      </w:r>
      <w:r>
        <w:rPr>
          <w:color w:val="000000" w:themeColor="text1"/>
          <w14:textFill>
            <w14:solidFill>
              <w14:schemeClr w14:val="tx1"/>
            </w14:solidFill>
          </w14:textFill>
        </w:rPr>
        <w:t xml:space="preserve"> PPT </w:t>
      </w:r>
      <w:r>
        <w:rPr>
          <w:rFonts w:hint="eastAsia"/>
          <w:color w:val="000000" w:themeColor="text1"/>
          <w14:textFill>
            <w14:solidFill>
              <w14:schemeClr w14:val="tx1"/>
            </w14:solidFill>
          </w14:textFill>
        </w:rPr>
        <w:t>与录屏，培训后进行操作考核确认掌握；运维期内按需提供常态化补充培训，确保新进人员也能快速上手。</w:t>
      </w:r>
    </w:p>
    <w:bookmarkEnd w:id="154"/>
    <w:p w14:paraId="5E7DACBE">
      <w:pPr>
        <w:pStyle w:val="4"/>
        <w:rPr>
          <w:color w:val="000000" w:themeColor="text1"/>
          <w14:textFill>
            <w14:solidFill>
              <w14:schemeClr w14:val="tx1"/>
            </w14:solidFill>
          </w14:textFill>
        </w:rPr>
      </w:pPr>
      <w:bookmarkStart w:id="155" w:name="验收管理"/>
      <w:r>
        <w:rPr>
          <w:color w:val="000000" w:themeColor="text1"/>
          <w14:textFill>
            <w14:solidFill>
              <w14:schemeClr w14:val="tx1"/>
            </w14:solidFill>
          </w14:textFill>
        </w:rPr>
        <w:t xml:space="preserve">3.12 </w:t>
      </w:r>
      <w:r>
        <w:rPr>
          <w:rFonts w:hint="eastAsia"/>
          <w:color w:val="000000" w:themeColor="text1"/>
          <w14:textFill>
            <w14:solidFill>
              <w14:schemeClr w14:val="tx1"/>
            </w14:solidFill>
          </w14:textFill>
        </w:rPr>
        <w:t>验收管理</w:t>
      </w:r>
    </w:p>
    <w:p w14:paraId="322F107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系统按”初步验收—试运行—最终验收”三阶段推进：</w:t>
      </w:r>
    </w:p>
    <w:p w14:paraId="2846E7AB">
      <w:pPr>
        <w:pStyle w:val="24"/>
        <w:numPr>
          <w:ilvl w:val="0"/>
          <w:numId w:val="14"/>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初步验收</w:t>
      </w:r>
      <w:r>
        <w:rPr>
          <w:rFonts w:hint="eastAsia"/>
          <w:color w:val="000000" w:themeColor="text1"/>
          <w14:textFill>
            <w14:solidFill>
              <w14:schemeClr w14:val="tx1"/>
            </w14:solidFill>
          </w14:textFill>
        </w:rPr>
        <w:t>：完成全部功能开发与部署、通过系统测试后，配合甲方进行初步验收，验收通过进入试运行；</w:t>
      </w:r>
    </w:p>
    <w:p w14:paraId="39B81E8C">
      <w:pPr>
        <w:pStyle w:val="24"/>
        <w:numPr>
          <w:ilvl w:val="0"/>
          <w:numId w:val="14"/>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试运行</w:t>
      </w:r>
      <w:r>
        <w:rPr>
          <w:rFonts w:hint="eastAsia"/>
          <w:color w:val="000000" w:themeColor="text1"/>
          <w14:textFill>
            <w14:solidFill>
              <w14:schemeClr w14:val="tx1"/>
            </w14:solidFill>
          </w14:textFill>
        </w:rPr>
        <w:t>：试运行期内持续观察系统运行，因我方原因产生的故障由我方负责解决并承担费用，试运行期相应顺延；出现重大缺陷的，自缺陷修复之日起重新计算试运行期；</w:t>
      </w:r>
    </w:p>
    <w:p w14:paraId="305C5A64">
      <w:pPr>
        <w:pStyle w:val="24"/>
        <w:numPr>
          <w:ilvl w:val="0"/>
          <w:numId w:val="14"/>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最终验收</w:t>
      </w:r>
      <w:r>
        <w:rPr>
          <w:rFonts w:hint="eastAsia"/>
          <w:color w:val="000000" w:themeColor="text1"/>
          <w14:textFill>
            <w14:solidFill>
              <w14:schemeClr w14:val="tx1"/>
            </w14:solidFill>
          </w14:textFill>
        </w:rPr>
        <w:t>：完成全部功能、通过试运行、通过等保二级测评、并配合完成源代码接收校验后，进行最终验收。</w:t>
      </w:r>
    </w:p>
    <w:p w14:paraId="09FBDE4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我方承诺：验收不合格项无条件整改直至合格；未通过等保二级测评前不申请最终验收；交付全部源代码并保证可独立编译生成与生产环境一致的可执行文件。</w:t>
      </w:r>
    </w:p>
    <w:bookmarkEnd w:id="155"/>
    <w:p w14:paraId="0FB0CC51">
      <w:pPr>
        <w:pStyle w:val="4"/>
        <w:rPr>
          <w:color w:val="000000" w:themeColor="text1"/>
          <w14:textFill>
            <w14:solidFill>
              <w14:schemeClr w14:val="tx1"/>
            </w14:solidFill>
          </w14:textFill>
        </w:rPr>
      </w:pPr>
      <w:bookmarkStart w:id="156" w:name="源代码移交与知识转移"/>
      <w:r>
        <w:rPr>
          <w:color w:val="000000" w:themeColor="text1"/>
          <w14:textFill>
            <w14:solidFill>
              <w14:schemeClr w14:val="tx1"/>
            </w14:solidFill>
          </w14:textFill>
        </w:rPr>
        <w:t xml:space="preserve">3.13 </w:t>
      </w:r>
      <w:r>
        <w:rPr>
          <w:rFonts w:hint="eastAsia"/>
          <w:color w:val="000000" w:themeColor="text1"/>
          <w14:textFill>
            <w14:solidFill>
              <w14:schemeClr w14:val="tx1"/>
            </w14:solidFill>
          </w14:textFill>
        </w:rPr>
        <w:t>源代码移交与知识转移</w:t>
      </w:r>
    </w:p>
    <w:p w14:paraId="468AFCF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本项目按招标要求交付全部源代码，并保证甲方可独立编译、部署、维护与二次开发，杜绝技术锁定：</w:t>
      </w:r>
    </w:p>
    <w:p w14:paraId="4F2A0A7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源代码完整交付</w:t>
      </w:r>
      <w:r>
        <w:rPr>
          <w:rFonts w:hint="eastAsia"/>
          <w:color w:val="000000" w:themeColor="text1"/>
          <w14:textFill>
            <w14:solidFill>
              <w14:schemeClr w14:val="tx1"/>
            </w14:solidFill>
          </w14:textFill>
        </w:rPr>
        <w:t>：交付前后端全部源代码、数据库脚本、配置样例与依赖清单，代码结构清晰、注释完整；</w:t>
      </w:r>
    </w:p>
    <w:p w14:paraId="6121614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可独立编译</w:t>
      </w:r>
      <w:r>
        <w:rPr>
          <w:rFonts w:hint="eastAsia"/>
          <w:color w:val="000000" w:themeColor="text1"/>
          <w14:textFill>
            <w14:solidFill>
              <w14:schemeClr w14:val="tx1"/>
            </w14:solidFill>
          </w14:textFill>
        </w:rPr>
        <w:t>：随代码交付编译部署脚本与说明文档，甲方或第三方在标准环境下可独立编译生成与生产环境一致的可执行文件；</w:t>
      </w:r>
    </w:p>
    <w:p w14:paraId="18AB23D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知识转移</w:t>
      </w:r>
      <w:r>
        <w:rPr>
          <w:rFonts w:hint="eastAsia"/>
          <w:color w:val="000000" w:themeColor="text1"/>
          <w14:textFill>
            <w14:solidFill>
              <w14:schemeClr w14:val="tx1"/>
            </w14:solidFill>
          </w14:textFill>
        </w:rPr>
        <w:t>：通过技术文档移交、架构讲解、代码走读、部署演示等方式，向甲方运维与接口人员完成知识转移，确保甲方具备自主运维与继续开发的能力；</w:t>
      </w:r>
    </w:p>
    <w:p w14:paraId="020F722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无技术后门与许可陷阱</w:t>
      </w:r>
      <w:r>
        <w:rPr>
          <w:rFonts w:hint="eastAsia"/>
          <w:color w:val="000000" w:themeColor="text1"/>
          <w14:textFill>
            <w14:solidFill>
              <w14:schemeClr w14:val="tx1"/>
            </w14:solidFill>
          </w14:textFill>
        </w:rPr>
        <w:t>：不设置任何技术后门、时间锁或商业许可限制，源代码及交付物知识产权按合同约定归属甲方。</w:t>
      </w:r>
    </w:p>
    <w:p w14:paraId="651212D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知识转移在运维期内持续开展，形成”文档</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讲解</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陪同实操”的常态化机制，逐步降低甲方对我方的依赖，真正实现”交得出、接得住、用得好”。</w:t>
      </w:r>
    </w:p>
    <w:bookmarkEnd w:id="156"/>
    <w:p w14:paraId="54469D18">
      <w:pPr>
        <w:pStyle w:val="4"/>
        <w:rPr>
          <w:color w:val="000000" w:themeColor="text1"/>
          <w14:textFill>
            <w14:solidFill>
              <w14:schemeClr w14:val="tx1"/>
            </w14:solidFill>
          </w14:textFill>
        </w:rPr>
      </w:pPr>
      <w:bookmarkStart w:id="157" w:name="项目实施保障承诺"/>
      <w:r>
        <w:rPr>
          <w:color w:val="000000" w:themeColor="text1"/>
          <w14:textFill>
            <w14:solidFill>
              <w14:schemeClr w14:val="tx1"/>
            </w14:solidFill>
          </w14:textFill>
        </w:rPr>
        <w:t xml:space="preserve">3.14 </w:t>
      </w:r>
      <w:r>
        <w:rPr>
          <w:rFonts w:hint="eastAsia"/>
          <w:color w:val="000000" w:themeColor="text1"/>
          <w14:textFill>
            <w14:solidFill>
              <w14:schemeClr w14:val="tx1"/>
            </w14:solidFill>
          </w14:textFill>
        </w:rPr>
        <w:t>项目实施保障承诺</w:t>
      </w:r>
    </w:p>
    <w:p w14:paraId="5764982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为保证项目在</w:t>
      </w:r>
      <w:r>
        <w:rPr>
          <w:color w:val="000000" w:themeColor="text1"/>
          <w14:textFill>
            <w14:solidFill>
              <w14:schemeClr w14:val="tx1"/>
            </w14:solidFill>
          </w14:textFill>
        </w:rPr>
        <w:t xml:space="preserve"> 60 </w:t>
      </w:r>
      <w:r>
        <w:rPr>
          <w:rFonts w:hint="eastAsia"/>
          <w:color w:val="000000" w:themeColor="text1"/>
          <w14:textFill>
            <w14:solidFill>
              <w14:schemeClr w14:val="tx1"/>
            </w14:solidFill>
          </w14:textFill>
        </w:rPr>
        <w:t>日历天内高质量交付并平稳进入六年运维期，我方作出如下实施保障承诺：</w:t>
      </w:r>
    </w:p>
    <w:p w14:paraId="2FD9DF77">
      <w:pPr>
        <w:pStyle w:val="24"/>
        <w:numPr>
          <w:ilvl w:val="0"/>
          <w:numId w:val="15"/>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进度承诺</w:t>
      </w:r>
      <w:r>
        <w:rPr>
          <w:rFonts w:hint="eastAsia"/>
          <w:color w:val="000000" w:themeColor="text1"/>
          <w14:textFill>
            <w14:solidFill>
              <w14:schemeClr w14:val="tx1"/>
            </w14:solidFill>
          </w14:textFill>
        </w:rPr>
        <w:t>：严格按经甲方确认的作战计划推进，按周跟踪偏差、及时纠偏，确保开发期内完成开发部署并具备上线条件；</w:t>
      </w:r>
    </w:p>
    <w:p w14:paraId="7549F2F9">
      <w:pPr>
        <w:pStyle w:val="24"/>
        <w:numPr>
          <w:ilvl w:val="0"/>
          <w:numId w:val="15"/>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质量承诺</w:t>
      </w:r>
      <w:r>
        <w:rPr>
          <w:rFonts w:hint="eastAsia"/>
          <w:color w:val="000000" w:themeColor="text1"/>
          <w14:textFill>
            <w14:solidFill>
              <w14:schemeClr w14:val="tx1"/>
            </w14:solidFill>
          </w14:textFill>
        </w:rPr>
        <w:t>：以多层测试与代码评审为质量底线，上线前致命/严重缺陷清零，关键交易零资金差错；</w:t>
      </w:r>
    </w:p>
    <w:p w14:paraId="30FD7C41">
      <w:pPr>
        <w:pStyle w:val="24"/>
        <w:numPr>
          <w:ilvl w:val="0"/>
          <w:numId w:val="15"/>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人力承诺</w:t>
      </w:r>
      <w:r>
        <w:rPr>
          <w:rFonts w:hint="eastAsia"/>
          <w:color w:val="000000" w:themeColor="text1"/>
          <w14:textFill>
            <w14:solidFill>
              <w14:schemeClr w14:val="tx1"/>
            </w14:solidFill>
          </w14:textFill>
        </w:rPr>
        <w:t>：研发服务总投入不少于</w:t>
      </w:r>
      <w:r>
        <w:rPr>
          <w:color w:val="000000" w:themeColor="text1"/>
          <w14:textFill>
            <w14:solidFill>
              <w14:schemeClr w14:val="tx1"/>
            </w14:solidFill>
          </w14:textFill>
        </w:rPr>
        <w:t xml:space="preserve"> 37 </w:t>
      </w:r>
      <w:r>
        <w:rPr>
          <w:rFonts w:hint="eastAsia"/>
          <w:color w:val="000000" w:themeColor="text1"/>
          <w14:textFill>
            <w14:solidFill>
              <w14:schemeClr w14:val="tx1"/>
            </w14:solidFill>
          </w14:textFill>
        </w:rPr>
        <w:t>人月，若总人月内未完成约定交付，我方自担费用继续投入直至如期交付；</w:t>
      </w:r>
    </w:p>
    <w:p w14:paraId="193ECC0D">
      <w:pPr>
        <w:pStyle w:val="24"/>
        <w:numPr>
          <w:ilvl w:val="0"/>
          <w:numId w:val="15"/>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配合承诺</w:t>
      </w:r>
      <w:r>
        <w:rPr>
          <w:rFonts w:hint="eastAsia"/>
          <w:color w:val="000000" w:themeColor="text1"/>
          <w14:textFill>
            <w14:solidFill>
              <w14:schemeClr w14:val="tx1"/>
            </w14:solidFill>
          </w14:textFill>
        </w:rPr>
        <w:t>：全程配合甲方管理要求、验收要求与等保测评要求，不合格项无条件整改；</w:t>
      </w:r>
    </w:p>
    <w:p w14:paraId="7DBF1A92">
      <w:pPr>
        <w:pStyle w:val="24"/>
        <w:numPr>
          <w:ilvl w:val="0"/>
          <w:numId w:val="15"/>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连续承诺</w:t>
      </w:r>
      <w:r>
        <w:rPr>
          <w:rFonts w:hint="eastAsia"/>
          <w:color w:val="000000" w:themeColor="text1"/>
          <w14:textFill>
            <w14:solidFill>
              <w14:schemeClr w14:val="tx1"/>
            </w14:solidFill>
          </w14:textFill>
        </w:rPr>
        <w:t>：开发期与运维期人员平滑衔接，关键岗位不断档，保证服务连续性。</w:t>
      </w:r>
    </w:p>
    <w:p w14:paraId="27A3C12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上述承诺纳入项目管理并接受甲方监督，作为我方履约的刚性约束。</w:t>
      </w:r>
    </w:p>
    <w:p w14:paraId="5C6059AF">
      <w:pPr>
        <w:rPr>
          <w:color w:val="000000" w:themeColor="text1"/>
          <w14:textFill>
            <w14:solidFill>
              <w14:schemeClr w14:val="tx1"/>
            </w14:solidFill>
          </w14:textFill>
        </w:rPr>
      </w:pPr>
      <w:r>
        <w:rPr>
          <w:color w:val="000000" w:themeColor="text1"/>
          <w14:textFill>
            <w14:solidFill>
              <w14:schemeClr w14:val="tx1"/>
            </w14:solidFill>
          </w14:textFill>
        </w:rPr>
        <w:br w:type="page"/>
      </w:r>
    </w:p>
    <w:bookmarkEnd w:id="112"/>
    <w:bookmarkEnd w:id="157"/>
    <w:p w14:paraId="2A5DC900">
      <w:pPr>
        <w:pStyle w:val="2"/>
        <w:rPr>
          <w:color w:val="000000" w:themeColor="text1"/>
          <w14:textFill>
            <w14:solidFill>
              <w14:schemeClr w14:val="tx1"/>
            </w14:solidFill>
          </w14:textFill>
        </w:rPr>
      </w:pPr>
      <w:bookmarkStart w:id="158" w:name="第四章-系统安全管理"/>
      <w:r>
        <w:rPr>
          <w:rFonts w:hint="eastAsia"/>
          <w:color w:val="000000" w:themeColor="text1"/>
          <w14:textFill>
            <w14:solidFill>
              <w14:schemeClr w14:val="tx1"/>
            </w14:solidFill>
          </w14:textFill>
        </w:rPr>
        <w:t>第四章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系统安全管理</w:t>
      </w:r>
    </w:p>
    <w:p w14:paraId="62A4D8A5">
      <w:pPr>
        <w:pStyle w:val="4"/>
        <w:rPr>
          <w:color w:val="000000" w:themeColor="text1"/>
          <w14:textFill>
            <w14:solidFill>
              <w14:schemeClr w14:val="tx1"/>
            </w14:solidFill>
          </w14:textFill>
        </w:rPr>
      </w:pPr>
      <w:bookmarkStart w:id="159" w:name="安全管理总体策略"/>
      <w:r>
        <w:rPr>
          <w:color w:val="000000" w:themeColor="text1"/>
          <w14:textFill>
            <w14:solidFill>
              <w14:schemeClr w14:val="tx1"/>
            </w14:solidFill>
          </w14:textFill>
        </w:rPr>
        <w:t xml:space="preserve">4.1 </w:t>
      </w:r>
      <w:r>
        <w:rPr>
          <w:rFonts w:hint="eastAsia"/>
          <w:color w:val="000000" w:themeColor="text1"/>
          <w14:textFill>
            <w14:solidFill>
              <w14:schemeClr w14:val="tx1"/>
            </w14:solidFill>
          </w14:textFill>
        </w:rPr>
        <w:t>安全管理总体策略</w:t>
      </w:r>
    </w:p>
    <w:p w14:paraId="3C1F33F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本系统承载群众个人信息与资金交易，安全是不可逾越的底线。安全管理总体策略概括为”</w:t>
      </w:r>
      <w:r>
        <w:rPr>
          <w:rFonts w:hint="eastAsia"/>
          <w:b/>
          <w:bCs/>
          <w:color w:val="000000" w:themeColor="text1"/>
          <w14:textFill>
            <w14:solidFill>
              <w14:schemeClr w14:val="tx1"/>
            </w14:solidFill>
          </w14:textFill>
        </w:rPr>
        <w:t>纵深防御、全程管控、合规达标</w:t>
      </w:r>
      <w:r>
        <w:rPr>
          <w:rFonts w:hint="eastAsia"/>
          <w:color w:val="000000" w:themeColor="text1"/>
          <w14:textFill>
            <w14:solidFill>
              <w14:schemeClr w14:val="tx1"/>
            </w14:solidFill>
          </w14:textFill>
        </w:rPr>
        <w:t>”：</w:t>
      </w:r>
    </w:p>
    <w:p w14:paraId="70F0550A">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纵深防御</w:t>
      </w:r>
      <w:r>
        <w:rPr>
          <w:rFonts w:hint="eastAsia"/>
          <w:color w:val="000000" w:themeColor="text1"/>
          <w14:textFill>
            <w14:solidFill>
              <w14:schemeClr w14:val="tx1"/>
            </w14:solidFill>
          </w14:textFill>
        </w:rPr>
        <w:t>：从物理、网络、边界、主机、应用、数据到管理，构建多层防线，任一层被突破仍有后续防线；</w:t>
      </w:r>
    </w:p>
    <w:p w14:paraId="45935D3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全程管控</w:t>
      </w:r>
      <w:r>
        <w:rPr>
          <w:rFonts w:hint="eastAsia"/>
          <w:color w:val="000000" w:themeColor="text1"/>
          <w14:textFill>
            <w14:solidFill>
              <w14:schemeClr w14:val="tx1"/>
            </w14:solidFill>
          </w14:textFill>
        </w:rPr>
        <w:t>：安全贯穿开发、测试、上线、运行、运维全生命周期（DevSecOps），而非事后补救；</w:t>
      </w:r>
    </w:p>
    <w:p w14:paraId="30D003C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合规达标</w:t>
      </w:r>
      <w:r>
        <w:rPr>
          <w:rFonts w:hint="eastAsia"/>
          <w:color w:val="000000" w:themeColor="text1"/>
          <w14:textFill>
            <w14:solidFill>
              <w14:schemeClr w14:val="tx1"/>
            </w14:solidFill>
          </w14:textFill>
        </w:rPr>
        <w:t>：适配信息系统安全技术与安全管理要求，满足二级等保各项控制措施，依法保护个人信息。</w:t>
      </w:r>
    </w:p>
    <w:p w14:paraId="680B4B17">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3876020"/>
            <wp:effectExtent l="0" t="0" r="0" b="0"/>
            <wp:docPr id="224" name="Picture" descr="图4-1 纵深防御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descr="图4-1 纵深防御体系图"/>
                    <pic:cNvPicPr>
                      <a:picLocks noChangeAspect="1" noChangeArrowheads="1"/>
                    </pic:cNvPicPr>
                  </pic:nvPicPr>
                  <pic:blipFill>
                    <a:blip r:embed="rId23"/>
                    <a:stretch>
                      <a:fillRect/>
                    </a:stretch>
                  </pic:blipFill>
                  <pic:spPr>
                    <a:xfrm>
                      <a:off x="0" y="0"/>
                      <a:ext cx="5334000" cy="13876130"/>
                    </a:xfrm>
                    <a:prstGeom prst="rect">
                      <a:avLst/>
                    </a:prstGeom>
                    <a:noFill/>
                    <a:ln w="9525">
                      <a:noFill/>
                    </a:ln>
                  </pic:spPr>
                </pic:pic>
              </a:graphicData>
            </a:graphic>
          </wp:inline>
        </w:drawing>
      </w:r>
    </w:p>
    <w:p w14:paraId="484D7F61">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图4-1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纵深防御体系图</w:t>
      </w:r>
    </w:p>
    <w:p w14:paraId="1BE531D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图4-1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纵深防御体系图</w:t>
      </w:r>
    </w:p>
    <w:p w14:paraId="2AF16F3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本章按招标评审点依次阐述：系统漏洞风险防控、病毒风险防控、黑客攻击风险防控、管理制度缺陷风险防控、二级等保安全控制措施，并补充个人信息与密码应用专项、安全测试与日常运营。</w:t>
      </w:r>
    </w:p>
    <w:bookmarkEnd w:id="159"/>
    <w:p w14:paraId="08E8D899">
      <w:pPr>
        <w:pStyle w:val="4"/>
        <w:rPr>
          <w:color w:val="000000" w:themeColor="text1"/>
          <w14:textFill>
            <w14:solidFill>
              <w14:schemeClr w14:val="tx1"/>
            </w14:solidFill>
          </w14:textFill>
        </w:rPr>
      </w:pPr>
      <w:bookmarkStart w:id="160" w:name="系统漏洞风险防控"/>
      <w:r>
        <w:rPr>
          <w:color w:val="000000" w:themeColor="text1"/>
          <w14:textFill>
            <w14:solidFill>
              <w14:schemeClr w14:val="tx1"/>
            </w14:solidFill>
          </w14:textFill>
        </w:rPr>
        <w:t xml:space="preserve">4.2 </w:t>
      </w:r>
      <w:r>
        <w:rPr>
          <w:rFonts w:hint="eastAsia"/>
          <w:color w:val="000000" w:themeColor="text1"/>
          <w14:textFill>
            <w14:solidFill>
              <w14:schemeClr w14:val="tx1"/>
            </w14:solidFill>
          </w14:textFill>
        </w:rPr>
        <w:t>系统漏洞风险防控</w:t>
      </w:r>
    </w:p>
    <w:p w14:paraId="7C4D1BE6">
      <w:pPr>
        <w:pStyle w:val="5"/>
        <w:rPr>
          <w:color w:val="000000" w:themeColor="text1"/>
          <w14:textFill>
            <w14:solidFill>
              <w14:schemeClr w14:val="tx1"/>
            </w14:solidFill>
          </w14:textFill>
        </w:rPr>
      </w:pPr>
      <w:bookmarkStart w:id="161" w:name="开发阶段漏洞预防"/>
      <w:r>
        <w:rPr>
          <w:color w:val="000000" w:themeColor="text1"/>
          <w14:textFill>
            <w14:solidFill>
              <w14:schemeClr w14:val="tx1"/>
            </w14:solidFill>
          </w14:textFill>
        </w:rPr>
        <w:t xml:space="preserve">4.2.1 </w:t>
      </w:r>
      <w:r>
        <w:rPr>
          <w:rFonts w:hint="eastAsia"/>
          <w:color w:val="000000" w:themeColor="text1"/>
          <w14:textFill>
            <w14:solidFill>
              <w14:schemeClr w14:val="tx1"/>
            </w14:solidFill>
          </w14:textFill>
        </w:rPr>
        <w:t>开发阶段漏洞预防</w:t>
      </w:r>
    </w:p>
    <w:p w14:paraId="0D055C8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安全编码规范</w:t>
      </w:r>
      <w:r>
        <w:rPr>
          <w:rFonts w:hint="eastAsia"/>
          <w:color w:val="000000" w:themeColor="text1"/>
          <w14:textFill>
            <w14:solidFill>
              <w14:schemeClr w14:val="tx1"/>
            </w14:solidFill>
          </w14:textFill>
        </w:rPr>
        <w:t>：制定并执行安全编码规范，从源头防范</w:t>
      </w:r>
      <w:r>
        <w:rPr>
          <w:color w:val="000000" w:themeColor="text1"/>
          <w14:textFill>
            <w14:solidFill>
              <w14:schemeClr w14:val="tx1"/>
            </w14:solidFill>
          </w14:textFill>
        </w:rPr>
        <w:t xml:space="preserve"> SQL </w:t>
      </w:r>
      <w:r>
        <w:rPr>
          <w:rFonts w:hint="eastAsia"/>
          <w:color w:val="000000" w:themeColor="text1"/>
          <w14:textFill>
            <w14:solidFill>
              <w14:schemeClr w14:val="tx1"/>
            </w14:solidFill>
          </w14:textFill>
        </w:rPr>
        <w:t>注入、XSS、越权、敏感信息泄露等常见漏洞；</w:t>
      </w:r>
    </w:p>
    <w:p w14:paraId="4F4E44F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安全代码评审</w:t>
      </w:r>
      <w:r>
        <w:rPr>
          <w:rFonts w:hint="eastAsia"/>
          <w:color w:val="000000" w:themeColor="text1"/>
          <w14:textFill>
            <w14:solidFill>
              <w14:schemeClr w14:val="tx1"/>
            </w14:solidFill>
          </w14:textFill>
        </w:rPr>
        <w:t>：关键改动纳入代码评审，重点检查输入校验、权限校验、加密处理；</w:t>
      </w:r>
    </w:p>
    <w:p w14:paraId="4B777D3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依赖安全</w:t>
      </w:r>
      <w:r>
        <w:rPr>
          <w:rFonts w:hint="eastAsia"/>
          <w:color w:val="000000" w:themeColor="text1"/>
          <w14:textFill>
            <w14:solidFill>
              <w14:schemeClr w14:val="tx1"/>
            </w14:solidFill>
          </w14:textFill>
        </w:rPr>
        <w:t>：对第三方组件进行来源与版本管控，及时跟进已知漏洞（如框架安全公告）并升级，规避已知</w:t>
      </w:r>
      <w:r>
        <w:rPr>
          <w:color w:val="000000" w:themeColor="text1"/>
          <w14:textFill>
            <w14:solidFill>
              <w14:schemeClr w14:val="tx1"/>
            </w14:solidFill>
          </w14:textFill>
        </w:rPr>
        <w:t xml:space="preserve"> CVE </w:t>
      </w:r>
      <w:r>
        <w:rPr>
          <w:rFonts w:hint="eastAsia"/>
          <w:color w:val="000000" w:themeColor="text1"/>
          <w14:textFill>
            <w14:solidFill>
              <w14:schemeClr w14:val="tx1"/>
            </w14:solidFill>
          </w14:textFill>
        </w:rPr>
        <w:t>风险；</w:t>
      </w:r>
    </w:p>
    <w:p w14:paraId="11DB7E2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安全设计评审</w:t>
      </w:r>
      <w:r>
        <w:rPr>
          <w:rFonts w:hint="eastAsia"/>
          <w:color w:val="000000" w:themeColor="text1"/>
          <w14:textFill>
            <w14:solidFill>
              <w14:schemeClr w14:val="tx1"/>
            </w14:solidFill>
          </w14:textFill>
        </w:rPr>
        <w:t>：涉及认证、支付、政务对接的功能在设计阶段做安全评审。</w:t>
      </w:r>
    </w:p>
    <w:bookmarkEnd w:id="161"/>
    <w:p w14:paraId="73B69101">
      <w:pPr>
        <w:pStyle w:val="5"/>
        <w:rPr>
          <w:color w:val="000000" w:themeColor="text1"/>
          <w14:textFill>
            <w14:solidFill>
              <w14:schemeClr w14:val="tx1"/>
            </w14:solidFill>
          </w14:textFill>
        </w:rPr>
      </w:pPr>
      <w:bookmarkStart w:id="162" w:name="运行阶段漏洞管理"/>
      <w:r>
        <w:rPr>
          <w:color w:val="000000" w:themeColor="text1"/>
          <w14:textFill>
            <w14:solidFill>
              <w14:schemeClr w14:val="tx1"/>
            </w14:solidFill>
          </w14:textFill>
        </w:rPr>
        <w:t xml:space="preserve">4.2.2 </w:t>
      </w:r>
      <w:r>
        <w:rPr>
          <w:rFonts w:hint="eastAsia"/>
          <w:color w:val="000000" w:themeColor="text1"/>
          <w14:textFill>
            <w14:solidFill>
              <w14:schemeClr w14:val="tx1"/>
            </w14:solidFill>
          </w14:textFill>
        </w:rPr>
        <w:t>运行阶段漏洞管理</w:t>
      </w:r>
    </w:p>
    <w:p w14:paraId="0C12628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漏洞扫描</w:t>
      </w:r>
      <w:r>
        <w:rPr>
          <w:rFonts w:hint="eastAsia"/>
          <w:color w:val="000000" w:themeColor="text1"/>
          <w14:textFill>
            <w14:solidFill>
              <w14:schemeClr w14:val="tx1"/>
            </w14:solidFill>
          </w14:textFill>
        </w:rPr>
        <w:t>：定期对系统进行漏洞扫描（应用、主机、中间件、数据库）；</w:t>
      </w:r>
    </w:p>
    <w:p w14:paraId="625C214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漏洞处置闭环</w:t>
      </w:r>
      <w:r>
        <w:rPr>
          <w:rFonts w:hint="eastAsia"/>
          <w:color w:val="000000" w:themeColor="text1"/>
          <w14:textFill>
            <w14:solidFill>
              <w14:schemeClr w14:val="tx1"/>
            </w14:solidFill>
          </w14:textFill>
        </w:rPr>
        <w:t>：发现漏洞按严重程度分级处置，“发现—评估—修复—验证—复扫”闭环；</w:t>
      </w:r>
    </w:p>
    <w:p w14:paraId="7428F70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补丁管理</w:t>
      </w:r>
      <w:r>
        <w:rPr>
          <w:rFonts w:hint="eastAsia"/>
          <w:color w:val="000000" w:themeColor="text1"/>
          <w14:textFill>
            <w14:solidFill>
              <w14:schemeClr w14:val="tx1"/>
            </w14:solidFill>
          </w14:textFill>
        </w:rPr>
        <w:t>：操作系统、中间件、数据库补丁定期评估更新，兼顾安全与稳定；</w:t>
      </w:r>
    </w:p>
    <w:p w14:paraId="5C5DB30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应急响应</w:t>
      </w:r>
      <w:r>
        <w:rPr>
          <w:rFonts w:hint="eastAsia"/>
          <w:color w:val="000000" w:themeColor="text1"/>
          <w14:textFill>
            <w14:solidFill>
              <w14:schemeClr w14:val="tx1"/>
            </w14:solidFill>
          </w14:textFill>
        </w:rPr>
        <w:t>：对高危漏洞启动应急响应，第一时间缓解并修复。</w:t>
      </w:r>
    </w:p>
    <w:bookmarkEnd w:id="162"/>
    <w:p w14:paraId="08B180C1">
      <w:pPr>
        <w:pStyle w:val="5"/>
        <w:rPr>
          <w:color w:val="000000" w:themeColor="text1"/>
          <w14:textFill>
            <w14:solidFill>
              <w14:schemeClr w14:val="tx1"/>
            </w14:solidFill>
          </w14:textFill>
        </w:rPr>
      </w:pPr>
      <w:bookmarkStart w:id="163" w:name="安全基线配置规范"/>
      <w:r>
        <w:rPr>
          <w:color w:val="000000" w:themeColor="text1"/>
          <w14:textFill>
            <w14:solidFill>
              <w14:schemeClr w14:val="tx1"/>
            </w14:solidFill>
          </w14:textFill>
        </w:rPr>
        <w:t xml:space="preserve">4.2.3 </w:t>
      </w:r>
      <w:r>
        <w:rPr>
          <w:rFonts w:hint="eastAsia"/>
          <w:color w:val="000000" w:themeColor="text1"/>
          <w14:textFill>
            <w14:solidFill>
              <w14:schemeClr w14:val="tx1"/>
            </w14:solidFill>
          </w14:textFill>
        </w:rPr>
        <w:t>安全基线配置规范</w:t>
      </w:r>
    </w:p>
    <w:p w14:paraId="5F89DCD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对操作系统、数据库、中间件、Web</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服务建立并执行安全基线：关闭无用端口与服务、最小权限账号、强口令策略、日志开启、默认账号处理、超时与锁定策略等，定期核查基线符合性。</w:t>
      </w:r>
    </w:p>
    <w:bookmarkEnd w:id="163"/>
    <w:p w14:paraId="794D4481">
      <w:pPr>
        <w:pStyle w:val="5"/>
        <w:rPr>
          <w:color w:val="000000" w:themeColor="text1"/>
          <w14:textFill>
            <w14:solidFill>
              <w14:schemeClr w14:val="tx1"/>
            </w14:solidFill>
          </w14:textFill>
        </w:rPr>
      </w:pPr>
      <w:bookmarkStart w:id="164" w:name="常见漏洞类型与防护措施对照"/>
      <w:r>
        <w:rPr>
          <w:color w:val="000000" w:themeColor="text1"/>
          <w14:textFill>
            <w14:solidFill>
              <w14:schemeClr w14:val="tx1"/>
            </w14:solidFill>
          </w14:textFill>
        </w:rPr>
        <w:t xml:space="preserve">4.2.4 </w:t>
      </w:r>
      <w:r>
        <w:rPr>
          <w:rFonts w:hint="eastAsia"/>
          <w:color w:val="000000" w:themeColor="text1"/>
          <w14:textFill>
            <w14:solidFill>
              <w14:schemeClr w14:val="tx1"/>
            </w14:solidFill>
          </w14:textFill>
        </w:rPr>
        <w:t>常见漏洞类型与防护措施对照</w:t>
      </w:r>
    </w:p>
    <w:p w14:paraId="2178D19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针对</w:t>
      </w:r>
      <w:r>
        <w:rPr>
          <w:color w:val="000000" w:themeColor="text1"/>
          <w14:textFill>
            <w14:solidFill>
              <w14:schemeClr w14:val="tx1"/>
            </w14:solidFill>
          </w14:textFill>
        </w:rPr>
        <w:t xml:space="preserve"> Web </w:t>
      </w:r>
      <w:r>
        <w:rPr>
          <w:rFonts w:hint="eastAsia"/>
          <w:color w:val="000000" w:themeColor="text1"/>
          <w14:textFill>
            <w14:solidFill>
              <w14:schemeClr w14:val="tx1"/>
            </w14:solidFill>
          </w14:textFill>
        </w:rPr>
        <w:t>应用常见漏洞（参照</w:t>
      </w:r>
      <w:r>
        <w:rPr>
          <w:color w:val="000000" w:themeColor="text1"/>
          <w14:textFill>
            <w14:solidFill>
              <w14:schemeClr w14:val="tx1"/>
            </w14:solidFill>
          </w14:textFill>
        </w:rPr>
        <w:t xml:space="preserve"> OWASP </w:t>
      </w:r>
      <w:r>
        <w:rPr>
          <w:rFonts w:hint="eastAsia"/>
          <w:color w:val="000000" w:themeColor="text1"/>
          <w14:textFill>
            <w14:solidFill>
              <w14:schemeClr w14:val="tx1"/>
            </w14:solidFill>
          </w14:textFill>
        </w:rPr>
        <w:t>通用威胁），我方在编码、配置、运行三个层面建立系统性防护，形成”类型—风险—防护措施”对照，确保逐类可防、可查、可验：</w:t>
      </w:r>
    </w:p>
    <w:tbl>
      <w:tblPr>
        <w:tblStyle w:val="41"/>
        <w:tblW w:w="5000" w:type="pct"/>
        <w:tblInd w:w="0" w:type="dxa"/>
        <w:tblLayout w:type="fixed"/>
        <w:tblCellMar>
          <w:top w:w="0" w:type="dxa"/>
          <w:left w:w="108" w:type="dxa"/>
          <w:bottom w:w="0" w:type="dxa"/>
          <w:right w:w="108" w:type="dxa"/>
        </w:tblCellMar>
      </w:tblPr>
      <w:tblGrid>
        <w:gridCol w:w="3466"/>
        <w:gridCol w:w="1925"/>
        <w:gridCol w:w="3466"/>
      </w:tblGrid>
      <w:tr w14:paraId="4F10BBD5">
        <w:trPr>
          <w:tblHeader/>
        </w:trPr>
        <w:tc>
          <w:p w14:paraId="3BE39AC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漏洞类型</w:t>
            </w:r>
          </w:p>
        </w:tc>
        <w:tc>
          <w:p w14:paraId="20D284B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风险</w:t>
            </w:r>
          </w:p>
        </w:tc>
        <w:tc>
          <w:p w14:paraId="0538BF0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防护措施</w:t>
            </w:r>
          </w:p>
        </w:tc>
      </w:tr>
      <w:tr w14:paraId="0FC5A803">
        <w:tc>
          <w:p w14:paraId="5B03618D">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SQL </w:t>
            </w:r>
            <w:r>
              <w:rPr>
                <w:rFonts w:hint="eastAsia"/>
                <w:color w:val="000000" w:themeColor="text1"/>
                <w14:textFill>
                  <w14:solidFill>
                    <w14:schemeClr w14:val="tx1"/>
                  </w14:solidFill>
                </w14:textFill>
              </w:rPr>
              <w:t>注入</w:t>
            </w:r>
          </w:p>
        </w:tc>
        <w:tc>
          <w:p w14:paraId="5D0A91E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数据泄露/篡改</w:t>
            </w:r>
          </w:p>
        </w:tc>
        <w:tc>
          <w:p w14:paraId="6CB166C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参数化查询、ORM</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预编译、输入校验、最小库权限</w:t>
            </w:r>
          </w:p>
        </w:tc>
      </w:tr>
      <w:tr w14:paraId="4D655B9D">
        <w:tc>
          <w:p w14:paraId="0812BC6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跨站脚本</w:t>
            </w:r>
            <w:r>
              <w:rPr>
                <w:color w:val="000000" w:themeColor="text1"/>
                <w14:textFill>
                  <w14:solidFill>
                    <w14:schemeClr w14:val="tx1"/>
                  </w14:solidFill>
                </w14:textFill>
              </w:rPr>
              <w:t xml:space="preserve"> XSS</w:t>
            </w:r>
          </w:p>
        </w:tc>
        <w:tc>
          <w:p w14:paraId="3A23572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会话窃取/挂马</w:t>
            </w:r>
          </w:p>
        </w:tc>
        <w:tc>
          <w:p w14:paraId="794D6DD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输出编码、富文本白名单过滤、CSP</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策略</w:t>
            </w:r>
          </w:p>
        </w:tc>
      </w:tr>
      <w:tr w14:paraId="1775D186">
        <w:tc>
          <w:p w14:paraId="531B21D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越权访问</w:t>
            </w:r>
          </w:p>
        </w:tc>
        <w:tc>
          <w:p w14:paraId="7F18833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数据横向/纵向越权</w:t>
            </w:r>
          </w:p>
        </w:tc>
        <w:tc>
          <w:p w14:paraId="659C746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对象级权限校验、数据权限限定、接口鉴权</w:t>
            </w:r>
          </w:p>
        </w:tc>
      </w:tr>
      <w:tr w14:paraId="175B3879">
        <w:tc>
          <w:p w14:paraId="2C982083">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CSRF</w:t>
            </w:r>
          </w:p>
        </w:tc>
        <w:tc>
          <w:p w14:paraId="5C7059D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伪造请求</w:t>
            </w:r>
          </w:p>
        </w:tc>
        <w:tc>
          <w:p w14:paraId="7FCB0177">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Token </w:t>
            </w:r>
            <w:r>
              <w:rPr>
                <w:rFonts w:hint="eastAsia"/>
                <w:color w:val="000000" w:themeColor="text1"/>
                <w14:textFill>
                  <w14:solidFill>
                    <w14:schemeClr w14:val="tx1"/>
                  </w14:solidFill>
                </w14:textFill>
              </w:rPr>
              <w:t>校验、同源校验、关键操作二次确认</w:t>
            </w:r>
          </w:p>
        </w:tc>
      </w:tr>
      <w:tr w14:paraId="0BC8539F">
        <w:tc>
          <w:p w14:paraId="1B02CFD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敏感信息泄露</w:t>
            </w:r>
          </w:p>
        </w:tc>
        <w:tc>
          <w:p w14:paraId="6324CE4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隐私/凭证外泄</w:t>
            </w:r>
          </w:p>
        </w:tc>
        <w:tc>
          <w:p w14:paraId="5DA2BA7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加密存储、展示脱敏、日志脱敏、错误信息屏蔽</w:t>
            </w:r>
          </w:p>
        </w:tc>
      </w:tr>
      <w:tr w14:paraId="061FD037">
        <w:tc>
          <w:p w14:paraId="79EFCE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文件上传漏洞</w:t>
            </w:r>
          </w:p>
        </w:tc>
        <w:tc>
          <w:p w14:paraId="5D59E2B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上传木马</w:t>
            </w:r>
          </w:p>
        </w:tc>
        <w:tc>
          <w:p w14:paraId="15F80DD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类型/大小校验、重命名存储、病毒扫描、非执行目录</w:t>
            </w:r>
          </w:p>
        </w:tc>
      </w:tr>
      <w:tr w14:paraId="12570E3B">
        <w:tc>
          <w:p w14:paraId="1BD2044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认证会话缺陷</w:t>
            </w:r>
          </w:p>
        </w:tc>
        <w:tc>
          <w:p w14:paraId="6900991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冒用身份</w:t>
            </w:r>
          </w:p>
        </w:tc>
        <w:tc>
          <w:p w14:paraId="57F13C4B">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JWT+Redis </w:t>
            </w:r>
            <w:r>
              <w:rPr>
                <w:rFonts w:hint="eastAsia"/>
                <w:color w:val="000000" w:themeColor="text1"/>
                <w14:textFill>
                  <w14:solidFill>
                    <w14:schemeClr w14:val="tx1"/>
                  </w14:solidFill>
                </w14:textFill>
              </w:rPr>
              <w:t>可控失效、登录锁定、强口令</w:t>
            </w:r>
          </w:p>
        </w:tc>
      </w:tr>
      <w:tr w14:paraId="326F2E1D">
        <w:tc>
          <w:p w14:paraId="22EA6F1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失效访问控制</w:t>
            </w:r>
          </w:p>
        </w:tc>
        <w:tc>
          <w:p w14:paraId="032F93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未授权操作</w:t>
            </w:r>
          </w:p>
        </w:tc>
        <w:tc>
          <w:p w14:paraId="533B841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默认拒绝、白名单授权、注解式权限拦截</w:t>
            </w:r>
          </w:p>
        </w:tc>
      </w:tr>
      <w:tr w14:paraId="1D8B4CFA">
        <w:tc>
          <w:p w14:paraId="07DB23E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安全配置错误</w:t>
            </w:r>
          </w:p>
        </w:tc>
        <w:tc>
          <w:p w14:paraId="069F5DD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暴露攻击面</w:t>
            </w:r>
          </w:p>
        </w:tc>
        <w:tc>
          <w:p w14:paraId="7961C66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安全基线、关闭默认账号/无用服务、最小暴露</w:t>
            </w:r>
          </w:p>
        </w:tc>
      </w:tr>
      <w:tr w14:paraId="2621C24B">
        <w:tc>
          <w:p w14:paraId="70914BA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组件已知漏洞</w:t>
            </w:r>
          </w:p>
        </w:tc>
        <w:tc>
          <w:p w14:paraId="078DE45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被利用</w:t>
            </w:r>
            <w:r>
              <w:rPr>
                <w:color w:val="000000" w:themeColor="text1"/>
                <w14:textFill>
                  <w14:solidFill>
                    <w14:schemeClr w14:val="tx1"/>
                  </w14:solidFill>
                </w14:textFill>
              </w:rPr>
              <w:t xml:space="preserve"> CVE</w:t>
            </w:r>
          </w:p>
        </w:tc>
        <w:tc>
          <w:p w14:paraId="594AC5F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依赖清单、版本管控、漏洞跟踪与及时升级</w:t>
            </w:r>
          </w:p>
        </w:tc>
      </w:tr>
    </w:tbl>
    <w:p w14:paraId="5880372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上述每类漏洞在开发阶段由安全编码规范与代码评审预防，在测试阶段由漏洞扫描与渗透测试验证，在运行阶段由监控告警与应急处置兜底，形成全周期闭环。</w:t>
      </w:r>
    </w:p>
    <w:bookmarkEnd w:id="160"/>
    <w:bookmarkEnd w:id="164"/>
    <w:p w14:paraId="52F3AE0D">
      <w:pPr>
        <w:pStyle w:val="4"/>
        <w:rPr>
          <w:color w:val="000000" w:themeColor="text1"/>
          <w14:textFill>
            <w14:solidFill>
              <w14:schemeClr w14:val="tx1"/>
            </w14:solidFill>
          </w14:textFill>
        </w:rPr>
      </w:pPr>
      <w:bookmarkStart w:id="165" w:name="病毒风险防控"/>
      <w:r>
        <w:rPr>
          <w:color w:val="000000" w:themeColor="text1"/>
          <w14:textFill>
            <w14:solidFill>
              <w14:schemeClr w14:val="tx1"/>
            </w14:solidFill>
          </w14:textFill>
        </w:rPr>
        <w:t xml:space="preserve">4.3 </w:t>
      </w:r>
      <w:r>
        <w:rPr>
          <w:rFonts w:hint="eastAsia"/>
          <w:color w:val="000000" w:themeColor="text1"/>
          <w14:textFill>
            <w14:solidFill>
              <w14:schemeClr w14:val="tx1"/>
            </w14:solidFill>
          </w14:textFill>
        </w:rPr>
        <w:t>病毒风险防控</w:t>
      </w:r>
    </w:p>
    <w:p w14:paraId="31B99C1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主机防护</w:t>
      </w:r>
      <w:r>
        <w:rPr>
          <w:rFonts w:hint="eastAsia"/>
          <w:color w:val="000000" w:themeColor="text1"/>
          <w14:textFill>
            <w14:solidFill>
              <w14:schemeClr w14:val="tx1"/>
            </w14:solidFill>
          </w14:textFill>
        </w:rPr>
        <w:t>：服务器部署防病毒/防恶意软件能力，定期更新病毒库与全盘扫描；</w:t>
      </w:r>
    </w:p>
    <w:p w14:paraId="285C44E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上传文件安全</w:t>
      </w:r>
      <w:r>
        <w:rPr>
          <w:rFonts w:hint="eastAsia"/>
          <w:color w:val="000000" w:themeColor="text1"/>
          <w14:textFill>
            <w14:solidFill>
              <w14:schemeClr w14:val="tx1"/>
            </w14:solidFill>
          </w14:textFill>
        </w:rPr>
        <w:t>：对用户上传文件做类型/大小校验与病毒扫描，隔离可疑文件，防止恶意文件上传与传播；</w:t>
      </w:r>
    </w:p>
    <w:p w14:paraId="26BA8CC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来源管控</w:t>
      </w:r>
      <w:r>
        <w:rPr>
          <w:rFonts w:hint="eastAsia"/>
          <w:color w:val="000000" w:themeColor="text1"/>
          <w14:textFill>
            <w14:solidFill>
              <w14:schemeClr w14:val="tx1"/>
            </w14:solidFill>
          </w14:textFill>
        </w:rPr>
        <w:t>：软件与组件仅从可信来源获取并校验完整性，防止携带恶意代码；</w:t>
      </w:r>
    </w:p>
    <w:p w14:paraId="468DABA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介质管理</w:t>
      </w:r>
      <w:r>
        <w:rPr>
          <w:rFonts w:hint="eastAsia"/>
          <w:color w:val="000000" w:themeColor="text1"/>
          <w14:textFill>
            <w14:solidFill>
              <w14:schemeClr w14:val="tx1"/>
            </w14:solidFill>
          </w14:textFill>
        </w:rPr>
        <w:t>：规范移动介质使用，防止病毒经介质传入；</w:t>
      </w:r>
    </w:p>
    <w:p w14:paraId="02BEE87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定期巡检</w:t>
      </w:r>
      <w:r>
        <w:rPr>
          <w:rFonts w:hint="eastAsia"/>
          <w:color w:val="000000" w:themeColor="text1"/>
          <w14:textFill>
            <w14:solidFill>
              <w14:schemeClr w14:val="tx1"/>
            </w14:solidFill>
          </w14:textFill>
        </w:rPr>
        <w:t>：将病毒防护纳入日常巡检，发现异常及时处置。</w:t>
      </w:r>
    </w:p>
    <w:bookmarkEnd w:id="165"/>
    <w:p w14:paraId="6AB40B8D">
      <w:pPr>
        <w:pStyle w:val="4"/>
        <w:rPr>
          <w:color w:val="000000" w:themeColor="text1"/>
          <w14:textFill>
            <w14:solidFill>
              <w14:schemeClr w14:val="tx1"/>
            </w14:solidFill>
          </w14:textFill>
        </w:rPr>
      </w:pPr>
      <w:bookmarkStart w:id="166" w:name="黑客攻击风险防控"/>
      <w:r>
        <w:rPr>
          <w:color w:val="000000" w:themeColor="text1"/>
          <w14:textFill>
            <w14:solidFill>
              <w14:schemeClr w14:val="tx1"/>
            </w14:solidFill>
          </w14:textFill>
        </w:rPr>
        <w:t xml:space="preserve">4.4 </w:t>
      </w:r>
      <w:r>
        <w:rPr>
          <w:rFonts w:hint="eastAsia"/>
          <w:color w:val="000000" w:themeColor="text1"/>
          <w14:textFill>
            <w14:solidFill>
              <w14:schemeClr w14:val="tx1"/>
            </w14:solidFill>
          </w14:textFill>
        </w:rPr>
        <w:t>黑客攻击风险防控</w:t>
      </w:r>
    </w:p>
    <w:p w14:paraId="038F729A">
      <w:pPr>
        <w:pStyle w:val="5"/>
        <w:rPr>
          <w:color w:val="000000" w:themeColor="text1"/>
          <w14:textFill>
            <w14:solidFill>
              <w14:schemeClr w14:val="tx1"/>
            </w14:solidFill>
          </w14:textFill>
        </w:rPr>
      </w:pPr>
      <w:bookmarkStart w:id="167" w:name="网络边界防护"/>
      <w:r>
        <w:rPr>
          <w:color w:val="000000" w:themeColor="text1"/>
          <w14:textFill>
            <w14:solidFill>
              <w14:schemeClr w14:val="tx1"/>
            </w14:solidFill>
          </w14:textFill>
        </w:rPr>
        <w:t xml:space="preserve">4.4.1 </w:t>
      </w:r>
      <w:r>
        <w:rPr>
          <w:rFonts w:hint="eastAsia"/>
          <w:color w:val="000000" w:themeColor="text1"/>
          <w14:textFill>
            <w14:solidFill>
              <w14:schemeClr w14:val="tx1"/>
            </w14:solidFill>
          </w14:textFill>
        </w:rPr>
        <w:t>网络边界防护</w:t>
      </w:r>
    </w:p>
    <w:p w14:paraId="6987043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部署防火墙进行访问控制，仅开放必要端口与服务；</w:t>
      </w:r>
    </w:p>
    <w:p w14:paraId="3DFC4AC6">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反向代理统一入口，隐藏内部结构；</w:t>
      </w:r>
    </w:p>
    <w:p w14:paraId="7EFEB9A6">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政务数据对接经合规网络代理通道，边界访问最小化；</w:t>
      </w:r>
    </w:p>
    <w:p w14:paraId="0B8F45D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具备抗常见网络攻击（如流量异常）的监测与处置能力。</w:t>
      </w:r>
    </w:p>
    <w:bookmarkEnd w:id="167"/>
    <w:p w14:paraId="6837F96B">
      <w:pPr>
        <w:pStyle w:val="5"/>
        <w:rPr>
          <w:color w:val="000000" w:themeColor="text1"/>
          <w14:textFill>
            <w14:solidFill>
              <w14:schemeClr w14:val="tx1"/>
            </w14:solidFill>
          </w14:textFill>
        </w:rPr>
      </w:pPr>
      <w:bookmarkStart w:id="168" w:name="应用层攻击防护"/>
      <w:r>
        <w:rPr>
          <w:color w:val="000000" w:themeColor="text1"/>
          <w14:textFill>
            <w14:solidFill>
              <w14:schemeClr w14:val="tx1"/>
            </w14:solidFill>
          </w14:textFill>
        </w:rPr>
        <w:t xml:space="preserve">4.4.2 </w:t>
      </w:r>
      <w:r>
        <w:rPr>
          <w:rFonts w:hint="eastAsia"/>
          <w:color w:val="000000" w:themeColor="text1"/>
          <w14:textFill>
            <w14:solidFill>
              <w14:schemeClr w14:val="tx1"/>
            </w14:solidFill>
          </w14:textFill>
        </w:rPr>
        <w:t>应用层攻击防护</w:t>
      </w:r>
    </w:p>
    <w:p w14:paraId="7424A74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注入与XSS</w:t>
      </w:r>
      <w:r>
        <w:rPr>
          <w:rFonts w:hint="eastAsia"/>
          <w:color w:val="000000" w:themeColor="text1"/>
          <w14:textFill>
            <w14:solidFill>
              <w14:schemeClr w14:val="tx1"/>
            </w14:solidFill>
          </w14:textFill>
        </w:rPr>
        <w:t>：参数化查询、输入校验、输出编码，防</w:t>
      </w:r>
      <w:r>
        <w:rPr>
          <w:color w:val="000000" w:themeColor="text1"/>
          <w14:textFill>
            <w14:solidFill>
              <w14:schemeClr w14:val="tx1"/>
            </w14:solidFill>
          </w14:textFill>
        </w:rPr>
        <w:t xml:space="preserve"> SQL </w:t>
      </w:r>
      <w:r>
        <w:rPr>
          <w:rFonts w:hint="eastAsia"/>
          <w:color w:val="000000" w:themeColor="text1"/>
          <w14:textFill>
            <w14:solidFill>
              <w14:schemeClr w14:val="tx1"/>
            </w14:solidFill>
          </w14:textFill>
        </w:rPr>
        <w:t>注入与跨站脚本；</w:t>
      </w:r>
    </w:p>
    <w:p w14:paraId="143E6EE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越权防护</w:t>
      </w:r>
      <w:r>
        <w:rPr>
          <w:rFonts w:hint="eastAsia"/>
          <w:color w:val="000000" w:themeColor="text1"/>
          <w14:textFill>
            <w14:solidFill>
              <w14:schemeClr w14:val="tx1"/>
            </w14:solidFill>
          </w14:textFill>
        </w:rPr>
        <w:t>：对象级权限校验，防水平/垂直越权；</w:t>
      </w:r>
    </w:p>
    <w:p w14:paraId="56126DF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CSRF/重放</w:t>
      </w:r>
      <w:r>
        <w:rPr>
          <w:rFonts w:hint="eastAsia"/>
          <w:color w:val="000000" w:themeColor="text1"/>
          <w14:textFill>
            <w14:solidFill>
              <w14:schemeClr w14:val="tx1"/>
            </w14:solidFill>
          </w14:textFill>
        </w:rPr>
        <w:t>：令牌校验、时间戳/随机数防重放；</w:t>
      </w:r>
    </w:p>
    <w:p w14:paraId="4A125DC5">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暴力破解</w:t>
      </w:r>
      <w:r>
        <w:rPr>
          <w:rFonts w:hint="eastAsia"/>
          <w:color w:val="000000" w:themeColor="text1"/>
          <w14:textFill>
            <w14:solidFill>
              <w14:schemeClr w14:val="tx1"/>
            </w14:solidFill>
          </w14:textFill>
        </w:rPr>
        <w:t>：登录失败锁定、验证码、频率限制；</w:t>
      </w:r>
    </w:p>
    <w:p w14:paraId="7E06701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接口限流</w:t>
      </w:r>
      <w:r>
        <w:rPr>
          <w:rFonts w:hint="eastAsia"/>
          <w:color w:val="000000" w:themeColor="text1"/>
          <w14:textFill>
            <w14:solidFill>
              <w14:schemeClr w14:val="tx1"/>
            </w14:solidFill>
          </w14:textFill>
        </w:rPr>
        <w:t>：网关限流防刷，保护后端；</w:t>
      </w:r>
    </w:p>
    <w:p w14:paraId="694E009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敏感操作</w:t>
      </w:r>
      <w:r>
        <w:rPr>
          <w:rFonts w:hint="eastAsia"/>
          <w:color w:val="000000" w:themeColor="text1"/>
          <w14:textFill>
            <w14:solidFill>
              <w14:schemeClr w14:val="tx1"/>
            </w14:solidFill>
          </w14:textFill>
        </w:rPr>
        <w:t>：关键操作二次确认与审计。</w:t>
      </w:r>
    </w:p>
    <w:bookmarkEnd w:id="168"/>
    <w:p w14:paraId="1D5279A5">
      <w:pPr>
        <w:pStyle w:val="5"/>
        <w:rPr>
          <w:color w:val="000000" w:themeColor="text1"/>
          <w14:textFill>
            <w14:solidFill>
              <w14:schemeClr w14:val="tx1"/>
            </w14:solidFill>
          </w14:textFill>
        </w:rPr>
      </w:pPr>
      <w:bookmarkStart w:id="169" w:name="数据安全防护"/>
      <w:r>
        <w:rPr>
          <w:color w:val="000000" w:themeColor="text1"/>
          <w14:textFill>
            <w14:solidFill>
              <w14:schemeClr w14:val="tx1"/>
            </w14:solidFill>
          </w14:textFill>
        </w:rPr>
        <w:t xml:space="preserve">4.4.3 </w:t>
      </w:r>
      <w:r>
        <w:rPr>
          <w:rFonts w:hint="eastAsia"/>
          <w:color w:val="000000" w:themeColor="text1"/>
          <w14:textFill>
            <w14:solidFill>
              <w14:schemeClr w14:val="tx1"/>
            </w14:solidFill>
          </w14:textFill>
        </w:rPr>
        <w:t>数据安全防护</w:t>
      </w:r>
    </w:p>
    <w:p w14:paraId="4A99157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传输</w:t>
      </w:r>
      <w:r>
        <w:rPr>
          <w:color w:val="000000" w:themeColor="text1"/>
          <w14:textFill>
            <w14:solidFill>
              <w14:schemeClr w14:val="tx1"/>
            </w14:solidFill>
          </w14:textFill>
        </w:rPr>
        <w:t xml:space="preserve"> HTTPS </w:t>
      </w:r>
      <w:r>
        <w:rPr>
          <w:rFonts w:hint="eastAsia"/>
          <w:color w:val="000000" w:themeColor="text1"/>
          <w14:textFill>
            <w14:solidFill>
              <w14:schemeClr w14:val="tx1"/>
            </w14:solidFill>
          </w14:textFill>
        </w:rPr>
        <w:t>加密，存储敏感字段加密；</w:t>
      </w:r>
    </w:p>
    <w:p w14:paraId="7EE6358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展示脱敏（身份证、手机号、银行/支付信息）；</w:t>
      </w:r>
    </w:p>
    <w:p w14:paraId="0A971CD1">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数据库最小权限、访问审计、防拖库；</w:t>
      </w:r>
    </w:p>
    <w:p w14:paraId="63F8B73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备份数据加密与安全存放。</w:t>
      </w:r>
    </w:p>
    <w:bookmarkEnd w:id="169"/>
    <w:p w14:paraId="7F85578B">
      <w:pPr>
        <w:pStyle w:val="5"/>
        <w:rPr>
          <w:color w:val="000000" w:themeColor="text1"/>
          <w14:textFill>
            <w14:solidFill>
              <w14:schemeClr w14:val="tx1"/>
            </w14:solidFill>
          </w14:textFill>
        </w:rPr>
      </w:pPr>
      <w:bookmarkStart w:id="170" w:name="渗透测试与攻防演练"/>
      <w:r>
        <w:rPr>
          <w:color w:val="000000" w:themeColor="text1"/>
          <w14:textFill>
            <w14:solidFill>
              <w14:schemeClr w14:val="tx1"/>
            </w14:solidFill>
          </w14:textFill>
        </w:rPr>
        <w:t xml:space="preserve">4.4.4 </w:t>
      </w:r>
      <w:r>
        <w:rPr>
          <w:rFonts w:hint="eastAsia"/>
          <w:color w:val="000000" w:themeColor="text1"/>
          <w14:textFill>
            <w14:solidFill>
              <w14:schemeClr w14:val="tx1"/>
            </w14:solidFill>
          </w14:textFill>
        </w:rPr>
        <w:t>渗透测试与攻防演练</w:t>
      </w:r>
    </w:p>
    <w:p w14:paraId="7489B2E0">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上线前及运维期定期开展渗透测试与攻防演练，模拟真实攻击验证防护有效性，对发现问题闭环整改，持续提升安全水位。</w:t>
      </w:r>
    </w:p>
    <w:p w14:paraId="43F879ED">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544195"/>
            <wp:effectExtent l="0" t="0" r="0" b="0"/>
            <wp:docPr id="237" name="Picture" descr="图4-2 系统监控与安全告警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descr="图4-2 系统监控与安全告警体系图"/>
                    <pic:cNvPicPr>
                      <a:picLocks noChangeAspect="1" noChangeArrowheads="1"/>
                    </pic:cNvPicPr>
                  </pic:nvPicPr>
                  <pic:blipFill>
                    <a:blip r:embed="rId24"/>
                    <a:stretch>
                      <a:fillRect/>
                    </a:stretch>
                  </pic:blipFill>
                  <pic:spPr>
                    <a:xfrm>
                      <a:off x="0" y="0"/>
                      <a:ext cx="5334000" cy="544285"/>
                    </a:xfrm>
                    <a:prstGeom prst="rect">
                      <a:avLst/>
                    </a:prstGeom>
                    <a:noFill/>
                    <a:ln w="9525">
                      <a:noFill/>
                    </a:ln>
                  </pic:spPr>
                </pic:pic>
              </a:graphicData>
            </a:graphic>
          </wp:inline>
        </w:drawing>
      </w:r>
    </w:p>
    <w:p w14:paraId="0069C223">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图4-2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系统监控与安全告警体系图</w:t>
      </w:r>
    </w:p>
    <w:p w14:paraId="4747BDD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图4-2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系统监控与安全告警体系图</w:t>
      </w:r>
    </w:p>
    <w:bookmarkEnd w:id="170"/>
    <w:p w14:paraId="7A1C0272">
      <w:pPr>
        <w:pStyle w:val="5"/>
        <w:rPr>
          <w:color w:val="000000" w:themeColor="text1"/>
          <w14:textFill>
            <w14:solidFill>
              <w14:schemeClr w14:val="tx1"/>
            </w14:solidFill>
          </w14:textFill>
        </w:rPr>
      </w:pPr>
      <w:bookmarkStart w:id="171" w:name="网络分区与访问控制策略"/>
      <w:r>
        <w:rPr>
          <w:color w:val="000000" w:themeColor="text1"/>
          <w14:textFill>
            <w14:solidFill>
              <w14:schemeClr w14:val="tx1"/>
            </w14:solidFill>
          </w14:textFill>
        </w:rPr>
        <w:t xml:space="preserve">4.4.5 </w:t>
      </w:r>
      <w:r>
        <w:rPr>
          <w:rFonts w:hint="eastAsia"/>
          <w:color w:val="000000" w:themeColor="text1"/>
          <w14:textFill>
            <w14:solidFill>
              <w14:schemeClr w14:val="tx1"/>
            </w14:solidFill>
          </w14:textFill>
        </w:rPr>
        <w:t>网络分区与访问控制策略</w:t>
      </w:r>
    </w:p>
    <w:p w14:paraId="1EC326DB">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系统按”分区分域、最小连通”原则划分网络区域，各区之间通过访问控制策略严格管控，降低横向渗透风险：</w:t>
      </w:r>
    </w:p>
    <w:tbl>
      <w:tblPr>
        <w:tblStyle w:val="41"/>
        <w:tblW w:w="0" w:type="auto"/>
        <w:tblInd w:w="0" w:type="dxa"/>
        <w:tblLayout w:type="autofit"/>
        <w:tblCellMar>
          <w:top w:w="0" w:type="dxa"/>
          <w:left w:w="108" w:type="dxa"/>
          <w:bottom w:w="0" w:type="dxa"/>
          <w:right w:w="108" w:type="dxa"/>
        </w:tblCellMar>
      </w:tblPr>
      <w:tblGrid>
        <w:gridCol w:w="1416"/>
        <w:gridCol w:w="2216"/>
        <w:gridCol w:w="4776"/>
      </w:tblGrid>
      <w:tr w14:paraId="67367094">
        <w:trPr>
          <w:tblHeader/>
        </w:trPr>
        <w:tc>
          <w:p w14:paraId="3F02189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区域</w:t>
            </w:r>
          </w:p>
        </w:tc>
        <w:tc>
          <w:p w14:paraId="570B972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承载</w:t>
            </w:r>
          </w:p>
        </w:tc>
        <w:tc>
          <w:p w14:paraId="08415D7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访问控制策略</w:t>
            </w:r>
          </w:p>
        </w:tc>
      </w:tr>
      <w:tr w14:paraId="07A64B76">
        <w:tc>
          <w:p w14:paraId="6E3732B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公网接入区</w:t>
            </w:r>
          </w:p>
        </w:tc>
        <w:tc>
          <w:p w14:paraId="7FCF86D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反向代理/负载均衡</w:t>
            </w:r>
          </w:p>
        </w:tc>
        <w:tc>
          <w:p w14:paraId="7BFA6B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仅开放</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HTTPS，隐藏内部结构</w:t>
            </w:r>
          </w:p>
        </w:tc>
      </w:tr>
      <w:tr w14:paraId="7C13DE59">
        <w:tc>
          <w:p w14:paraId="225CD99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应用区</w:t>
            </w:r>
          </w:p>
        </w:tc>
        <w:tc>
          <w:p w14:paraId="4CE823C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后端应用实例</w:t>
            </w:r>
          </w:p>
        </w:tc>
        <w:tc>
          <w:p w14:paraId="102952F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仅接受接入区转发，禁止直接公网访问</w:t>
            </w:r>
          </w:p>
        </w:tc>
      </w:tr>
      <w:tr w14:paraId="1BFBAA19">
        <w:tc>
          <w:p w14:paraId="2666A7C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数据区</w:t>
            </w:r>
          </w:p>
        </w:tc>
        <w:tc>
          <w:p w14:paraId="706D9A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数据库、缓存</w:t>
            </w:r>
          </w:p>
        </w:tc>
        <w:tc>
          <w:p w14:paraId="3FEB735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仅应用区可访问，最小端口、最小账号权限</w:t>
            </w:r>
          </w:p>
        </w:tc>
      </w:tr>
      <w:tr w14:paraId="5F97A6BB">
        <w:tc>
          <w:p w14:paraId="6CDF7B2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政务对接区</w:t>
            </w:r>
          </w:p>
        </w:tc>
        <w:tc>
          <w:p w14:paraId="798FFB7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政务数据代理通道</w:t>
            </w:r>
          </w:p>
        </w:tc>
        <w:tc>
          <w:p w14:paraId="5E018D7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经合规代理定向访问，白名单限制</w:t>
            </w:r>
          </w:p>
        </w:tc>
      </w:tr>
      <w:tr w14:paraId="475ABD34">
        <w:tc>
          <w:p w14:paraId="5AF307A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管理运维区</w:t>
            </w:r>
          </w:p>
        </w:tc>
        <w:tc>
          <w:p w14:paraId="6BB95D8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运维与监控</w:t>
            </w:r>
          </w:p>
        </w:tc>
        <w:tc>
          <w:p w14:paraId="779139F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堡垒机/跳板访问、多因子、操作审计</w:t>
            </w:r>
          </w:p>
        </w:tc>
      </w:tr>
    </w:tbl>
    <w:p w14:paraId="0B065A2C">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各区之间默认拒绝、按需放行，跨区访问经防火墙策略控制并记录；管理运维通道与业务通道隔离，特权操作全程审计，做到”进得来看得见、动一下有记录”。</w:t>
      </w:r>
    </w:p>
    <w:bookmarkEnd w:id="166"/>
    <w:bookmarkEnd w:id="171"/>
    <w:p w14:paraId="4D3A5790">
      <w:pPr>
        <w:pStyle w:val="4"/>
        <w:rPr>
          <w:color w:val="000000" w:themeColor="text1"/>
          <w14:textFill>
            <w14:solidFill>
              <w14:schemeClr w14:val="tx1"/>
            </w14:solidFill>
          </w14:textFill>
        </w:rPr>
      </w:pPr>
      <w:bookmarkStart w:id="172" w:name="管理制度缺陷风险防控"/>
      <w:r>
        <w:rPr>
          <w:color w:val="000000" w:themeColor="text1"/>
          <w14:textFill>
            <w14:solidFill>
              <w14:schemeClr w14:val="tx1"/>
            </w14:solidFill>
          </w14:textFill>
        </w:rPr>
        <w:t xml:space="preserve">4.5 </w:t>
      </w:r>
      <w:r>
        <w:rPr>
          <w:rFonts w:hint="eastAsia"/>
          <w:color w:val="000000" w:themeColor="text1"/>
          <w14:textFill>
            <w14:solidFill>
              <w14:schemeClr w14:val="tx1"/>
            </w14:solidFill>
          </w14:textFill>
        </w:rPr>
        <w:t>管理制度缺陷风险防控</w:t>
      </w:r>
    </w:p>
    <w:p w14:paraId="529BC0E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技术防护需以管理制度为保障。本项目建立并执行以下安全管理制度（执行条款）：</w:t>
      </w:r>
    </w:p>
    <w:p w14:paraId="7E19EE31">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安全管理制度清单一览</w:t>
      </w:r>
      <w:r>
        <w:rPr>
          <w:rFonts w:hint="eastAsia"/>
          <w:color w:val="000000" w:themeColor="text1"/>
          <w14:textFill>
            <w14:solidFill>
              <w14:schemeClr w14:val="tx1"/>
            </w14:solidFill>
          </w14:textFill>
        </w:rPr>
        <w:t>：</w:t>
      </w:r>
    </w:p>
    <w:tbl>
      <w:tblPr>
        <w:tblStyle w:val="41"/>
        <w:tblW w:w="0" w:type="auto"/>
        <w:tblInd w:w="0" w:type="dxa"/>
        <w:tblLayout w:type="autofit"/>
        <w:tblCellMar>
          <w:top w:w="0" w:type="dxa"/>
          <w:left w:w="108" w:type="dxa"/>
          <w:bottom w:w="0" w:type="dxa"/>
          <w:right w:w="108" w:type="dxa"/>
        </w:tblCellMar>
      </w:tblPr>
      <w:tblGrid>
        <w:gridCol w:w="2136"/>
        <w:gridCol w:w="3096"/>
        <w:gridCol w:w="2376"/>
      </w:tblGrid>
      <w:tr w14:paraId="62CC02DC">
        <w:trPr>
          <w:tblHeader/>
        </w:trPr>
        <w:tc>
          <w:p w14:paraId="3A1037E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制度</w:t>
            </w:r>
          </w:p>
        </w:tc>
        <w:tc>
          <w:p w14:paraId="6C59C5A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核心内容</w:t>
            </w:r>
          </w:p>
        </w:tc>
        <w:tc>
          <w:p w14:paraId="2A105A5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执行要点</w:t>
            </w:r>
          </w:p>
        </w:tc>
      </w:tr>
      <w:tr w14:paraId="668F84E7">
        <w:tc>
          <w:p w14:paraId="65D63CC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安全责任制度</w:t>
            </w:r>
          </w:p>
        </w:tc>
        <w:tc>
          <w:p w14:paraId="57A42B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责任到人、纳入考核</w:t>
            </w:r>
          </w:p>
        </w:tc>
        <w:tc>
          <w:p w14:paraId="31917A8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明确安全第一责任人</w:t>
            </w:r>
          </w:p>
        </w:tc>
      </w:tr>
      <w:tr w14:paraId="6C66ECC8">
        <w:tc>
          <w:p w14:paraId="452E795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账号权限管理制度</w:t>
            </w:r>
          </w:p>
        </w:tc>
        <w:tc>
          <w:p w14:paraId="3AFEE5E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实名、最小授权、定期复核</w:t>
            </w:r>
          </w:p>
        </w:tc>
        <w:tc>
          <w:p w14:paraId="19D5C11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离岗回收、特权专管</w:t>
            </w:r>
          </w:p>
        </w:tc>
      </w:tr>
      <w:tr w14:paraId="310CEC52">
        <w:tc>
          <w:p w14:paraId="6DDD853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上线发布管理制度</w:t>
            </w:r>
          </w:p>
        </w:tc>
        <w:tc>
          <w:p w14:paraId="1C58FE6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审批、测试、回滚</w:t>
            </w:r>
          </w:p>
        </w:tc>
        <w:tc>
          <w:p w14:paraId="7100E90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发布留痕、发后验证</w:t>
            </w:r>
          </w:p>
        </w:tc>
      </w:tr>
      <w:tr w14:paraId="39184067">
        <w:tc>
          <w:p w14:paraId="25B43F9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数据管理制度</w:t>
            </w:r>
          </w:p>
        </w:tc>
        <w:tc>
          <w:p w14:paraId="2BE654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分级、加密、脱敏、审批</w:t>
            </w:r>
          </w:p>
        </w:tc>
        <w:tc>
          <w:p w14:paraId="3520D75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生产数据操作禁令</w:t>
            </w:r>
          </w:p>
        </w:tc>
      </w:tr>
      <w:tr w14:paraId="58DFB078">
        <w:tc>
          <w:p w14:paraId="0ED084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日志审计制度</w:t>
            </w:r>
          </w:p>
        </w:tc>
        <w:tc>
          <w:p w14:paraId="5E8F289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全量日志、定期审计</w:t>
            </w:r>
          </w:p>
        </w:tc>
        <w:tc>
          <w:p w14:paraId="71C59E8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留存达标、异常追溯</w:t>
            </w:r>
          </w:p>
        </w:tc>
      </w:tr>
      <w:tr w14:paraId="0F78126C">
        <w:tc>
          <w:p w14:paraId="6464D40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安全教育制度</w:t>
            </w:r>
          </w:p>
        </w:tc>
        <w:tc>
          <w:p w14:paraId="35AB9BC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定期培训</w:t>
            </w:r>
          </w:p>
        </w:tc>
        <w:tc>
          <w:p w14:paraId="29F6EF0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意识与技能提升</w:t>
            </w:r>
          </w:p>
        </w:tc>
      </w:tr>
      <w:tr w14:paraId="77204A62">
        <w:tc>
          <w:p w14:paraId="7FA6BEA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第三方管理制度</w:t>
            </w:r>
          </w:p>
        </w:tc>
        <w:tc>
          <w:p w14:paraId="113949F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评估、鉴权、留痕</w:t>
            </w:r>
          </w:p>
        </w:tc>
        <w:tc>
          <w:p w14:paraId="3764514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最小授权对接</w:t>
            </w:r>
          </w:p>
        </w:tc>
      </w:tr>
      <w:tr w14:paraId="2F070D15">
        <w:tc>
          <w:p w14:paraId="79B925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应急响应制度</w:t>
            </w:r>
          </w:p>
        </w:tc>
        <w:tc>
          <w:p w14:paraId="049502B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分级、流程、演练</w:t>
            </w:r>
          </w:p>
        </w:tc>
        <w:tc>
          <w:p w14:paraId="58383CF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报告时限明确</w:t>
            </w:r>
          </w:p>
        </w:tc>
      </w:tr>
      <w:tr w14:paraId="2C169D3F">
        <w:tc>
          <w:p w14:paraId="753D329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制度监督检查机制</w:t>
            </w:r>
          </w:p>
        </w:tc>
        <w:tc>
          <w:p w14:paraId="296FA48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定期/不定期检查</w:t>
            </w:r>
          </w:p>
        </w:tc>
        <w:tc>
          <w:p w14:paraId="0019F0F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偏差闭环整改</w:t>
            </w:r>
          </w:p>
        </w:tc>
      </w:tr>
    </w:tbl>
    <w:p w14:paraId="568746F6">
      <w:pPr>
        <w:pStyle w:val="5"/>
        <w:rPr>
          <w:color w:val="000000" w:themeColor="text1"/>
          <w14:textFill>
            <w14:solidFill>
              <w14:schemeClr w14:val="tx1"/>
            </w14:solidFill>
          </w14:textFill>
        </w:rPr>
      </w:pPr>
      <w:bookmarkStart w:id="173" w:name="安全责任制度"/>
      <w:r>
        <w:rPr>
          <w:color w:val="000000" w:themeColor="text1"/>
          <w14:textFill>
            <w14:solidFill>
              <w14:schemeClr w14:val="tx1"/>
            </w14:solidFill>
          </w14:textFill>
        </w:rPr>
        <w:t xml:space="preserve">4.5.1 </w:t>
      </w:r>
      <w:r>
        <w:rPr>
          <w:rFonts w:hint="eastAsia"/>
          <w:color w:val="000000" w:themeColor="text1"/>
          <w14:textFill>
            <w14:solidFill>
              <w14:schemeClr w14:val="tx1"/>
            </w14:solidFill>
          </w14:textFill>
        </w:rPr>
        <w:t>安全责任制度</w:t>
      </w:r>
    </w:p>
    <w:p w14:paraId="0326E95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明确项目经理为安全第一责任人，各岗位安全职责到人，安全事项纳入考核，责任可追溯。</w:t>
      </w:r>
    </w:p>
    <w:bookmarkEnd w:id="173"/>
    <w:p w14:paraId="09529CFD">
      <w:pPr>
        <w:pStyle w:val="5"/>
        <w:rPr>
          <w:color w:val="000000" w:themeColor="text1"/>
          <w14:textFill>
            <w14:solidFill>
              <w14:schemeClr w14:val="tx1"/>
            </w14:solidFill>
          </w14:textFill>
        </w:rPr>
      </w:pPr>
      <w:bookmarkStart w:id="174" w:name="账号权限管理制度"/>
      <w:r>
        <w:rPr>
          <w:color w:val="000000" w:themeColor="text1"/>
          <w14:textFill>
            <w14:solidFill>
              <w14:schemeClr w14:val="tx1"/>
            </w14:solidFill>
          </w14:textFill>
        </w:rPr>
        <w:t xml:space="preserve">4.5.2 </w:t>
      </w:r>
      <w:r>
        <w:rPr>
          <w:rFonts w:hint="eastAsia"/>
          <w:color w:val="000000" w:themeColor="text1"/>
          <w14:textFill>
            <w14:solidFill>
              <w14:schemeClr w14:val="tx1"/>
            </w14:solidFill>
          </w14:textFill>
        </w:rPr>
        <w:t>账号权限管理制度</w:t>
      </w:r>
    </w:p>
    <w:p w14:paraId="624F523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账号实名、最小授权、定期复核；离岗及时回收；特权账号专项管理与审计；禁止账号共享。</w:t>
      </w:r>
    </w:p>
    <w:bookmarkEnd w:id="174"/>
    <w:p w14:paraId="262F2AD0">
      <w:pPr>
        <w:pStyle w:val="5"/>
        <w:rPr>
          <w:color w:val="000000" w:themeColor="text1"/>
          <w14:textFill>
            <w14:solidFill>
              <w14:schemeClr w14:val="tx1"/>
            </w14:solidFill>
          </w14:textFill>
        </w:rPr>
      </w:pPr>
      <w:bookmarkStart w:id="175" w:name="上线发布管理制度"/>
      <w:r>
        <w:rPr>
          <w:color w:val="000000" w:themeColor="text1"/>
          <w14:textFill>
            <w14:solidFill>
              <w14:schemeClr w14:val="tx1"/>
            </w14:solidFill>
          </w14:textFill>
        </w:rPr>
        <w:t xml:space="preserve">4.5.3 </w:t>
      </w:r>
      <w:r>
        <w:rPr>
          <w:rFonts w:hint="eastAsia"/>
          <w:color w:val="000000" w:themeColor="text1"/>
          <w14:textFill>
            <w14:solidFill>
              <w14:schemeClr w14:val="tx1"/>
            </w14:solidFill>
          </w14:textFill>
        </w:rPr>
        <w:t>上线发布管理制度</w:t>
      </w:r>
    </w:p>
    <w:p w14:paraId="0ADD3730">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上线走审批与发布流程，发布前完成测试与安全检查，具备回滚预案，发布后验证，全程留痕。</w:t>
      </w:r>
    </w:p>
    <w:bookmarkEnd w:id="175"/>
    <w:p w14:paraId="595C4016">
      <w:pPr>
        <w:pStyle w:val="5"/>
        <w:rPr>
          <w:color w:val="000000" w:themeColor="text1"/>
          <w14:textFill>
            <w14:solidFill>
              <w14:schemeClr w14:val="tx1"/>
            </w14:solidFill>
          </w14:textFill>
        </w:rPr>
      </w:pPr>
      <w:bookmarkStart w:id="176" w:name="数据管理制度"/>
      <w:r>
        <w:rPr>
          <w:color w:val="000000" w:themeColor="text1"/>
          <w14:textFill>
            <w14:solidFill>
              <w14:schemeClr w14:val="tx1"/>
            </w14:solidFill>
          </w14:textFill>
        </w:rPr>
        <w:t xml:space="preserve">4.5.4 </w:t>
      </w:r>
      <w:r>
        <w:rPr>
          <w:rFonts w:hint="eastAsia"/>
          <w:color w:val="000000" w:themeColor="text1"/>
          <w14:textFill>
            <w14:solidFill>
              <w14:schemeClr w14:val="tx1"/>
            </w14:solidFill>
          </w14:textFill>
        </w:rPr>
        <w:t>数据管理制度</w:t>
      </w:r>
    </w:p>
    <w:p w14:paraId="4008AC2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数据分级管理，敏感数据加密与脱敏；数据导出与访问审批留痕；生产数据严禁未授权操作，遵循”生产数据真实性与操作禁令”原则。</w:t>
      </w:r>
    </w:p>
    <w:bookmarkEnd w:id="176"/>
    <w:p w14:paraId="6E73F00D">
      <w:pPr>
        <w:pStyle w:val="5"/>
        <w:rPr>
          <w:color w:val="000000" w:themeColor="text1"/>
          <w14:textFill>
            <w14:solidFill>
              <w14:schemeClr w14:val="tx1"/>
            </w14:solidFill>
          </w14:textFill>
        </w:rPr>
      </w:pPr>
      <w:bookmarkStart w:id="177" w:name="日志审计制度"/>
      <w:r>
        <w:rPr>
          <w:color w:val="000000" w:themeColor="text1"/>
          <w14:textFill>
            <w14:solidFill>
              <w14:schemeClr w14:val="tx1"/>
            </w14:solidFill>
          </w14:textFill>
        </w:rPr>
        <w:t xml:space="preserve">4.5.5 </w:t>
      </w:r>
      <w:r>
        <w:rPr>
          <w:rFonts w:hint="eastAsia"/>
          <w:color w:val="000000" w:themeColor="text1"/>
          <w14:textFill>
            <w14:solidFill>
              <w14:schemeClr w14:val="tx1"/>
            </w14:solidFill>
          </w14:textFill>
        </w:rPr>
        <w:t>日志审计制度</w:t>
      </w:r>
    </w:p>
    <w:p w14:paraId="6698F9D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统一记录操作日志、登录日志、接口日志、安全日志，留存期满足要求，定期审计异常行为。</w:t>
      </w:r>
    </w:p>
    <w:bookmarkEnd w:id="177"/>
    <w:p w14:paraId="6F4BD875">
      <w:pPr>
        <w:pStyle w:val="5"/>
        <w:rPr>
          <w:color w:val="000000" w:themeColor="text1"/>
          <w14:textFill>
            <w14:solidFill>
              <w14:schemeClr w14:val="tx1"/>
            </w14:solidFill>
          </w14:textFill>
        </w:rPr>
      </w:pPr>
      <w:bookmarkStart w:id="178" w:name="安全教育制度"/>
      <w:r>
        <w:rPr>
          <w:color w:val="000000" w:themeColor="text1"/>
          <w14:textFill>
            <w14:solidFill>
              <w14:schemeClr w14:val="tx1"/>
            </w14:solidFill>
          </w14:textFill>
        </w:rPr>
        <w:t xml:space="preserve">4.5.6 </w:t>
      </w:r>
      <w:r>
        <w:rPr>
          <w:rFonts w:hint="eastAsia"/>
          <w:color w:val="000000" w:themeColor="text1"/>
          <w14:textFill>
            <w14:solidFill>
              <w14:schemeClr w14:val="tx1"/>
            </w14:solidFill>
          </w14:textFill>
        </w:rPr>
        <w:t>安全教育制度</w:t>
      </w:r>
    </w:p>
    <w:p w14:paraId="7228E7C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定期对团队开展安全意识与技能培训，提升整体安全能力。</w:t>
      </w:r>
    </w:p>
    <w:bookmarkEnd w:id="178"/>
    <w:p w14:paraId="6D387CB3">
      <w:pPr>
        <w:pStyle w:val="5"/>
        <w:rPr>
          <w:color w:val="000000" w:themeColor="text1"/>
          <w14:textFill>
            <w14:solidFill>
              <w14:schemeClr w14:val="tx1"/>
            </w14:solidFill>
          </w14:textFill>
        </w:rPr>
      </w:pPr>
      <w:bookmarkStart w:id="179" w:name="第三方管理制度"/>
      <w:r>
        <w:rPr>
          <w:color w:val="000000" w:themeColor="text1"/>
          <w14:textFill>
            <w14:solidFill>
              <w14:schemeClr w14:val="tx1"/>
            </w14:solidFill>
          </w14:textFill>
        </w:rPr>
        <w:t xml:space="preserve">4.5.7 </w:t>
      </w:r>
      <w:r>
        <w:rPr>
          <w:rFonts w:hint="eastAsia"/>
          <w:color w:val="000000" w:themeColor="text1"/>
          <w14:textFill>
            <w14:solidFill>
              <w14:schemeClr w14:val="tx1"/>
            </w14:solidFill>
          </w14:textFill>
        </w:rPr>
        <w:t>第三方管理制度</w:t>
      </w:r>
    </w:p>
    <w:p w14:paraId="51AF622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对接第三方须评估安全合规，接口鉴权与最小授权，数据交换留痕。</w:t>
      </w:r>
    </w:p>
    <w:bookmarkEnd w:id="179"/>
    <w:p w14:paraId="24B2452B">
      <w:pPr>
        <w:pStyle w:val="5"/>
        <w:rPr>
          <w:color w:val="000000" w:themeColor="text1"/>
          <w14:textFill>
            <w14:solidFill>
              <w14:schemeClr w14:val="tx1"/>
            </w14:solidFill>
          </w14:textFill>
        </w:rPr>
      </w:pPr>
      <w:bookmarkStart w:id="180" w:name="应急响应制度"/>
      <w:r>
        <w:rPr>
          <w:color w:val="000000" w:themeColor="text1"/>
          <w14:textFill>
            <w14:solidFill>
              <w14:schemeClr w14:val="tx1"/>
            </w14:solidFill>
          </w14:textFill>
        </w:rPr>
        <w:t xml:space="preserve">4.5.8 </w:t>
      </w:r>
      <w:r>
        <w:rPr>
          <w:rFonts w:hint="eastAsia"/>
          <w:color w:val="000000" w:themeColor="text1"/>
          <w14:textFill>
            <w14:solidFill>
              <w14:schemeClr w14:val="tx1"/>
            </w14:solidFill>
          </w14:textFill>
        </w:rPr>
        <w:t>应急响应制度</w:t>
      </w:r>
    </w:p>
    <w:p w14:paraId="0934034F">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制定安全应急预案，明确分级、流程、职责与报告时限，定期演练。</w:t>
      </w:r>
    </w:p>
    <w:p w14:paraId="3B084A85">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80000" cy="17627600"/>
            <wp:effectExtent l="0" t="0" r="0" b="0"/>
            <wp:docPr id="250" name="Picture" descr="图4-3 安全应急预案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descr="图4-3 安全应急预案流程图"/>
                    <pic:cNvPicPr>
                      <a:picLocks noChangeAspect="1" noChangeArrowheads="1"/>
                    </pic:cNvPicPr>
                  </pic:nvPicPr>
                  <pic:blipFill>
                    <a:blip r:embed="rId25"/>
                    <a:stretch>
                      <a:fillRect/>
                    </a:stretch>
                  </pic:blipFill>
                  <pic:spPr>
                    <a:xfrm>
                      <a:off x="0" y="0"/>
                      <a:ext cx="5080000" cy="17627600"/>
                    </a:xfrm>
                    <a:prstGeom prst="rect">
                      <a:avLst/>
                    </a:prstGeom>
                    <a:noFill/>
                    <a:ln w="9525">
                      <a:noFill/>
                    </a:ln>
                  </pic:spPr>
                </pic:pic>
              </a:graphicData>
            </a:graphic>
          </wp:inline>
        </w:drawing>
      </w:r>
    </w:p>
    <w:p w14:paraId="1A5631A4">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图4-3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安全应急预案流程图</w:t>
      </w:r>
    </w:p>
    <w:p w14:paraId="627D0BE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图4-3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安全应急预案流程图</w:t>
      </w:r>
    </w:p>
    <w:bookmarkEnd w:id="180"/>
    <w:p w14:paraId="1534F552">
      <w:pPr>
        <w:pStyle w:val="5"/>
        <w:rPr>
          <w:color w:val="000000" w:themeColor="text1"/>
          <w14:textFill>
            <w14:solidFill>
              <w14:schemeClr w14:val="tx1"/>
            </w14:solidFill>
          </w14:textFill>
        </w:rPr>
      </w:pPr>
      <w:bookmarkStart w:id="181" w:name="制度执行监督与检查机制"/>
      <w:r>
        <w:rPr>
          <w:color w:val="000000" w:themeColor="text1"/>
          <w14:textFill>
            <w14:solidFill>
              <w14:schemeClr w14:val="tx1"/>
            </w14:solidFill>
          </w14:textFill>
        </w:rPr>
        <w:t xml:space="preserve">4.5.9 </w:t>
      </w:r>
      <w:r>
        <w:rPr>
          <w:rFonts w:hint="eastAsia"/>
          <w:color w:val="000000" w:themeColor="text1"/>
          <w14:textFill>
            <w14:solidFill>
              <w14:schemeClr w14:val="tx1"/>
            </w14:solidFill>
          </w14:textFill>
        </w:rPr>
        <w:t>制度执行监督与检查机制</w:t>
      </w:r>
    </w:p>
    <w:p w14:paraId="145619F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设立定期与不定期检查机制，检查制度执行情况，对偏差整改闭环，保证制度落地而非停留于纸面。</w:t>
      </w:r>
    </w:p>
    <w:bookmarkEnd w:id="172"/>
    <w:bookmarkEnd w:id="181"/>
    <w:p w14:paraId="21D9F86D">
      <w:pPr>
        <w:pStyle w:val="4"/>
        <w:rPr>
          <w:color w:val="000000" w:themeColor="text1"/>
          <w14:textFill>
            <w14:solidFill>
              <w14:schemeClr w14:val="tx1"/>
            </w14:solidFill>
          </w14:textFill>
        </w:rPr>
      </w:pPr>
      <w:bookmarkStart w:id="182" w:name="二级等保安全控制措施"/>
      <w:r>
        <w:rPr>
          <w:color w:val="000000" w:themeColor="text1"/>
          <w14:textFill>
            <w14:solidFill>
              <w14:schemeClr w14:val="tx1"/>
            </w14:solidFill>
          </w14:textFill>
        </w:rPr>
        <w:t xml:space="preserve">4.6 </w:t>
      </w:r>
      <w:r>
        <w:rPr>
          <w:rFonts w:hint="eastAsia"/>
          <w:color w:val="000000" w:themeColor="text1"/>
          <w14:textFill>
            <w14:solidFill>
              <w14:schemeClr w14:val="tx1"/>
            </w14:solidFill>
          </w14:textFill>
        </w:rPr>
        <w:t>二级等保安全控制措施</w:t>
      </w:r>
    </w:p>
    <w:p w14:paraId="57B5DED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系统按</w:t>
      </w:r>
      <w:r>
        <w:rPr>
          <w:color w:val="000000" w:themeColor="text1"/>
          <w14:textFill>
            <w14:solidFill>
              <w14:schemeClr w14:val="tx1"/>
            </w14:solidFill>
          </w14:textFill>
        </w:rPr>
        <w:t xml:space="preserve"> GB/T 22239 </w:t>
      </w:r>
      <w:r>
        <w:rPr>
          <w:rFonts w:hint="eastAsia"/>
          <w:color w:val="000000" w:themeColor="text1"/>
          <w14:textFill>
            <w14:solidFill>
              <w14:schemeClr w14:val="tx1"/>
            </w14:solidFill>
          </w14:textFill>
        </w:rPr>
        <w:t>二级等保要求适配以下控制措施：</w:t>
      </w:r>
    </w:p>
    <w:p w14:paraId="2F099F3A">
      <w:pPr>
        <w:pStyle w:val="5"/>
        <w:rPr>
          <w:color w:val="000000" w:themeColor="text1"/>
          <w14:textFill>
            <w14:solidFill>
              <w14:schemeClr w14:val="tx1"/>
            </w14:solidFill>
          </w14:textFill>
        </w:rPr>
      </w:pPr>
      <w:bookmarkStart w:id="183" w:name="安全物理环境"/>
      <w:r>
        <w:rPr>
          <w:color w:val="000000" w:themeColor="text1"/>
          <w14:textFill>
            <w14:solidFill>
              <w14:schemeClr w14:val="tx1"/>
            </w14:solidFill>
          </w14:textFill>
        </w:rPr>
        <w:t xml:space="preserve">4.6.1 </w:t>
      </w:r>
      <w:r>
        <w:rPr>
          <w:rFonts w:hint="eastAsia"/>
          <w:color w:val="000000" w:themeColor="text1"/>
          <w14:textFill>
            <w14:solidFill>
              <w14:schemeClr w14:val="tx1"/>
            </w14:solidFill>
          </w14:textFill>
        </w:rPr>
        <w:t>安全物理环境</w:t>
      </w:r>
    </w:p>
    <w:p w14:paraId="364AC82B">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依托合规机房，具备门禁、监控、防火、防水、防雷、温湿度控制与可靠供电，物理访问受控。</w:t>
      </w:r>
    </w:p>
    <w:bookmarkEnd w:id="183"/>
    <w:p w14:paraId="7A62D712">
      <w:pPr>
        <w:pStyle w:val="5"/>
        <w:rPr>
          <w:color w:val="000000" w:themeColor="text1"/>
          <w14:textFill>
            <w14:solidFill>
              <w14:schemeClr w14:val="tx1"/>
            </w14:solidFill>
          </w14:textFill>
        </w:rPr>
      </w:pPr>
      <w:bookmarkStart w:id="184" w:name="安全通信网络"/>
      <w:r>
        <w:rPr>
          <w:color w:val="000000" w:themeColor="text1"/>
          <w14:textFill>
            <w14:solidFill>
              <w14:schemeClr w14:val="tx1"/>
            </w14:solidFill>
          </w14:textFill>
        </w:rPr>
        <w:t xml:space="preserve">4.6.2 </w:t>
      </w:r>
      <w:r>
        <w:rPr>
          <w:rFonts w:hint="eastAsia"/>
          <w:color w:val="000000" w:themeColor="text1"/>
          <w14:textFill>
            <w14:solidFill>
              <w14:schemeClr w14:val="tx1"/>
            </w14:solidFill>
          </w14:textFill>
        </w:rPr>
        <w:t>安全通信网络</w:t>
      </w:r>
    </w:p>
    <w:p w14:paraId="59BC104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网络架构合理分区，通信传输加密（HTTPS/TLS），关键网络设备与链路具备可靠性保障。</w:t>
      </w:r>
    </w:p>
    <w:bookmarkEnd w:id="184"/>
    <w:p w14:paraId="34372CAC">
      <w:pPr>
        <w:pStyle w:val="5"/>
        <w:rPr>
          <w:color w:val="000000" w:themeColor="text1"/>
          <w14:textFill>
            <w14:solidFill>
              <w14:schemeClr w14:val="tx1"/>
            </w14:solidFill>
          </w14:textFill>
        </w:rPr>
      </w:pPr>
      <w:bookmarkStart w:id="185" w:name="安全区域边界"/>
      <w:r>
        <w:rPr>
          <w:color w:val="000000" w:themeColor="text1"/>
          <w14:textFill>
            <w14:solidFill>
              <w14:schemeClr w14:val="tx1"/>
            </w14:solidFill>
          </w14:textFill>
        </w:rPr>
        <w:t xml:space="preserve">4.6.3 </w:t>
      </w:r>
      <w:r>
        <w:rPr>
          <w:rFonts w:hint="eastAsia"/>
          <w:color w:val="000000" w:themeColor="text1"/>
          <w14:textFill>
            <w14:solidFill>
              <w14:schemeClr w14:val="tx1"/>
            </w14:solidFill>
          </w14:textFill>
        </w:rPr>
        <w:t>安全区域边界</w:t>
      </w:r>
    </w:p>
    <w:p w14:paraId="791D45D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边界访问控制、入侵防范、恶意代码防范、安全审计到位，非法接入与外联受控。</w:t>
      </w:r>
    </w:p>
    <w:bookmarkEnd w:id="185"/>
    <w:p w14:paraId="540CA291">
      <w:pPr>
        <w:pStyle w:val="5"/>
        <w:rPr>
          <w:color w:val="000000" w:themeColor="text1"/>
          <w14:textFill>
            <w14:solidFill>
              <w14:schemeClr w14:val="tx1"/>
            </w14:solidFill>
          </w14:textFill>
        </w:rPr>
      </w:pPr>
      <w:bookmarkStart w:id="186" w:name="安全计算环境"/>
      <w:r>
        <w:rPr>
          <w:color w:val="000000" w:themeColor="text1"/>
          <w14:textFill>
            <w14:solidFill>
              <w14:schemeClr w14:val="tx1"/>
            </w14:solidFill>
          </w14:textFill>
        </w:rPr>
        <w:t xml:space="preserve">4.6.4 </w:t>
      </w:r>
      <w:r>
        <w:rPr>
          <w:rFonts w:hint="eastAsia"/>
          <w:color w:val="000000" w:themeColor="text1"/>
          <w14:textFill>
            <w14:solidFill>
              <w14:schemeClr w14:val="tx1"/>
            </w14:solidFill>
          </w14:textFill>
        </w:rPr>
        <w:t>安全计算环境</w:t>
      </w:r>
    </w:p>
    <w:p w14:paraId="7B4A721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主机与应用具备身份鉴别、访问控制、安全审计、入侵防范、恶意代码防范、数据完整性与保密性保护、个人信息保护等控制。</w:t>
      </w:r>
    </w:p>
    <w:bookmarkEnd w:id="186"/>
    <w:p w14:paraId="5205D1E8">
      <w:pPr>
        <w:pStyle w:val="5"/>
        <w:rPr>
          <w:color w:val="000000" w:themeColor="text1"/>
          <w14:textFill>
            <w14:solidFill>
              <w14:schemeClr w14:val="tx1"/>
            </w14:solidFill>
          </w14:textFill>
        </w:rPr>
      </w:pPr>
      <w:bookmarkStart w:id="187" w:name="安全管理中心"/>
      <w:r>
        <w:rPr>
          <w:color w:val="000000" w:themeColor="text1"/>
          <w14:textFill>
            <w14:solidFill>
              <w14:schemeClr w14:val="tx1"/>
            </w14:solidFill>
          </w14:textFill>
        </w:rPr>
        <w:t xml:space="preserve">4.6.5 </w:t>
      </w:r>
      <w:r>
        <w:rPr>
          <w:rFonts w:hint="eastAsia"/>
          <w:color w:val="000000" w:themeColor="text1"/>
          <w14:textFill>
            <w14:solidFill>
              <w14:schemeClr w14:val="tx1"/>
            </w14:solidFill>
          </w14:textFill>
        </w:rPr>
        <w:t>安全管理中心</w:t>
      </w:r>
    </w:p>
    <w:p w14:paraId="3DBDD04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集中的系统管理、审计管理与安全管理，统一监控、日志与告警，集中管控安全状态。</w:t>
      </w:r>
    </w:p>
    <w:bookmarkEnd w:id="187"/>
    <w:p w14:paraId="5E6CE7E7">
      <w:pPr>
        <w:pStyle w:val="5"/>
        <w:rPr>
          <w:color w:val="000000" w:themeColor="text1"/>
          <w14:textFill>
            <w14:solidFill>
              <w14:schemeClr w14:val="tx1"/>
            </w14:solidFill>
          </w14:textFill>
        </w:rPr>
      </w:pPr>
      <w:bookmarkStart w:id="188" w:name="安全管理体系"/>
      <w:r>
        <w:rPr>
          <w:color w:val="000000" w:themeColor="text1"/>
          <w14:textFill>
            <w14:solidFill>
              <w14:schemeClr w14:val="tx1"/>
            </w14:solidFill>
          </w14:textFill>
        </w:rPr>
        <w:t xml:space="preserve">4.6.6 </w:t>
      </w:r>
      <w:r>
        <w:rPr>
          <w:rFonts w:hint="eastAsia"/>
          <w:color w:val="000000" w:themeColor="text1"/>
          <w14:textFill>
            <w14:solidFill>
              <w14:schemeClr w14:val="tx1"/>
            </w14:solidFill>
          </w14:textFill>
        </w:rPr>
        <w:t>安全管理体系</w:t>
      </w:r>
    </w:p>
    <w:p w14:paraId="5FE4779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覆盖安全管理制度、安全管理机构、安全管理人员、安全建设管理与安全运维管理，形成技管结合的完整体系。</w:t>
      </w:r>
    </w:p>
    <w:p w14:paraId="6AFA17DB">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870585"/>
            <wp:effectExtent l="0" t="0" r="0" b="0"/>
            <wp:docPr id="261" name="Picture" descr="图4-4 等保二级安全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descr="图4-4 等保二级安全体系图"/>
                    <pic:cNvPicPr>
                      <a:picLocks noChangeAspect="1" noChangeArrowheads="1"/>
                    </pic:cNvPicPr>
                  </pic:nvPicPr>
                  <pic:blipFill>
                    <a:blip r:embed="rId26"/>
                    <a:stretch>
                      <a:fillRect/>
                    </a:stretch>
                  </pic:blipFill>
                  <pic:spPr>
                    <a:xfrm>
                      <a:off x="0" y="0"/>
                      <a:ext cx="5334000" cy="870857"/>
                    </a:xfrm>
                    <a:prstGeom prst="rect">
                      <a:avLst/>
                    </a:prstGeom>
                    <a:noFill/>
                    <a:ln w="9525">
                      <a:noFill/>
                    </a:ln>
                  </pic:spPr>
                </pic:pic>
              </a:graphicData>
            </a:graphic>
          </wp:inline>
        </w:drawing>
      </w:r>
    </w:p>
    <w:p w14:paraId="79984C7C">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图4-4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等保二级安全体系图</w:t>
      </w:r>
    </w:p>
    <w:p w14:paraId="7FCDF99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图4-4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等保二级安全体系图</w:t>
      </w:r>
    </w:p>
    <w:bookmarkEnd w:id="188"/>
    <w:p w14:paraId="354AA109">
      <w:pPr>
        <w:pStyle w:val="5"/>
        <w:rPr>
          <w:color w:val="000000" w:themeColor="text1"/>
          <w14:textFill>
            <w14:solidFill>
              <w14:schemeClr w14:val="tx1"/>
            </w14:solidFill>
          </w14:textFill>
        </w:rPr>
      </w:pPr>
      <w:bookmarkStart w:id="189" w:name="二级等保控制点符合性对照"/>
      <w:r>
        <w:rPr>
          <w:color w:val="000000" w:themeColor="text1"/>
          <w14:textFill>
            <w14:solidFill>
              <w14:schemeClr w14:val="tx1"/>
            </w14:solidFill>
          </w14:textFill>
        </w:rPr>
        <w:t xml:space="preserve">4.6.7 </w:t>
      </w:r>
      <w:r>
        <w:rPr>
          <w:rFonts w:hint="eastAsia"/>
          <w:color w:val="000000" w:themeColor="text1"/>
          <w14:textFill>
            <w14:solidFill>
              <w14:schemeClr w14:val="tx1"/>
            </w14:solidFill>
          </w14:textFill>
        </w:rPr>
        <w:t>二级等保控制点符合性对照</w:t>
      </w:r>
    </w:p>
    <w:p w14:paraId="1F6F4E0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为便于甲方与测评机构核查，我方将系统安全设计与二级等保主要控制项逐条对应，形成符合性对照表（节选核心控制点）：</w:t>
      </w:r>
    </w:p>
    <w:tbl>
      <w:tblPr>
        <w:tblStyle w:val="41"/>
        <w:tblW w:w="5000" w:type="pct"/>
        <w:tblInd w:w="0" w:type="dxa"/>
        <w:tblLayout w:type="fixed"/>
        <w:tblCellMar>
          <w:top w:w="0" w:type="dxa"/>
          <w:left w:w="108" w:type="dxa"/>
          <w:bottom w:w="0" w:type="dxa"/>
          <w:right w:w="108" w:type="dxa"/>
        </w:tblCellMar>
      </w:tblPr>
      <w:tblGrid>
        <w:gridCol w:w="2415"/>
        <w:gridCol w:w="2415"/>
        <w:gridCol w:w="4025"/>
      </w:tblGrid>
      <w:tr w14:paraId="10888C2D">
        <w:trPr>
          <w:tblHeader/>
        </w:trPr>
        <w:tc>
          <w:p w14:paraId="0E1D0A7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等保类别</w:t>
            </w:r>
          </w:p>
        </w:tc>
        <w:tc>
          <w:p w14:paraId="366FD78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控制要求</w:t>
            </w:r>
          </w:p>
        </w:tc>
        <w:tc>
          <w:p w14:paraId="14C191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本系统落实措施</w:t>
            </w:r>
          </w:p>
        </w:tc>
      </w:tr>
      <w:tr w14:paraId="465248B2">
        <w:tc>
          <w:p w14:paraId="22D4BBE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身份鉴别</w:t>
            </w:r>
          </w:p>
        </w:tc>
        <w:tc>
          <w:p w14:paraId="0939FB8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用户身份唯一标识与鉴别</w:t>
            </w:r>
          </w:p>
        </w:tc>
        <w:tc>
          <w:p w14:paraId="2F4BE29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群众端郑好办授权登录、后台账号口令登录，统一</w:t>
            </w:r>
            <w:r>
              <w:rPr>
                <w:color w:val="000000" w:themeColor="text1"/>
                <w14:textFill>
                  <w14:solidFill>
                    <w14:schemeClr w14:val="tx1"/>
                  </w14:solidFill>
                </w14:textFill>
              </w:rPr>
              <w:t xml:space="preserve"> JWT </w:t>
            </w:r>
            <w:r>
              <w:rPr>
                <w:rFonts w:hint="eastAsia"/>
                <w:color w:val="000000" w:themeColor="text1"/>
                <w14:textFill>
                  <w14:solidFill>
                    <w14:schemeClr w14:val="tx1"/>
                  </w14:solidFill>
                </w14:textFill>
              </w:rPr>
              <w:t>令牌</w:t>
            </w:r>
          </w:p>
        </w:tc>
      </w:tr>
      <w:tr w14:paraId="7EC3A7B7">
        <w:tc>
          <w:p w14:paraId="03C0653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身份鉴别</w:t>
            </w:r>
          </w:p>
        </w:tc>
        <w:tc>
          <w:p w14:paraId="4CCFFB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登录失败处理</w:t>
            </w:r>
          </w:p>
        </w:tc>
        <w:tc>
          <w:p w14:paraId="28CB42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失败次数锁定、验证码、异常告警</w:t>
            </w:r>
          </w:p>
        </w:tc>
      </w:tr>
      <w:tr w14:paraId="54ECCD03">
        <w:tc>
          <w:p w14:paraId="0E25420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访问控制</w:t>
            </w:r>
          </w:p>
        </w:tc>
        <w:tc>
          <w:p w14:paraId="57C6F7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最小授权与职责分离</w:t>
            </w:r>
          </w:p>
        </w:tc>
        <w:tc>
          <w:p w14:paraId="097FAE6C">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RBAC </w:t>
            </w:r>
            <w:r>
              <w:rPr>
                <w:rFonts w:hint="eastAsia"/>
                <w:color w:val="000000" w:themeColor="text1"/>
                <w14:textFill>
                  <w14:solidFill>
                    <w14:schemeClr w14:val="tx1"/>
                  </w14:solidFill>
                </w14:textFill>
              </w:rPr>
              <w:t>四级权限、数据权限、特权账号专管</w:t>
            </w:r>
          </w:p>
        </w:tc>
      </w:tr>
      <w:tr w14:paraId="21002AE9">
        <w:tc>
          <w:p w14:paraId="1E08E45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访问控制</w:t>
            </w:r>
          </w:p>
        </w:tc>
        <w:tc>
          <w:p w14:paraId="570B22E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默认拒绝原则</w:t>
            </w:r>
          </w:p>
        </w:tc>
        <w:tc>
          <w:p w14:paraId="60E90A8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接口默认鉴权、白名单授权、越权拦截</w:t>
            </w:r>
          </w:p>
        </w:tc>
      </w:tr>
      <w:tr w14:paraId="3748A93B">
        <w:tc>
          <w:p w14:paraId="3DD3F9A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安全审计</w:t>
            </w:r>
          </w:p>
        </w:tc>
        <w:tc>
          <w:p w14:paraId="7C46166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覆盖重要用户与操作</w:t>
            </w:r>
          </w:p>
        </w:tc>
        <w:tc>
          <w:p w14:paraId="01F7BC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操作/登录/接口/安全日志全覆盖，留痕可追溯</w:t>
            </w:r>
          </w:p>
        </w:tc>
      </w:tr>
      <w:tr w14:paraId="295FA3FC">
        <w:tc>
          <w:p w14:paraId="49E8329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安全审计</w:t>
            </w:r>
          </w:p>
        </w:tc>
        <w:tc>
          <w:p w14:paraId="1A433ED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日志保护与留存</w:t>
            </w:r>
          </w:p>
        </w:tc>
        <w:tc>
          <w:p w14:paraId="23BEE11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日志集中存储、防篡改、留存期满足要求</w:t>
            </w:r>
          </w:p>
        </w:tc>
      </w:tr>
      <w:tr w14:paraId="0C43BB9F">
        <w:tc>
          <w:p w14:paraId="17B11F5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入侵防范</w:t>
            </w:r>
          </w:p>
        </w:tc>
        <w:tc>
          <w:p w14:paraId="0056D0C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边界与主机入侵防范</w:t>
            </w:r>
          </w:p>
        </w:tc>
        <w:tc>
          <w:p w14:paraId="64EB673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防火墙、反向代理、基线加固、异常监测</w:t>
            </w:r>
          </w:p>
        </w:tc>
      </w:tr>
      <w:tr w14:paraId="693D5E06">
        <w:tc>
          <w:p w14:paraId="085FA43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恶意代码防范</w:t>
            </w:r>
          </w:p>
        </w:tc>
        <w:tc>
          <w:p w14:paraId="1A187BA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主机与上传防护</w:t>
            </w:r>
          </w:p>
        </w:tc>
        <w:tc>
          <w:p w14:paraId="60A4E25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防病毒、上传文件扫描、可信来源管控</w:t>
            </w:r>
          </w:p>
        </w:tc>
      </w:tr>
      <w:tr w14:paraId="112907BE">
        <w:tc>
          <w:p w14:paraId="02B58B7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数据完整性</w:t>
            </w:r>
          </w:p>
        </w:tc>
        <w:tc>
          <w:p w14:paraId="49EC7F5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传输与存储完整性</w:t>
            </w:r>
          </w:p>
        </w:tc>
        <w:tc>
          <w:p w14:paraId="6BDA1410">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HTTPS/TLS </w:t>
            </w:r>
            <w:r>
              <w:rPr>
                <w:rFonts w:hint="eastAsia"/>
                <w:color w:val="000000" w:themeColor="text1"/>
                <w14:textFill>
                  <w14:solidFill>
                    <w14:schemeClr w14:val="tx1"/>
                  </w14:solidFill>
                </w14:textFill>
              </w:rPr>
              <w:t>传输、关键数据校验、事务保证</w:t>
            </w:r>
          </w:p>
        </w:tc>
      </w:tr>
      <w:tr w14:paraId="69CD707B">
        <w:tc>
          <w:p w14:paraId="061B1FC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数据保密性</w:t>
            </w:r>
          </w:p>
        </w:tc>
        <w:tc>
          <w:p w14:paraId="04CABB8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敏感数据加密</w:t>
            </w:r>
          </w:p>
        </w:tc>
        <w:tc>
          <w:p w14:paraId="7B8D07B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身份证/人脸/支付加密存储、传输加密</w:t>
            </w:r>
          </w:p>
        </w:tc>
      </w:tr>
      <w:tr w14:paraId="6F94721D">
        <w:tc>
          <w:p w14:paraId="4E25542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数据备份恢复</w:t>
            </w:r>
          </w:p>
        </w:tc>
        <w:tc>
          <w:p w14:paraId="2FA7B4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备份与可恢复</w:t>
            </w:r>
          </w:p>
        </w:tc>
        <w:tc>
          <w:p w14:paraId="0D00D16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定期备份、异地/异盘存放、定期恢复演练</w:t>
            </w:r>
          </w:p>
        </w:tc>
      </w:tr>
      <w:tr w14:paraId="0B962C87">
        <w:tc>
          <w:p w14:paraId="72EB089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个人信息保护</w:t>
            </w:r>
          </w:p>
        </w:tc>
        <w:tc>
          <w:p w14:paraId="49F3A4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采集使用合规</w:t>
            </w:r>
          </w:p>
        </w:tc>
        <w:tc>
          <w:p w14:paraId="5498D8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最小必要、明示同意、脱敏、合规删除</w:t>
            </w:r>
          </w:p>
        </w:tc>
      </w:tr>
      <w:tr w14:paraId="685DB712">
        <w:tc>
          <w:p w14:paraId="7E684A4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安全管理制度</w:t>
            </w:r>
          </w:p>
        </w:tc>
        <w:tc>
          <w:p w14:paraId="677AE77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制度健全并执行</w:t>
            </w:r>
          </w:p>
        </w:tc>
        <w:tc>
          <w:p w14:paraId="78D68A2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九类安全制度并配套检查监督机制</w:t>
            </w:r>
          </w:p>
        </w:tc>
      </w:tr>
      <w:tr w14:paraId="7354BAD3">
        <w:tc>
          <w:p w14:paraId="158BDA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安全运维管理</w:t>
            </w:r>
          </w:p>
        </w:tc>
        <w:tc>
          <w:p w14:paraId="28A8D99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变更/漏洞/应急管理</w:t>
            </w:r>
          </w:p>
        </w:tc>
        <w:tc>
          <w:p w14:paraId="411061A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变更审批、漏洞闭环、应急预案与演练</w:t>
            </w:r>
          </w:p>
        </w:tc>
      </w:tr>
    </w:tbl>
    <w:p w14:paraId="3175B37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我方承诺配合甲方完成二级等保测评，测评发现问题无条件闭环整改，未通过等保二级测评前不申请最终验收。</w:t>
      </w:r>
    </w:p>
    <w:bookmarkEnd w:id="182"/>
    <w:bookmarkEnd w:id="189"/>
    <w:p w14:paraId="2003B2B5">
      <w:pPr>
        <w:pStyle w:val="4"/>
        <w:rPr>
          <w:color w:val="000000" w:themeColor="text1"/>
          <w14:textFill>
            <w14:solidFill>
              <w14:schemeClr w14:val="tx1"/>
            </w14:solidFill>
          </w14:textFill>
        </w:rPr>
      </w:pPr>
      <w:bookmarkStart w:id="190" w:name="个人信息与密码应用专项设计"/>
      <w:r>
        <w:rPr>
          <w:color w:val="000000" w:themeColor="text1"/>
          <w14:textFill>
            <w14:solidFill>
              <w14:schemeClr w14:val="tx1"/>
            </w14:solidFill>
          </w14:textFill>
        </w:rPr>
        <w:t xml:space="preserve">4.7 </w:t>
      </w:r>
      <w:r>
        <w:rPr>
          <w:rFonts w:hint="eastAsia"/>
          <w:color w:val="000000" w:themeColor="text1"/>
          <w14:textFill>
            <w14:solidFill>
              <w14:schemeClr w14:val="tx1"/>
            </w14:solidFill>
          </w14:textFill>
        </w:rPr>
        <w:t>个人信息与密码应用专项设计</w:t>
      </w:r>
    </w:p>
    <w:p w14:paraId="5190E5A7">
      <w:pPr>
        <w:pStyle w:val="5"/>
        <w:rPr>
          <w:color w:val="000000" w:themeColor="text1"/>
          <w14:textFill>
            <w14:solidFill>
              <w14:schemeClr w14:val="tx1"/>
            </w14:solidFill>
          </w14:textFill>
        </w:rPr>
      </w:pPr>
      <w:bookmarkStart w:id="191" w:name="个人信息保护专项"/>
      <w:r>
        <w:rPr>
          <w:color w:val="000000" w:themeColor="text1"/>
          <w14:textFill>
            <w14:solidFill>
              <w14:schemeClr w14:val="tx1"/>
            </w14:solidFill>
          </w14:textFill>
        </w:rPr>
        <w:t xml:space="preserve">4.7.1 </w:t>
      </w:r>
      <w:r>
        <w:rPr>
          <w:rFonts w:hint="eastAsia"/>
          <w:color w:val="000000" w:themeColor="text1"/>
          <w14:textFill>
            <w14:solidFill>
              <w14:schemeClr w14:val="tx1"/>
            </w14:solidFill>
          </w14:textFill>
        </w:rPr>
        <w:t>个人信息保护专项</w:t>
      </w:r>
    </w:p>
    <w:p w14:paraId="3D654C50">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最小必要</w:t>
      </w:r>
      <w:r>
        <w:rPr>
          <w:rFonts w:hint="eastAsia"/>
          <w:color w:val="000000" w:themeColor="text1"/>
          <w14:textFill>
            <w14:solidFill>
              <w14:schemeClr w14:val="tx1"/>
            </w14:solidFill>
          </w14:textFill>
        </w:rPr>
        <w:t>：仅采集业务必需的个人信息；</w:t>
      </w:r>
    </w:p>
    <w:p w14:paraId="174F548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明示同意</w:t>
      </w:r>
      <w:r>
        <w:rPr>
          <w:rFonts w:hint="eastAsia"/>
          <w:color w:val="000000" w:themeColor="text1"/>
          <w14:textFill>
            <w14:solidFill>
              <w14:schemeClr w14:val="tx1"/>
            </w14:solidFill>
          </w14:textFill>
        </w:rPr>
        <w:t>：采集人脸、身份等敏感信息前明示并获取同意；</w:t>
      </w:r>
    </w:p>
    <w:p w14:paraId="3E53195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加密与脱敏</w:t>
      </w:r>
      <w:r>
        <w:rPr>
          <w:rFonts w:hint="eastAsia"/>
          <w:color w:val="000000" w:themeColor="text1"/>
          <w14:textFill>
            <w14:solidFill>
              <w14:schemeClr w14:val="tx1"/>
            </w14:solidFill>
          </w14:textFill>
        </w:rPr>
        <w:t>：敏感信息加密存储、展示脱敏；</w:t>
      </w:r>
    </w:p>
    <w:p w14:paraId="673766B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权限最小</w:t>
      </w:r>
      <w:r>
        <w:rPr>
          <w:rFonts w:hint="eastAsia"/>
          <w:color w:val="000000" w:themeColor="text1"/>
          <w14:textFill>
            <w14:solidFill>
              <w14:schemeClr w14:val="tx1"/>
            </w14:solidFill>
          </w14:textFill>
        </w:rPr>
        <w:t>：个人信息访问最小授权、访问留痕；</w:t>
      </w:r>
    </w:p>
    <w:p w14:paraId="27E6500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合规删除</w:t>
      </w:r>
      <w:r>
        <w:rPr>
          <w:rFonts w:hint="eastAsia"/>
          <w:color w:val="000000" w:themeColor="text1"/>
          <w14:textFill>
            <w14:solidFill>
              <w14:schemeClr w14:val="tx1"/>
            </w14:solidFill>
          </w14:textFill>
        </w:rPr>
        <w:t>：按规定处理个人信息的保存与删除，遵循</w:t>
      </w:r>
      <w:r>
        <w:rPr>
          <w:color w:val="000000" w:themeColor="text1"/>
          <w14:textFill>
            <w14:solidFill>
              <w14:schemeClr w14:val="tx1"/>
            </w14:solidFill>
          </w14:textFill>
        </w:rPr>
        <w:t xml:space="preserve"> GB/T 35273。</w:t>
      </w:r>
    </w:p>
    <w:bookmarkEnd w:id="191"/>
    <w:p w14:paraId="4F7B9F2F">
      <w:pPr>
        <w:pStyle w:val="5"/>
        <w:rPr>
          <w:color w:val="000000" w:themeColor="text1"/>
          <w14:textFill>
            <w14:solidFill>
              <w14:schemeClr w14:val="tx1"/>
            </w14:solidFill>
          </w14:textFill>
        </w:rPr>
      </w:pPr>
      <w:bookmarkStart w:id="192" w:name="密码应用设计"/>
      <w:r>
        <w:rPr>
          <w:color w:val="000000" w:themeColor="text1"/>
          <w14:textFill>
            <w14:solidFill>
              <w14:schemeClr w14:val="tx1"/>
            </w14:solidFill>
          </w14:textFill>
        </w:rPr>
        <w:t xml:space="preserve">4.7.2 </w:t>
      </w:r>
      <w:r>
        <w:rPr>
          <w:rFonts w:hint="eastAsia"/>
          <w:color w:val="000000" w:themeColor="text1"/>
          <w14:textFill>
            <w14:solidFill>
              <w14:schemeClr w14:val="tx1"/>
            </w14:solidFill>
          </w14:textFill>
        </w:rPr>
        <w:t>密码应用设计</w:t>
      </w:r>
    </w:p>
    <w:p w14:paraId="11D862B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传输与关键存储采用合规加密算法；</w:t>
      </w:r>
    </w:p>
    <w:p w14:paraId="3E9486F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口令加盐哈希存储，不可逆；</w:t>
      </w:r>
    </w:p>
    <w:p w14:paraId="2618825B">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密钥安全管理，避免硬编码；</w:t>
      </w:r>
    </w:p>
    <w:p w14:paraId="30D796EB">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支付、签章等关键环节遵循相应密码与安全规范。</w:t>
      </w:r>
    </w:p>
    <w:bookmarkEnd w:id="192"/>
    <w:p w14:paraId="78E2CBDE">
      <w:pPr>
        <w:pStyle w:val="5"/>
        <w:rPr>
          <w:color w:val="000000" w:themeColor="text1"/>
          <w14:textFill>
            <w14:solidFill>
              <w14:schemeClr w14:val="tx1"/>
            </w14:solidFill>
          </w14:textFill>
        </w:rPr>
      </w:pPr>
      <w:bookmarkStart w:id="193" w:name="数据分级分类与保护策略"/>
      <w:r>
        <w:rPr>
          <w:color w:val="000000" w:themeColor="text1"/>
          <w14:textFill>
            <w14:solidFill>
              <w14:schemeClr w14:val="tx1"/>
            </w14:solidFill>
          </w14:textFill>
        </w:rPr>
        <w:t xml:space="preserve">4.7.3 </w:t>
      </w:r>
      <w:r>
        <w:rPr>
          <w:rFonts w:hint="eastAsia"/>
          <w:color w:val="000000" w:themeColor="text1"/>
          <w14:textFill>
            <w14:solidFill>
              <w14:schemeClr w14:val="tx1"/>
            </w14:solidFill>
          </w14:textFill>
        </w:rPr>
        <w:t>数据分级分类与保护策略</w:t>
      </w:r>
    </w:p>
    <w:p w14:paraId="585E23B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对系统数据按敏感程度分级，差异化施加保护，做到”该严的严、该省的省”，兼顾安全与效率：</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1D0F2A9">
        <w:trPr>
          <w:tblHeader/>
        </w:trPr>
        <w:tc>
          <w:p w14:paraId="524212A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数据级别</w:t>
            </w:r>
          </w:p>
        </w:tc>
        <w:tc>
          <w:p w14:paraId="3544A0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典型数据</w:t>
            </w:r>
          </w:p>
        </w:tc>
        <w:tc>
          <w:p w14:paraId="084F4CB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保护策略</w:t>
            </w:r>
          </w:p>
        </w:tc>
      </w:tr>
      <w:tr w14:paraId="794217F3">
        <w:tc>
          <w:p w14:paraId="7DD114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核心敏感</w:t>
            </w:r>
          </w:p>
        </w:tc>
        <w:tc>
          <w:p w14:paraId="401BA85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身份证号、人脸、支付/银行信息</w:t>
            </w:r>
          </w:p>
        </w:tc>
        <w:tc>
          <w:p w14:paraId="6500D73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加密存储、展示脱敏、最小授权、访问留痕、严禁导出</w:t>
            </w:r>
          </w:p>
        </w:tc>
      </w:tr>
      <w:tr w14:paraId="7EEFACC5">
        <w:tc>
          <w:p w14:paraId="6AE870E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重要业务</w:t>
            </w:r>
          </w:p>
        </w:tc>
        <w:tc>
          <w:p w14:paraId="2E15D9A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合同、账单、退款、核验记录</w:t>
            </w:r>
          </w:p>
        </w:tc>
        <w:tc>
          <w:p w14:paraId="6B0E87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权限控制、操作审计、事务保护、备份</w:t>
            </w:r>
          </w:p>
        </w:tc>
      </w:tr>
      <w:tr w14:paraId="1B2D1210">
        <w:tc>
          <w:p w14:paraId="3337795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一般业务</w:t>
            </w:r>
          </w:p>
        </w:tc>
        <w:tc>
          <w:p w14:paraId="3288768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房源、公告、活动、消息</w:t>
            </w:r>
          </w:p>
        </w:tc>
        <w:tc>
          <w:p w14:paraId="579975C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常规权限与备份</w:t>
            </w:r>
          </w:p>
        </w:tc>
      </w:tr>
      <w:tr w14:paraId="3BE58387">
        <w:tc>
          <w:p w14:paraId="6C84D9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公开数据</w:t>
            </w:r>
          </w:p>
        </w:tc>
        <w:tc>
          <w:p w14:paraId="0B58CCE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政策文件、对外展示内容</w:t>
            </w:r>
          </w:p>
        </w:tc>
        <w:tc>
          <w:p w14:paraId="69154D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完整性保护，防篡改</w:t>
            </w:r>
          </w:p>
        </w:tc>
      </w:tr>
    </w:tbl>
    <w:p w14:paraId="0298BDD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数据分级贯穿采集、传输、存储、使用、销毁全生命周期：采集遵循最小必要与明示同意，传输统一</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HTTPS，存储按级别加密，使用按级别授权并留痕，销毁按规定合规处理。个人信息处理全过程符合</w:t>
      </w:r>
      <w:r>
        <w:rPr>
          <w:color w:val="000000" w:themeColor="text1"/>
          <w14:textFill>
            <w14:solidFill>
              <w14:schemeClr w14:val="tx1"/>
            </w14:solidFill>
          </w14:textFill>
        </w:rPr>
        <w:t xml:space="preserve"> GB/T 35273 </w:t>
      </w:r>
      <w:r>
        <w:rPr>
          <w:rFonts w:hint="eastAsia"/>
          <w:color w:val="000000" w:themeColor="text1"/>
          <w14:textFill>
            <w14:solidFill>
              <w14:schemeClr w14:val="tx1"/>
            </w14:solidFill>
          </w14:textFill>
        </w:rPr>
        <w:t>要求。</w:t>
      </w:r>
    </w:p>
    <w:bookmarkEnd w:id="190"/>
    <w:bookmarkEnd w:id="193"/>
    <w:p w14:paraId="2BD52D31">
      <w:pPr>
        <w:pStyle w:val="4"/>
        <w:rPr>
          <w:color w:val="000000" w:themeColor="text1"/>
          <w14:textFill>
            <w14:solidFill>
              <w14:schemeClr w14:val="tx1"/>
            </w14:solidFill>
          </w14:textFill>
        </w:rPr>
      </w:pPr>
      <w:bookmarkStart w:id="194" w:name="安全测试与验证"/>
      <w:r>
        <w:rPr>
          <w:color w:val="000000" w:themeColor="text1"/>
          <w14:textFill>
            <w14:solidFill>
              <w14:schemeClr w14:val="tx1"/>
            </w14:solidFill>
          </w14:textFill>
        </w:rPr>
        <w:t xml:space="preserve">4.8 </w:t>
      </w:r>
      <w:r>
        <w:rPr>
          <w:rFonts w:hint="eastAsia"/>
          <w:color w:val="000000" w:themeColor="text1"/>
          <w14:textFill>
            <w14:solidFill>
              <w14:schemeClr w14:val="tx1"/>
            </w14:solidFill>
          </w14:textFill>
        </w:rPr>
        <w:t>安全测试与验证</w:t>
      </w:r>
    </w:p>
    <w:p w14:paraId="40A1C1F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上线前开展安全测试（漏洞扫描、渗透测试、配置基线核查、权限与越权测试、敏感信息泄露检查），形成安全测试报告并闭环整改；运维期定期复测，保证系统持续满足安全要求并通过等保测评。</w:t>
      </w:r>
    </w:p>
    <w:p w14:paraId="560FDE6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安全测试内容清单</w:t>
      </w:r>
      <w:r>
        <w:rPr>
          <w:rFonts w:hint="eastAsia"/>
          <w:color w:val="000000" w:themeColor="text1"/>
          <w14:textFill>
            <w14:solidFill>
              <w14:schemeClr w14:val="tx1"/>
            </w14:solidFill>
          </w14:textFill>
        </w:rPr>
        <w:t>：</w:t>
      </w:r>
    </w:p>
    <w:tbl>
      <w:tblPr>
        <w:tblStyle w:val="41"/>
        <w:tblW w:w="0" w:type="auto"/>
        <w:tblInd w:w="0" w:type="dxa"/>
        <w:tblLayout w:type="autofit"/>
        <w:tblCellMar>
          <w:top w:w="0" w:type="dxa"/>
          <w:left w:w="108" w:type="dxa"/>
          <w:bottom w:w="0" w:type="dxa"/>
          <w:right w:w="108" w:type="dxa"/>
        </w:tblCellMar>
      </w:tblPr>
      <w:tblGrid>
        <w:gridCol w:w="1176"/>
        <w:gridCol w:w="3336"/>
        <w:gridCol w:w="2856"/>
      </w:tblGrid>
      <w:tr w14:paraId="10459E0B">
        <w:trPr>
          <w:tblHeader/>
        </w:trPr>
        <w:tc>
          <w:p w14:paraId="50312BE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测试项</w:t>
            </w:r>
          </w:p>
        </w:tc>
        <w:tc>
          <w:p w14:paraId="4842D4F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测试内容</w:t>
            </w:r>
          </w:p>
        </w:tc>
        <w:tc>
          <w:p w14:paraId="2496F99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通过标准</w:t>
            </w:r>
          </w:p>
        </w:tc>
      </w:tr>
      <w:tr w14:paraId="7B9C0E90">
        <w:tc>
          <w:p w14:paraId="584EE44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漏洞扫描</w:t>
            </w:r>
          </w:p>
        </w:tc>
        <w:tc>
          <w:p w14:paraId="66217F1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应用/主机/中间件/数据库扫描</w:t>
            </w:r>
          </w:p>
        </w:tc>
        <w:tc>
          <w:p w14:paraId="30ED8E6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高危漏洞清零、中危受控</w:t>
            </w:r>
          </w:p>
        </w:tc>
      </w:tr>
      <w:tr w14:paraId="77F3FDCB">
        <w:tc>
          <w:p w14:paraId="7277341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渗透测试</w:t>
            </w:r>
          </w:p>
        </w:tc>
        <w:tc>
          <w:p w14:paraId="02FE740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模拟真实攻击验证防护</w:t>
            </w:r>
          </w:p>
        </w:tc>
        <w:tc>
          <w:p w14:paraId="3D8B236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无可利用的高危路径</w:t>
            </w:r>
          </w:p>
        </w:tc>
      </w:tr>
      <w:tr w14:paraId="08A52F9F">
        <w:tc>
          <w:p w14:paraId="5385C5B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越权测试</w:t>
            </w:r>
          </w:p>
        </w:tc>
        <w:tc>
          <w:p w14:paraId="103D0FD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水平/垂直越权</w:t>
            </w:r>
          </w:p>
        </w:tc>
        <w:tc>
          <w:p w14:paraId="0D27C4A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无越权访问</w:t>
            </w:r>
          </w:p>
        </w:tc>
      </w:tr>
      <w:tr w14:paraId="43B0A5F1">
        <w:tc>
          <w:p w14:paraId="142B288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敏感信息</w:t>
            </w:r>
          </w:p>
        </w:tc>
        <w:tc>
          <w:p w14:paraId="2DB87B4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传输/存储/日志泄露检查</w:t>
            </w:r>
          </w:p>
        </w:tc>
        <w:tc>
          <w:p w14:paraId="15132D4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无明文敏感信息泄露</w:t>
            </w:r>
          </w:p>
        </w:tc>
      </w:tr>
      <w:tr w14:paraId="0E607FCC">
        <w:tc>
          <w:p w14:paraId="3CD3E0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基线核查</w:t>
            </w:r>
          </w:p>
        </w:tc>
        <w:tc>
          <w:p w14:paraId="6701AD2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系统/库/中间件基线</w:t>
            </w:r>
          </w:p>
        </w:tc>
        <w:tc>
          <w:p w14:paraId="6B88B85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符合安全基线</w:t>
            </w:r>
          </w:p>
        </w:tc>
      </w:tr>
      <w:tr w14:paraId="560D9182">
        <w:tc>
          <w:p w14:paraId="5AF194A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认证会话</w:t>
            </w:r>
          </w:p>
        </w:tc>
        <w:tc>
          <w:p w14:paraId="535E94E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登录/令牌/会话安全</w:t>
            </w:r>
          </w:p>
        </w:tc>
        <w:tc>
          <w:p w14:paraId="62DD097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无绕过与固定会话</w:t>
            </w:r>
          </w:p>
        </w:tc>
      </w:tr>
      <w:bookmarkEnd w:id="194"/>
    </w:tbl>
    <w:p w14:paraId="5152FF8C">
      <w:pPr>
        <w:pStyle w:val="4"/>
        <w:rPr>
          <w:color w:val="000000" w:themeColor="text1"/>
          <w14:textFill>
            <w14:solidFill>
              <w14:schemeClr w14:val="tx1"/>
            </w14:solidFill>
          </w14:textFill>
        </w:rPr>
      </w:pPr>
      <w:bookmarkStart w:id="195" w:name="日常安全运营与安全事件分级报告"/>
      <w:r>
        <w:rPr>
          <w:color w:val="000000" w:themeColor="text1"/>
          <w14:textFill>
            <w14:solidFill>
              <w14:schemeClr w14:val="tx1"/>
            </w14:solidFill>
          </w14:textFill>
        </w:rPr>
        <w:t xml:space="preserve">4.9 </w:t>
      </w:r>
      <w:r>
        <w:rPr>
          <w:rFonts w:hint="eastAsia"/>
          <w:color w:val="000000" w:themeColor="text1"/>
          <w14:textFill>
            <w14:solidFill>
              <w14:schemeClr w14:val="tx1"/>
            </w14:solidFill>
          </w14:textFill>
        </w:rPr>
        <w:t>日常安全运营与安全事件分级报告</w:t>
      </w:r>
    </w:p>
    <w:p w14:paraId="33742F3B">
      <w:pPr>
        <w:pStyle w:val="5"/>
        <w:rPr>
          <w:color w:val="000000" w:themeColor="text1"/>
          <w14:textFill>
            <w14:solidFill>
              <w14:schemeClr w14:val="tx1"/>
            </w14:solidFill>
          </w14:textFill>
        </w:rPr>
      </w:pPr>
      <w:bookmarkStart w:id="196" w:name="日常安全运营"/>
      <w:r>
        <w:rPr>
          <w:color w:val="000000" w:themeColor="text1"/>
          <w14:textFill>
            <w14:solidFill>
              <w14:schemeClr w14:val="tx1"/>
            </w14:solidFill>
          </w14:textFill>
        </w:rPr>
        <w:t xml:space="preserve">4.9.1 </w:t>
      </w:r>
      <w:r>
        <w:rPr>
          <w:rFonts w:hint="eastAsia"/>
          <w:color w:val="000000" w:themeColor="text1"/>
          <w14:textFill>
            <w14:solidFill>
              <w14:schemeClr w14:val="tx1"/>
            </w14:solidFill>
          </w14:textFill>
        </w:rPr>
        <w:t>日常安全运营</w:t>
      </w:r>
    </w:p>
    <w:p w14:paraId="76FCD29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安全监控与告警</w:t>
      </w:r>
      <w:r>
        <w:rPr>
          <w:color w:val="000000" w:themeColor="text1"/>
          <w14:textFill>
            <w14:solidFill>
              <w14:schemeClr w14:val="tx1"/>
            </w14:solidFill>
          </w14:textFill>
        </w:rPr>
        <w:t xml:space="preserve"> 7×24 </w:t>
      </w:r>
      <w:r>
        <w:rPr>
          <w:rFonts w:hint="eastAsia"/>
          <w:color w:val="000000" w:themeColor="text1"/>
          <w14:textFill>
            <w14:solidFill>
              <w14:schemeClr w14:val="tx1"/>
            </w14:solidFill>
          </w14:textFill>
        </w:rPr>
        <w:t>值守；</w:t>
      </w:r>
    </w:p>
    <w:p w14:paraId="780D97C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定期漏洞扫描、日志审计、基线核查；</w:t>
      </w:r>
    </w:p>
    <w:p w14:paraId="71C2EDAA">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安全补丁与病毒库定期更新；</w:t>
      </w:r>
    </w:p>
    <w:p w14:paraId="1DDAEF56">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安全事件登记与复盘持续改进。</w:t>
      </w:r>
    </w:p>
    <w:bookmarkEnd w:id="196"/>
    <w:p w14:paraId="6857C8CF">
      <w:pPr>
        <w:pStyle w:val="5"/>
        <w:rPr>
          <w:color w:val="000000" w:themeColor="text1"/>
          <w14:textFill>
            <w14:solidFill>
              <w14:schemeClr w14:val="tx1"/>
            </w14:solidFill>
          </w14:textFill>
        </w:rPr>
      </w:pPr>
      <w:bookmarkStart w:id="197" w:name="安全事件分级与报告时限"/>
      <w:r>
        <w:rPr>
          <w:color w:val="000000" w:themeColor="text1"/>
          <w14:textFill>
            <w14:solidFill>
              <w14:schemeClr w14:val="tx1"/>
            </w14:solidFill>
          </w14:textFill>
        </w:rPr>
        <w:t xml:space="preserve">4.9.2 </w:t>
      </w:r>
      <w:r>
        <w:rPr>
          <w:rFonts w:hint="eastAsia"/>
          <w:color w:val="000000" w:themeColor="text1"/>
          <w14:textFill>
            <w14:solidFill>
              <w14:schemeClr w14:val="tx1"/>
            </w14:solidFill>
          </w14:textFill>
        </w:rPr>
        <w:t>安全事件分级与报告时限</w:t>
      </w:r>
    </w:p>
    <w:p w14:paraId="76F637D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安全事件按影响程度分级（特别重大/重大/较大/一般），按预案在规定时限内逐级报告与处置，重大及以上事件第一时间响应、报告甲方并启动应急，事后复盘整改，防止再次发生。</w:t>
      </w:r>
    </w:p>
    <w:bookmarkEnd w:id="197"/>
    <w:p w14:paraId="5518FED8">
      <w:pPr>
        <w:pStyle w:val="5"/>
        <w:rPr>
          <w:color w:val="000000" w:themeColor="text1"/>
          <w14:textFill>
            <w14:solidFill>
              <w14:schemeClr w14:val="tx1"/>
            </w14:solidFill>
          </w14:textFill>
        </w:rPr>
      </w:pPr>
      <w:bookmarkStart w:id="198" w:name="安全应急分场景处置预案"/>
      <w:r>
        <w:rPr>
          <w:color w:val="000000" w:themeColor="text1"/>
          <w14:textFill>
            <w14:solidFill>
              <w14:schemeClr w14:val="tx1"/>
            </w14:solidFill>
          </w14:textFill>
        </w:rPr>
        <w:t xml:space="preserve">4.9.3 </w:t>
      </w:r>
      <w:r>
        <w:rPr>
          <w:rFonts w:hint="eastAsia"/>
          <w:color w:val="000000" w:themeColor="text1"/>
          <w14:textFill>
            <w14:solidFill>
              <w14:schemeClr w14:val="tx1"/>
            </w14:solidFill>
          </w14:textFill>
        </w:rPr>
        <w:t>安全应急分场景处置预案</w:t>
      </w:r>
    </w:p>
    <w:p w14:paraId="55828C7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针对典型安全事件场景，预置处置预案，做到”事发有章可循、处置有条不紊”：</w:t>
      </w:r>
    </w:p>
    <w:tbl>
      <w:tblPr>
        <w:tblStyle w:val="41"/>
        <w:tblW w:w="5000" w:type="pct"/>
        <w:tblInd w:w="0" w:type="dxa"/>
        <w:tblLayout w:type="fixed"/>
        <w:tblCellMar>
          <w:top w:w="0" w:type="dxa"/>
          <w:left w:w="108" w:type="dxa"/>
          <w:bottom w:w="0" w:type="dxa"/>
          <w:right w:w="108" w:type="dxa"/>
        </w:tblCellMar>
      </w:tblPr>
      <w:tblGrid>
        <w:gridCol w:w="1925"/>
        <w:gridCol w:w="3466"/>
        <w:gridCol w:w="3466"/>
      </w:tblGrid>
      <w:tr w14:paraId="6E66173E">
        <w:trPr>
          <w:tblHeader/>
        </w:trPr>
        <w:tc>
          <w:p w14:paraId="7F8CDA6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场景</w:t>
            </w:r>
          </w:p>
        </w:tc>
        <w:tc>
          <w:p w14:paraId="0B57D2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首要处置</w:t>
            </w:r>
          </w:p>
        </w:tc>
        <w:tc>
          <w:p w14:paraId="42B39E9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后续处置</w:t>
            </w:r>
          </w:p>
        </w:tc>
      </w:tr>
      <w:tr w14:paraId="4C6D41A9">
        <w:tc>
          <w:p w14:paraId="3217CFE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数据疑似泄露</w:t>
            </w:r>
          </w:p>
        </w:tc>
        <w:tc>
          <w:p w14:paraId="65D1420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隔离受影响系统、冻结相关账号</w:t>
            </w:r>
          </w:p>
        </w:tc>
        <w:tc>
          <w:p w14:paraId="061773A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溯源定级、报告甲方、评估影响、整改加固</w:t>
            </w:r>
          </w:p>
        </w:tc>
      </w:tr>
      <w:tr w14:paraId="70FC9DCF">
        <w:tc>
          <w:p w14:paraId="2A6FA9B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遭受网络攻击</w:t>
            </w:r>
          </w:p>
        </w:tc>
        <w:tc>
          <w:p w14:paraId="1F0FD32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边界拦截、限流、封禁异常来源</w:t>
            </w:r>
          </w:p>
        </w:tc>
        <w:tc>
          <w:p w14:paraId="058D6B0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分析攻击路径、修复漏洞、加固防护</w:t>
            </w:r>
          </w:p>
        </w:tc>
      </w:tr>
      <w:tr w14:paraId="3BCFB47B">
        <w:tc>
          <w:p w14:paraId="0E14A0F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发现高危漏洞</w:t>
            </w:r>
          </w:p>
        </w:tc>
        <w:tc>
          <w:p w14:paraId="2E03CC5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评估暴露面、临时缓解</w:t>
            </w:r>
          </w:p>
        </w:tc>
        <w:tc>
          <w:p w14:paraId="3550F49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打补丁/升级、复扫验证、闭环记录</w:t>
            </w:r>
          </w:p>
        </w:tc>
      </w:tr>
      <w:tr w14:paraId="4E6DCD9E">
        <w:tc>
          <w:p w14:paraId="036425A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病毒/恶意文件</w:t>
            </w:r>
          </w:p>
        </w:tc>
        <w:tc>
          <w:p w14:paraId="7A87933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隔离清除、阻断传播</w:t>
            </w:r>
          </w:p>
        </w:tc>
        <w:tc>
          <w:p w14:paraId="449A36F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全盘扫描、来源排查、防护升级</w:t>
            </w:r>
          </w:p>
        </w:tc>
      </w:tr>
      <w:tr w14:paraId="7E7BC20C">
        <w:tc>
          <w:p w14:paraId="008C073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账号异常/越权</w:t>
            </w:r>
          </w:p>
        </w:tc>
        <w:tc>
          <w:p w14:paraId="5D4D820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强制下线、回收权限</w:t>
            </w:r>
          </w:p>
        </w:tc>
        <w:tc>
          <w:p w14:paraId="4A67AD6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审计溯源、修复权限缺陷</w:t>
            </w:r>
          </w:p>
        </w:tc>
      </w:tr>
      <w:tr w14:paraId="46694094">
        <w:tc>
          <w:p w14:paraId="5EABD91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系统被篡改</w:t>
            </w:r>
          </w:p>
        </w:tc>
        <w:tc>
          <w:p w14:paraId="6313FD6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下线止损、切换备份</w:t>
            </w:r>
          </w:p>
        </w:tc>
        <w:tc>
          <w:p w14:paraId="66E4332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恢复可信版本、溯源、加固</w:t>
            </w:r>
          </w:p>
        </w:tc>
      </w:tr>
    </w:tbl>
    <w:p w14:paraId="5468618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所有安全事件登记建档、复盘改进，重大及以上事件按报告时限上报甲方与相关主管部门。</w:t>
      </w:r>
    </w:p>
    <w:bookmarkEnd w:id="198"/>
    <w:p w14:paraId="291BB672">
      <w:pPr>
        <w:pStyle w:val="5"/>
        <w:rPr>
          <w:color w:val="000000" w:themeColor="text1"/>
          <w14:textFill>
            <w14:solidFill>
              <w14:schemeClr w14:val="tx1"/>
            </w14:solidFill>
          </w14:textFill>
        </w:rPr>
      </w:pPr>
      <w:bookmarkStart w:id="199" w:name="安全管理组织与责任矩阵"/>
      <w:r>
        <w:rPr>
          <w:color w:val="000000" w:themeColor="text1"/>
          <w14:textFill>
            <w14:solidFill>
              <w14:schemeClr w14:val="tx1"/>
            </w14:solidFill>
          </w14:textFill>
        </w:rPr>
        <w:t xml:space="preserve">4.9.4 </w:t>
      </w:r>
      <w:r>
        <w:rPr>
          <w:rFonts w:hint="eastAsia"/>
          <w:color w:val="000000" w:themeColor="text1"/>
          <w14:textFill>
            <w14:solidFill>
              <w14:schemeClr w14:val="tx1"/>
            </w14:solidFill>
          </w14:textFill>
        </w:rPr>
        <w:t>安全管理组织与责任矩阵</w:t>
      </w:r>
    </w:p>
    <w:p w14:paraId="232DFAC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安全管理”技管结合、责任到人”，明确各角色安全职责：</w:t>
      </w:r>
    </w:p>
    <w:tbl>
      <w:tblPr>
        <w:tblStyle w:val="41"/>
        <w:tblW w:w="0" w:type="auto"/>
        <w:tblInd w:w="0" w:type="dxa"/>
        <w:tblLayout w:type="autofit"/>
        <w:tblCellMar>
          <w:top w:w="0" w:type="dxa"/>
          <w:left w:w="108" w:type="dxa"/>
          <w:bottom w:w="0" w:type="dxa"/>
          <w:right w:w="108" w:type="dxa"/>
        </w:tblCellMar>
      </w:tblPr>
      <w:tblGrid>
        <w:gridCol w:w="3336"/>
        <w:gridCol w:w="5016"/>
      </w:tblGrid>
      <w:tr w14:paraId="7663CC92">
        <w:trPr>
          <w:tblHeader/>
        </w:trPr>
        <w:tc>
          <w:p w14:paraId="5BEE68A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角色</w:t>
            </w:r>
          </w:p>
        </w:tc>
        <w:tc>
          <w:p w14:paraId="1EEA0B3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安全职责</w:t>
            </w:r>
          </w:p>
        </w:tc>
      </w:tr>
      <w:tr w14:paraId="54CD2A90">
        <w:tc>
          <w:p w14:paraId="06B30D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安全第一责任人（项目经理）</w:t>
            </w:r>
          </w:p>
        </w:tc>
        <w:tc>
          <w:p w14:paraId="128CCFD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统筹安全管理、资源保障、重大事件决策</w:t>
            </w:r>
          </w:p>
        </w:tc>
      </w:tr>
      <w:tr w14:paraId="27395ED8">
        <w:tc>
          <w:p w14:paraId="17C6797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开发人员</w:t>
            </w:r>
          </w:p>
        </w:tc>
        <w:tc>
          <w:p w14:paraId="211F0A6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安全编码、漏洞修复、配合安全评审</w:t>
            </w:r>
          </w:p>
        </w:tc>
      </w:tr>
      <w:tr w14:paraId="29E6E913">
        <w:tc>
          <w:p w14:paraId="768DE16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测试人员</w:t>
            </w:r>
          </w:p>
        </w:tc>
        <w:tc>
          <w:p w14:paraId="07D2727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安全测试、越权/渗透验证、缺陷跟踪</w:t>
            </w:r>
          </w:p>
        </w:tc>
      </w:tr>
      <w:tr w14:paraId="09C3DD95">
        <w:tc>
          <w:p w14:paraId="367C475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实施运维人员</w:t>
            </w:r>
          </w:p>
        </w:tc>
        <w:tc>
          <w:p w14:paraId="64D49A5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基线加固、监控值守、补丁更新、应急处置</w:t>
            </w:r>
          </w:p>
        </w:tc>
      </w:tr>
      <w:tr w14:paraId="556691BA">
        <w:tc>
          <w:p w14:paraId="46FEBBA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全体成员</w:t>
            </w:r>
          </w:p>
        </w:tc>
        <w:tc>
          <w:p w14:paraId="3F2CEF1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遵守安全制度、参加安全培训、报告安全隐患</w:t>
            </w:r>
          </w:p>
        </w:tc>
      </w:tr>
    </w:tbl>
    <w:p w14:paraId="4FE703A1">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安全职责纳入项目考核，责任可追溯，确保安全要求落到实处而非停留纸面。</w:t>
      </w:r>
    </w:p>
    <w:p w14:paraId="30F88226">
      <w:pPr>
        <w:rPr>
          <w:color w:val="000000" w:themeColor="text1"/>
          <w14:textFill>
            <w14:solidFill>
              <w14:schemeClr w14:val="tx1"/>
            </w14:solidFill>
          </w14:textFill>
        </w:rPr>
      </w:pPr>
      <w:r>
        <w:rPr>
          <w:color w:val="000000" w:themeColor="text1"/>
          <w14:textFill>
            <w14:solidFill>
              <w14:schemeClr w14:val="tx1"/>
            </w14:solidFill>
          </w14:textFill>
        </w:rPr>
        <w:br w:type="page"/>
      </w:r>
    </w:p>
    <w:bookmarkEnd w:id="158"/>
    <w:bookmarkEnd w:id="195"/>
    <w:bookmarkEnd w:id="199"/>
    <w:p w14:paraId="0BAE8571">
      <w:pPr>
        <w:pStyle w:val="2"/>
        <w:rPr>
          <w:color w:val="000000" w:themeColor="text1"/>
          <w14:textFill>
            <w14:solidFill>
              <w14:schemeClr w14:val="tx1"/>
            </w14:solidFill>
          </w14:textFill>
        </w:rPr>
      </w:pPr>
      <w:bookmarkStart w:id="200" w:name="第五章-系统运维管理"/>
      <w:r>
        <w:rPr>
          <w:rFonts w:hint="eastAsia"/>
          <w:color w:val="000000" w:themeColor="text1"/>
          <w14:textFill>
            <w14:solidFill>
              <w14:schemeClr w14:val="tx1"/>
            </w14:solidFill>
          </w14:textFill>
        </w:rPr>
        <w:t>第五章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系统运维管理</w:t>
      </w:r>
    </w:p>
    <w:p w14:paraId="29225BA3">
      <w:pPr>
        <w:pStyle w:val="4"/>
        <w:rPr>
          <w:color w:val="000000" w:themeColor="text1"/>
          <w14:textFill>
            <w14:solidFill>
              <w14:schemeClr w14:val="tx1"/>
            </w14:solidFill>
          </w14:textFill>
        </w:rPr>
      </w:pPr>
      <w:bookmarkStart w:id="201" w:name="运维管理总体框架"/>
      <w:r>
        <w:rPr>
          <w:color w:val="000000" w:themeColor="text1"/>
          <w14:textFill>
            <w14:solidFill>
              <w14:schemeClr w14:val="tx1"/>
            </w14:solidFill>
          </w14:textFill>
        </w:rPr>
        <w:t xml:space="preserve">5.1 </w:t>
      </w:r>
      <w:r>
        <w:rPr>
          <w:rFonts w:hint="eastAsia"/>
          <w:color w:val="000000" w:themeColor="text1"/>
          <w14:textFill>
            <w14:solidFill>
              <w14:schemeClr w14:val="tx1"/>
            </w14:solidFill>
          </w14:textFill>
        </w:rPr>
        <w:t>运维管理总体框架</w:t>
      </w:r>
    </w:p>
    <w:p w14:paraId="1451ED7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本项目提供六年免费运维服务（自最终验收合格之日起），运维管理总体框架为”</w:t>
      </w:r>
      <w:r>
        <w:rPr>
          <w:rFonts w:hint="eastAsia"/>
          <w:b/>
          <w:bCs/>
          <w:color w:val="000000" w:themeColor="text1"/>
          <w14:textFill>
            <w14:solidFill>
              <w14:schemeClr w14:val="tx1"/>
            </w14:solidFill>
          </w14:textFill>
        </w:rPr>
        <w:t>一支驻场队伍、一套运维制度、一组监控工具、一条响应链路</w:t>
      </w:r>
      <w:r>
        <w:rPr>
          <w:rFonts w:hint="eastAsia"/>
          <w:color w:val="000000" w:themeColor="text1"/>
          <w14:textFill>
            <w14:solidFill>
              <w14:schemeClr w14:val="tx1"/>
            </w14:solidFill>
          </w14:textFill>
        </w:rPr>
        <w:t>”，覆盖招标运维要求的全部子项：系统部署升级、运维制度、运维技术工具、服务响应、运维范围、指标考核、日常维护、故障应急处置、系统及软件运行保障、人员配置、数据备份。</w:t>
      </w:r>
    </w:p>
    <w:p w14:paraId="5F470CD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运维硬性约束：故障响应时限</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紧急10分钟、一般2小时</w:t>
      </w:r>
      <w:r>
        <w:rPr>
          <w:rFonts w:hint="eastAsia"/>
          <w:color w:val="000000" w:themeColor="text1"/>
          <w14:textFill>
            <w14:solidFill>
              <w14:schemeClr w14:val="tx1"/>
            </w14:solidFill>
          </w14:textFill>
        </w:rPr>
        <w:t>；远程服务</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7×24小时</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响应（热线电话、网络支持、邮件报送）；驻场按甲方考勤，</w:t>
      </w:r>
      <w:r>
        <w:rPr>
          <w:rFonts w:hint="eastAsia"/>
          <w:b/>
          <w:bCs/>
          <w:color w:val="000000" w:themeColor="text1"/>
          <w14:textFill>
            <w14:solidFill>
              <w14:schemeClr w14:val="tx1"/>
            </w14:solidFill>
          </w14:textFill>
        </w:rPr>
        <w:t>周运维报送、月度运维报告（每月末前2个工作日报送）</w:t>
      </w:r>
      <w:r>
        <w:rPr>
          <w:rFonts w:hint="eastAsia"/>
          <w:color w:val="000000" w:themeColor="text1"/>
          <w14:textFill>
            <w14:solidFill>
              <w14:schemeClr w14:val="tx1"/>
            </w14:solidFill>
          </w14:textFill>
        </w:rPr>
        <w:t>、故障处理记录台账。本章各项均以此为准。</w:t>
      </w:r>
    </w:p>
    <w:bookmarkEnd w:id="201"/>
    <w:p w14:paraId="5633F564">
      <w:pPr>
        <w:pStyle w:val="4"/>
        <w:rPr>
          <w:color w:val="000000" w:themeColor="text1"/>
          <w14:textFill>
            <w14:solidFill>
              <w14:schemeClr w14:val="tx1"/>
            </w14:solidFill>
          </w14:textFill>
        </w:rPr>
      </w:pPr>
      <w:bookmarkStart w:id="202" w:name="系统部署升级"/>
      <w:r>
        <w:rPr>
          <w:color w:val="000000" w:themeColor="text1"/>
          <w14:textFill>
            <w14:solidFill>
              <w14:schemeClr w14:val="tx1"/>
            </w14:solidFill>
          </w14:textFill>
        </w:rPr>
        <w:t xml:space="preserve">5.2 </w:t>
      </w:r>
      <w:r>
        <w:rPr>
          <w:rFonts w:hint="eastAsia"/>
          <w:color w:val="000000" w:themeColor="text1"/>
          <w14:textFill>
            <w14:solidFill>
              <w14:schemeClr w14:val="tx1"/>
            </w14:solidFill>
          </w14:textFill>
        </w:rPr>
        <w:t>系统部署升级</w:t>
      </w:r>
    </w:p>
    <w:p w14:paraId="41BCDE14">
      <w:pPr>
        <w:pStyle w:val="5"/>
        <w:rPr>
          <w:color w:val="000000" w:themeColor="text1"/>
          <w14:textFill>
            <w14:solidFill>
              <w14:schemeClr w14:val="tx1"/>
            </w14:solidFill>
          </w14:textFill>
        </w:rPr>
      </w:pPr>
      <w:bookmarkStart w:id="203" w:name="发布流程细化"/>
      <w:r>
        <w:rPr>
          <w:color w:val="000000" w:themeColor="text1"/>
          <w14:textFill>
            <w14:solidFill>
              <w14:schemeClr w14:val="tx1"/>
            </w14:solidFill>
          </w14:textFill>
        </w:rPr>
        <w:t xml:space="preserve">5.2.1 </w:t>
      </w:r>
      <w:r>
        <w:rPr>
          <w:rFonts w:hint="eastAsia"/>
          <w:color w:val="000000" w:themeColor="text1"/>
          <w14:textFill>
            <w14:solidFill>
              <w14:schemeClr w14:val="tx1"/>
            </w14:solidFill>
          </w14:textFill>
        </w:rPr>
        <w:t>发布流程细化</w:t>
      </w:r>
    </w:p>
    <w:p w14:paraId="4013CFC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系统升级发布遵循标准化流程，保证”升级不中断业务、可验证、可回滚”：</w:t>
      </w:r>
    </w:p>
    <w:p w14:paraId="4438AA53">
      <w:pPr>
        <w:pStyle w:val="24"/>
        <w:numPr>
          <w:ilvl w:val="0"/>
          <w:numId w:val="16"/>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需求确认</w:t>
      </w:r>
      <w:r>
        <w:rPr>
          <w:rFonts w:hint="eastAsia"/>
          <w:color w:val="000000" w:themeColor="text1"/>
          <w14:textFill>
            <w14:solidFill>
              <w14:schemeClr w14:val="tx1"/>
            </w14:solidFill>
          </w14:textFill>
        </w:rPr>
        <w:t>：明确升级内容与影响范围，报甲方审批；</w:t>
      </w:r>
    </w:p>
    <w:p w14:paraId="22D98FB0">
      <w:pPr>
        <w:pStyle w:val="24"/>
        <w:numPr>
          <w:ilvl w:val="0"/>
          <w:numId w:val="16"/>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测试验证</w:t>
      </w:r>
      <w:r>
        <w:rPr>
          <w:rFonts w:hint="eastAsia"/>
          <w:color w:val="000000" w:themeColor="text1"/>
          <w14:textFill>
            <w14:solidFill>
              <w14:schemeClr w14:val="tx1"/>
            </w14:solidFill>
          </w14:textFill>
        </w:rPr>
        <w:t>：在测试环境完成功能与回归测试、安全检查；</w:t>
      </w:r>
    </w:p>
    <w:p w14:paraId="302CCCCE">
      <w:pPr>
        <w:pStyle w:val="24"/>
        <w:numPr>
          <w:ilvl w:val="0"/>
          <w:numId w:val="16"/>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发布准备</w:t>
      </w:r>
      <w:r>
        <w:rPr>
          <w:rFonts w:hint="eastAsia"/>
          <w:color w:val="000000" w:themeColor="text1"/>
          <w14:textFill>
            <w14:solidFill>
              <w14:schemeClr w14:val="tx1"/>
            </w14:solidFill>
          </w14:textFill>
        </w:rPr>
        <w:t>：准备发布包、部署脚本、数据库变更脚本与回滚预案；</w:t>
      </w:r>
    </w:p>
    <w:p w14:paraId="12AFEB01">
      <w:pPr>
        <w:pStyle w:val="24"/>
        <w:numPr>
          <w:ilvl w:val="0"/>
          <w:numId w:val="16"/>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窗口发布</w:t>
      </w:r>
      <w:r>
        <w:rPr>
          <w:rFonts w:hint="eastAsia"/>
          <w:color w:val="000000" w:themeColor="text1"/>
          <w14:textFill>
            <w14:solidFill>
              <w14:schemeClr w14:val="tx1"/>
            </w14:solidFill>
          </w14:textFill>
        </w:rPr>
        <w:t>：选择业务低峰窗口发布，必要时灰度；</w:t>
      </w:r>
    </w:p>
    <w:p w14:paraId="5E2788B4">
      <w:pPr>
        <w:pStyle w:val="24"/>
        <w:numPr>
          <w:ilvl w:val="0"/>
          <w:numId w:val="16"/>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发布验证</w:t>
      </w:r>
      <w:r>
        <w:rPr>
          <w:rFonts w:hint="eastAsia"/>
          <w:color w:val="000000" w:themeColor="text1"/>
          <w14:textFill>
            <w14:solidFill>
              <w14:schemeClr w14:val="tx1"/>
            </w14:solidFill>
          </w14:textFill>
        </w:rPr>
        <w:t>：按验证清单核验关键功能与关键交易；</w:t>
      </w:r>
    </w:p>
    <w:p w14:paraId="4F9ED998">
      <w:pPr>
        <w:pStyle w:val="24"/>
        <w:numPr>
          <w:ilvl w:val="0"/>
          <w:numId w:val="16"/>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回滚机制</w:t>
      </w:r>
      <w:r>
        <w:rPr>
          <w:rFonts w:hint="eastAsia"/>
          <w:color w:val="000000" w:themeColor="text1"/>
          <w14:textFill>
            <w14:solidFill>
              <w14:schemeClr w14:val="tx1"/>
            </w14:solidFill>
          </w14:textFill>
        </w:rPr>
        <w:t>：验证不通过立即回滚，保证系统可用；</w:t>
      </w:r>
    </w:p>
    <w:p w14:paraId="37819820">
      <w:pPr>
        <w:pStyle w:val="24"/>
        <w:numPr>
          <w:ilvl w:val="0"/>
          <w:numId w:val="16"/>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记录归档</w:t>
      </w:r>
      <w:r>
        <w:rPr>
          <w:rFonts w:hint="eastAsia"/>
          <w:color w:val="000000" w:themeColor="text1"/>
          <w14:textFill>
            <w14:solidFill>
              <w14:schemeClr w14:val="tx1"/>
            </w14:solidFill>
          </w14:textFill>
        </w:rPr>
        <w:t>：发布过程与结果记录归档。</w:t>
      </w:r>
    </w:p>
    <w:bookmarkEnd w:id="203"/>
    <w:p w14:paraId="40A68100">
      <w:pPr>
        <w:pStyle w:val="5"/>
        <w:rPr>
          <w:color w:val="000000" w:themeColor="text1"/>
          <w14:textFill>
            <w14:solidFill>
              <w14:schemeClr w14:val="tx1"/>
            </w14:solidFill>
          </w14:textFill>
        </w:rPr>
      </w:pPr>
      <w:bookmarkStart w:id="204" w:name="发布验证清单模板"/>
      <w:r>
        <w:rPr>
          <w:color w:val="000000" w:themeColor="text1"/>
          <w14:textFill>
            <w14:solidFill>
              <w14:schemeClr w14:val="tx1"/>
            </w14:solidFill>
          </w14:textFill>
        </w:rPr>
        <w:t xml:space="preserve">5.2.2 </w:t>
      </w:r>
      <w:r>
        <w:rPr>
          <w:rFonts w:hint="eastAsia"/>
          <w:color w:val="000000" w:themeColor="text1"/>
          <w14:textFill>
            <w14:solidFill>
              <w14:schemeClr w14:val="tx1"/>
            </w14:solidFill>
          </w14:textFill>
        </w:rPr>
        <w:t>发布验证清单（模板）</w:t>
      </w:r>
    </w:p>
    <w:tbl>
      <w:tblPr>
        <w:tblStyle w:val="41"/>
        <w:tblW w:w="0" w:type="auto"/>
        <w:tblInd w:w="0" w:type="dxa"/>
        <w:tblLayout w:type="autofit"/>
        <w:tblCellMar>
          <w:top w:w="0" w:type="dxa"/>
          <w:left w:w="108" w:type="dxa"/>
          <w:bottom w:w="0" w:type="dxa"/>
          <w:right w:w="108" w:type="dxa"/>
        </w:tblCellMar>
      </w:tblPr>
      <w:tblGrid>
        <w:gridCol w:w="696"/>
        <w:gridCol w:w="3816"/>
        <w:gridCol w:w="2856"/>
      </w:tblGrid>
      <w:tr w14:paraId="66F8A0D0">
        <w:trPr>
          <w:tblHeader/>
        </w:trPr>
        <w:tc>
          <w:p w14:paraId="7FD8144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16712F8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验证项</w:t>
            </w:r>
          </w:p>
        </w:tc>
        <w:tc>
          <w:p w14:paraId="7483123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通过标准</w:t>
            </w:r>
          </w:p>
        </w:tc>
      </w:tr>
      <w:tr w14:paraId="0A09EA2B">
        <w:tc>
          <w:p w14:paraId="206EB04A">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1</w:t>
            </w:r>
          </w:p>
        </w:tc>
        <w:tc>
          <w:p w14:paraId="71099EF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服务启动与健康检查</w:t>
            </w:r>
          </w:p>
        </w:tc>
        <w:tc>
          <w:p w14:paraId="24BB20D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全部实例正常</w:t>
            </w:r>
          </w:p>
        </w:tc>
      </w:tr>
      <w:tr w14:paraId="390EC415">
        <w:tc>
          <w:p w14:paraId="7AF4D2CB">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2</w:t>
            </w:r>
          </w:p>
        </w:tc>
        <w:tc>
          <w:p w14:paraId="56AE0EF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登录与鉴权</w:t>
            </w:r>
          </w:p>
        </w:tc>
        <w:tc>
          <w:p w14:paraId="2A3B86E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四端可正常登录</w:t>
            </w:r>
          </w:p>
        </w:tc>
      </w:tr>
      <w:tr w14:paraId="523530CE">
        <w:tc>
          <w:p w14:paraId="475DF11D">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3</w:t>
            </w:r>
          </w:p>
        </w:tc>
        <w:tc>
          <w:p w14:paraId="37CAE26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核心业务（选房/签约/缴费/退租）</w:t>
            </w:r>
          </w:p>
        </w:tc>
        <w:tc>
          <w:p w14:paraId="5481E77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关键流程可走通</w:t>
            </w:r>
          </w:p>
        </w:tc>
      </w:tr>
      <w:tr w14:paraId="354C80B3">
        <w:tc>
          <w:p w14:paraId="026A8449">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4</w:t>
            </w:r>
          </w:p>
        </w:tc>
        <w:tc>
          <w:p w14:paraId="6BB2C24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支付与回调</w:t>
            </w:r>
          </w:p>
        </w:tc>
        <w:tc>
          <w:p w14:paraId="5CBEA64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下单/回调/对账正常</w:t>
            </w:r>
          </w:p>
        </w:tc>
      </w:tr>
      <w:tr w14:paraId="678223F5">
        <w:tc>
          <w:p w14:paraId="29FD302D">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5</w:t>
            </w:r>
          </w:p>
        </w:tc>
        <w:tc>
          <w:p w14:paraId="57201C3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政务核验</w:t>
            </w:r>
          </w:p>
        </w:tc>
        <w:tc>
          <w:p w14:paraId="22C9C32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核验接口连通、容错正常</w:t>
            </w:r>
          </w:p>
        </w:tc>
      </w:tr>
      <w:tr w14:paraId="367FE9B8">
        <w:tc>
          <w:p w14:paraId="63511B07">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6</w:t>
            </w:r>
          </w:p>
        </w:tc>
        <w:tc>
          <w:p w14:paraId="26A2ED6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数据一致性</w:t>
            </w:r>
          </w:p>
        </w:tc>
        <w:tc>
          <w:p w14:paraId="4962D33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关键数据无异常</w:t>
            </w:r>
          </w:p>
        </w:tc>
      </w:tr>
      <w:tr w14:paraId="723D8CF5">
        <w:tc>
          <w:p w14:paraId="580B0B11">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7</w:t>
            </w:r>
          </w:p>
        </w:tc>
        <w:tc>
          <w:p w14:paraId="3925348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监控与日志</w:t>
            </w:r>
          </w:p>
        </w:tc>
        <w:tc>
          <w:p w14:paraId="6AA1789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监控采集、日志输出正常</w:t>
            </w:r>
          </w:p>
        </w:tc>
      </w:tr>
      <w:bookmarkEnd w:id="202"/>
      <w:bookmarkEnd w:id="204"/>
    </w:tbl>
    <w:p w14:paraId="37FEA9F9">
      <w:pPr>
        <w:pStyle w:val="4"/>
        <w:rPr>
          <w:color w:val="000000" w:themeColor="text1"/>
          <w14:textFill>
            <w14:solidFill>
              <w14:schemeClr w14:val="tx1"/>
            </w14:solidFill>
          </w14:textFill>
        </w:rPr>
      </w:pPr>
      <w:bookmarkStart w:id="205" w:name="运维制度"/>
      <w:r>
        <w:rPr>
          <w:color w:val="000000" w:themeColor="text1"/>
          <w14:textFill>
            <w14:solidFill>
              <w14:schemeClr w14:val="tx1"/>
            </w14:solidFill>
          </w14:textFill>
        </w:rPr>
        <w:t xml:space="preserve">5.3 </w:t>
      </w:r>
      <w:r>
        <w:rPr>
          <w:rFonts w:hint="eastAsia"/>
          <w:color w:val="000000" w:themeColor="text1"/>
          <w14:textFill>
            <w14:solidFill>
              <w14:schemeClr w14:val="tx1"/>
            </w14:solidFill>
          </w14:textFill>
        </w:rPr>
        <w:t>运维制度</w:t>
      </w:r>
    </w:p>
    <w:p w14:paraId="1C21EE5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建立并执行以下运维制度，保证运维工作规范有序：</w:t>
      </w:r>
    </w:p>
    <w:p w14:paraId="730EC8DE">
      <w:pPr>
        <w:pStyle w:val="5"/>
        <w:rPr>
          <w:color w:val="000000" w:themeColor="text1"/>
          <w14:textFill>
            <w14:solidFill>
              <w14:schemeClr w14:val="tx1"/>
            </w14:solidFill>
          </w14:textFill>
        </w:rPr>
      </w:pPr>
      <w:bookmarkStart w:id="206" w:name="值班制度"/>
      <w:r>
        <w:rPr>
          <w:color w:val="000000" w:themeColor="text1"/>
          <w14:textFill>
            <w14:solidFill>
              <w14:schemeClr w14:val="tx1"/>
            </w14:solidFill>
          </w14:textFill>
        </w:rPr>
        <w:t xml:space="preserve">5.3.1 </w:t>
      </w:r>
      <w:r>
        <w:rPr>
          <w:rFonts w:hint="eastAsia"/>
          <w:color w:val="000000" w:themeColor="text1"/>
          <w14:textFill>
            <w14:solidFill>
              <w14:schemeClr w14:val="tx1"/>
            </w14:solidFill>
          </w14:textFill>
        </w:rPr>
        <w:t>值班制度</w:t>
      </w:r>
    </w:p>
    <w:p w14:paraId="79C1577D">
      <w:pPr>
        <w:pStyle w:val="23"/>
        <w:rPr>
          <w:color w:val="000000" w:themeColor="text1"/>
          <w14:textFill>
            <w14:solidFill>
              <w14:schemeClr w14:val="tx1"/>
            </w14:solidFill>
          </w14:textFill>
        </w:rPr>
      </w:pPr>
      <w:r>
        <w:rPr>
          <w:color w:val="000000" w:themeColor="text1"/>
          <w14:textFill>
            <w14:solidFill>
              <w14:schemeClr w14:val="tx1"/>
            </w14:solidFill>
          </w14:textFill>
        </w:rPr>
        <w:t xml:space="preserve">7×24 </w:t>
      </w:r>
      <w:r>
        <w:rPr>
          <w:rFonts w:hint="eastAsia"/>
          <w:color w:val="000000" w:themeColor="text1"/>
          <w14:textFill>
            <w14:solidFill>
              <w14:schemeClr w14:val="tx1"/>
            </w14:solidFill>
          </w14:textFill>
        </w:rPr>
        <w:t>值班安排，明确值班人员、职责与交接要求，热线电话畅通，保证任何时段有人响应。</w:t>
      </w:r>
    </w:p>
    <w:bookmarkEnd w:id="206"/>
    <w:p w14:paraId="1E380A50">
      <w:pPr>
        <w:pStyle w:val="5"/>
        <w:rPr>
          <w:color w:val="000000" w:themeColor="text1"/>
          <w14:textFill>
            <w14:solidFill>
              <w14:schemeClr w14:val="tx1"/>
            </w14:solidFill>
          </w14:textFill>
        </w:rPr>
      </w:pPr>
      <w:bookmarkStart w:id="207" w:name="巡检制度"/>
      <w:r>
        <w:rPr>
          <w:color w:val="000000" w:themeColor="text1"/>
          <w14:textFill>
            <w14:solidFill>
              <w14:schemeClr w14:val="tx1"/>
            </w14:solidFill>
          </w14:textFill>
        </w:rPr>
        <w:t xml:space="preserve">5.3.2 </w:t>
      </w:r>
      <w:r>
        <w:rPr>
          <w:rFonts w:hint="eastAsia"/>
          <w:color w:val="000000" w:themeColor="text1"/>
          <w14:textFill>
            <w14:solidFill>
              <w14:schemeClr w14:val="tx1"/>
            </w14:solidFill>
          </w14:textFill>
        </w:rPr>
        <w:t>巡检制度</w:t>
      </w:r>
    </w:p>
    <w:p w14:paraId="6953EA8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每日巡检系统运行状态（服务、数据库、缓存、磁盘、接口、备份），记录巡检结果，发现隐患及时处置。</w:t>
      </w:r>
    </w:p>
    <w:bookmarkEnd w:id="207"/>
    <w:p w14:paraId="05E6BB3C">
      <w:pPr>
        <w:pStyle w:val="5"/>
        <w:rPr>
          <w:color w:val="000000" w:themeColor="text1"/>
          <w14:textFill>
            <w14:solidFill>
              <w14:schemeClr w14:val="tx1"/>
            </w14:solidFill>
          </w14:textFill>
        </w:rPr>
      </w:pPr>
      <w:bookmarkStart w:id="208" w:name="故障管理制度"/>
      <w:r>
        <w:rPr>
          <w:color w:val="000000" w:themeColor="text1"/>
          <w14:textFill>
            <w14:solidFill>
              <w14:schemeClr w14:val="tx1"/>
            </w14:solidFill>
          </w14:textFill>
        </w:rPr>
        <w:t xml:space="preserve">5.3.3 </w:t>
      </w:r>
      <w:r>
        <w:rPr>
          <w:rFonts w:hint="eastAsia"/>
          <w:color w:val="000000" w:themeColor="text1"/>
          <w14:textFill>
            <w14:solidFill>
              <w14:schemeClr w14:val="tx1"/>
            </w14:solidFill>
          </w14:textFill>
        </w:rPr>
        <w:t>故障管理制度</w:t>
      </w:r>
    </w:p>
    <w:p w14:paraId="03AD96D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故障”发现—登记—响应—处置—恢复—复盘”闭环管理，按级别在规定时限响应，形成故障处理记录台账。</w:t>
      </w:r>
    </w:p>
    <w:bookmarkEnd w:id="208"/>
    <w:p w14:paraId="7F0B228C">
      <w:pPr>
        <w:pStyle w:val="5"/>
        <w:rPr>
          <w:color w:val="000000" w:themeColor="text1"/>
          <w14:textFill>
            <w14:solidFill>
              <w14:schemeClr w14:val="tx1"/>
            </w14:solidFill>
          </w14:textFill>
        </w:rPr>
      </w:pPr>
      <w:bookmarkStart w:id="209" w:name="备份制度"/>
      <w:r>
        <w:rPr>
          <w:color w:val="000000" w:themeColor="text1"/>
          <w14:textFill>
            <w14:solidFill>
              <w14:schemeClr w14:val="tx1"/>
            </w14:solidFill>
          </w14:textFill>
        </w:rPr>
        <w:t xml:space="preserve">5.3.4 </w:t>
      </w:r>
      <w:r>
        <w:rPr>
          <w:rFonts w:hint="eastAsia"/>
          <w:color w:val="000000" w:themeColor="text1"/>
          <w14:textFill>
            <w14:solidFill>
              <w14:schemeClr w14:val="tx1"/>
            </w14:solidFill>
          </w14:textFill>
        </w:rPr>
        <w:t>备份制度</w:t>
      </w:r>
    </w:p>
    <w:p w14:paraId="2424D32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按备份策略执行数据与配置备份，定期校验备份可用性并开展恢复演练。</w:t>
      </w:r>
    </w:p>
    <w:bookmarkEnd w:id="209"/>
    <w:p w14:paraId="797D4772">
      <w:pPr>
        <w:pStyle w:val="5"/>
        <w:rPr>
          <w:color w:val="000000" w:themeColor="text1"/>
          <w14:textFill>
            <w14:solidFill>
              <w14:schemeClr w14:val="tx1"/>
            </w14:solidFill>
          </w14:textFill>
        </w:rPr>
      </w:pPr>
      <w:bookmarkStart w:id="210" w:name="报送制度"/>
      <w:r>
        <w:rPr>
          <w:color w:val="000000" w:themeColor="text1"/>
          <w14:textFill>
            <w14:solidFill>
              <w14:schemeClr w14:val="tx1"/>
            </w14:solidFill>
          </w14:textFill>
        </w:rPr>
        <w:t xml:space="preserve">5.3.5 </w:t>
      </w:r>
      <w:r>
        <w:rPr>
          <w:rFonts w:hint="eastAsia"/>
          <w:color w:val="000000" w:themeColor="text1"/>
          <w14:textFill>
            <w14:solidFill>
              <w14:schemeClr w14:val="tx1"/>
            </w14:solidFill>
          </w14:textFill>
        </w:rPr>
        <w:t>报送制度</w:t>
      </w:r>
    </w:p>
    <w:p w14:paraId="0199CFF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周运维报送、月度运维报告（每月末前2个工作日报送），重大事项即时报送甲方。</w:t>
      </w:r>
    </w:p>
    <w:bookmarkEnd w:id="210"/>
    <w:p w14:paraId="361AABAA">
      <w:pPr>
        <w:pStyle w:val="5"/>
        <w:rPr>
          <w:color w:val="000000" w:themeColor="text1"/>
          <w14:textFill>
            <w14:solidFill>
              <w14:schemeClr w14:val="tx1"/>
            </w14:solidFill>
          </w14:textFill>
        </w:rPr>
      </w:pPr>
      <w:bookmarkStart w:id="211" w:name="交接班制度"/>
      <w:r>
        <w:rPr>
          <w:color w:val="000000" w:themeColor="text1"/>
          <w14:textFill>
            <w14:solidFill>
              <w14:schemeClr w14:val="tx1"/>
            </w14:solidFill>
          </w14:textFill>
        </w:rPr>
        <w:t xml:space="preserve">5.3.6 </w:t>
      </w:r>
      <w:r>
        <w:rPr>
          <w:rFonts w:hint="eastAsia"/>
          <w:color w:val="000000" w:themeColor="text1"/>
          <w14:textFill>
            <w14:solidFill>
              <w14:schemeClr w14:val="tx1"/>
            </w14:solidFill>
          </w14:textFill>
        </w:rPr>
        <w:t>交接班制度</w:t>
      </w:r>
    </w:p>
    <w:p w14:paraId="1E43FF2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值班交接明确未完成事项、风险与注意点，保证运维连续。</w:t>
      </w:r>
    </w:p>
    <w:bookmarkEnd w:id="205"/>
    <w:bookmarkEnd w:id="211"/>
    <w:p w14:paraId="6C1B73C8">
      <w:pPr>
        <w:pStyle w:val="4"/>
        <w:rPr>
          <w:color w:val="000000" w:themeColor="text1"/>
          <w14:textFill>
            <w14:solidFill>
              <w14:schemeClr w14:val="tx1"/>
            </w14:solidFill>
          </w14:textFill>
        </w:rPr>
      </w:pPr>
      <w:bookmarkStart w:id="212" w:name="运维技术工具"/>
      <w:r>
        <w:rPr>
          <w:color w:val="000000" w:themeColor="text1"/>
          <w14:textFill>
            <w14:solidFill>
              <w14:schemeClr w14:val="tx1"/>
            </w14:solidFill>
          </w14:textFill>
        </w:rPr>
        <w:t xml:space="preserve">5.4 </w:t>
      </w:r>
      <w:r>
        <w:rPr>
          <w:rFonts w:hint="eastAsia"/>
          <w:color w:val="000000" w:themeColor="text1"/>
          <w14:textFill>
            <w14:solidFill>
              <w14:schemeClr w14:val="tx1"/>
            </w14:solidFill>
          </w14:textFill>
        </w:rPr>
        <w:t>运维技术工具</w:t>
      </w:r>
    </w:p>
    <w:p w14:paraId="5E3E8605">
      <w:pPr>
        <w:pStyle w:val="5"/>
        <w:rPr>
          <w:color w:val="000000" w:themeColor="text1"/>
          <w14:textFill>
            <w14:solidFill>
              <w14:schemeClr w14:val="tx1"/>
            </w14:solidFill>
          </w14:textFill>
        </w:rPr>
      </w:pPr>
      <w:bookmarkStart w:id="213" w:name="监控工具与指标"/>
      <w:r>
        <w:rPr>
          <w:color w:val="000000" w:themeColor="text1"/>
          <w14:textFill>
            <w14:solidFill>
              <w14:schemeClr w14:val="tx1"/>
            </w14:solidFill>
          </w14:textFill>
        </w:rPr>
        <w:t xml:space="preserve">5.4.1 </w:t>
      </w:r>
      <w:r>
        <w:rPr>
          <w:rFonts w:hint="eastAsia"/>
          <w:color w:val="000000" w:themeColor="text1"/>
          <w14:textFill>
            <w14:solidFill>
              <w14:schemeClr w14:val="tx1"/>
            </w14:solidFill>
          </w14:textFill>
        </w:rPr>
        <w:t>监控工具与指标</w:t>
      </w:r>
    </w:p>
    <w:p w14:paraId="4111C6B2">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部署系统监控工具，对以下指标监控并设置告警阈值：</w:t>
      </w:r>
    </w:p>
    <w:tbl>
      <w:tblPr>
        <w:tblStyle w:val="41"/>
        <w:tblW w:w="0" w:type="auto"/>
        <w:tblInd w:w="0" w:type="dxa"/>
        <w:tblLayout w:type="autofit"/>
        <w:tblCellMar>
          <w:top w:w="0" w:type="dxa"/>
          <w:left w:w="108" w:type="dxa"/>
          <w:bottom w:w="0" w:type="dxa"/>
          <w:right w:w="108" w:type="dxa"/>
        </w:tblCellMar>
      </w:tblPr>
      <w:tblGrid>
        <w:gridCol w:w="1256"/>
        <w:gridCol w:w="3096"/>
        <w:gridCol w:w="2798"/>
      </w:tblGrid>
      <w:tr w14:paraId="6BB7541F">
        <w:trPr>
          <w:tblHeader/>
        </w:trPr>
        <w:tc>
          <w:p w14:paraId="4B7C396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监控对象</w:t>
            </w:r>
          </w:p>
        </w:tc>
        <w:tc>
          <w:p w14:paraId="551BC18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关键指标</w:t>
            </w:r>
          </w:p>
        </w:tc>
        <w:tc>
          <w:p w14:paraId="35B928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告警阈值（示例）</w:t>
            </w:r>
          </w:p>
        </w:tc>
      </w:tr>
      <w:tr w14:paraId="12F90CFC">
        <w:tc>
          <w:p w14:paraId="22BCA1D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应用服务</w:t>
            </w:r>
          </w:p>
        </w:tc>
        <w:tc>
          <w:p w14:paraId="54A9DCF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可用性、响应时间、错误率</w:t>
            </w:r>
          </w:p>
        </w:tc>
        <w:tc>
          <w:p w14:paraId="5A6CD9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错误率&gt;1%、响应&gt;阈值</w:t>
            </w:r>
          </w:p>
        </w:tc>
      </w:tr>
      <w:tr w14:paraId="22F4BDCE">
        <w:tc>
          <w:p w14:paraId="0895803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主机资源</w:t>
            </w:r>
          </w:p>
        </w:tc>
        <w:tc>
          <w:p w14:paraId="63D383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CPU、内存、磁盘、网络</w:t>
            </w:r>
          </w:p>
        </w:tc>
        <w:tc>
          <w:p w14:paraId="6D0CA8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使用率&gt;85%</w:t>
            </w:r>
          </w:p>
        </w:tc>
      </w:tr>
      <w:tr w14:paraId="4517F1F7">
        <w:tc>
          <w:p w14:paraId="726F01F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数据库</w:t>
            </w:r>
          </w:p>
        </w:tc>
        <w:tc>
          <w:p w14:paraId="74410C2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连接数、慢查询、主备延迟</w:t>
            </w:r>
          </w:p>
        </w:tc>
        <w:tc>
          <w:p w14:paraId="66FE78B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慢查询突增、延迟&gt;阈值</w:t>
            </w:r>
          </w:p>
        </w:tc>
      </w:tr>
      <w:tr w14:paraId="7A43453F">
        <w:tc>
          <w:p w14:paraId="69D1088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缓存</w:t>
            </w:r>
          </w:p>
        </w:tc>
        <w:tc>
          <w:p w14:paraId="3509AB7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命中率、内存、连接</w:t>
            </w:r>
          </w:p>
        </w:tc>
        <w:tc>
          <w:p w14:paraId="70FC8FE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命中率骤降、内存超限</w:t>
            </w:r>
          </w:p>
        </w:tc>
      </w:tr>
      <w:tr w14:paraId="0003F17D">
        <w:tc>
          <w:p w14:paraId="30E811F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接口对接</w:t>
            </w:r>
          </w:p>
        </w:tc>
        <w:tc>
          <w:p w14:paraId="56EE9D6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成功率、耗时</w:t>
            </w:r>
          </w:p>
        </w:tc>
        <w:tc>
          <w:p w14:paraId="36DAA9E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成功率&lt;阈值</w:t>
            </w:r>
          </w:p>
        </w:tc>
      </w:tr>
      <w:tr w14:paraId="7477FAAE">
        <w:tc>
          <w:p w14:paraId="4F953F0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支付/核验</w:t>
            </w:r>
          </w:p>
        </w:tc>
        <w:tc>
          <w:p w14:paraId="030E2CE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交易成功率、回调延迟</w:t>
            </w:r>
          </w:p>
        </w:tc>
        <w:tc>
          <w:p w14:paraId="2BF73AA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成功率下降告警</w:t>
            </w:r>
          </w:p>
        </w:tc>
      </w:tr>
    </w:tbl>
    <w:p w14:paraId="4FC1107D">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544195"/>
            <wp:effectExtent l="0" t="0" r="0" b="0"/>
            <wp:docPr id="288" name="Picture" descr="图5-1 监控体系分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descr="图5-1 监控体系分层图"/>
                    <pic:cNvPicPr>
                      <a:picLocks noChangeAspect="1" noChangeArrowheads="1"/>
                    </pic:cNvPicPr>
                  </pic:nvPicPr>
                  <pic:blipFill>
                    <a:blip r:embed="rId24"/>
                    <a:stretch>
                      <a:fillRect/>
                    </a:stretch>
                  </pic:blipFill>
                  <pic:spPr>
                    <a:xfrm>
                      <a:off x="0" y="0"/>
                      <a:ext cx="5334000" cy="544285"/>
                    </a:xfrm>
                    <a:prstGeom prst="rect">
                      <a:avLst/>
                    </a:prstGeom>
                    <a:noFill/>
                    <a:ln w="9525">
                      <a:noFill/>
                    </a:ln>
                  </pic:spPr>
                </pic:pic>
              </a:graphicData>
            </a:graphic>
          </wp:inline>
        </w:drawing>
      </w:r>
    </w:p>
    <w:p w14:paraId="16E461C7">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图5-1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监控体系分层图</w:t>
      </w:r>
    </w:p>
    <w:p w14:paraId="13D7D85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图5-1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监控体系分层图</w:t>
      </w:r>
    </w:p>
    <w:bookmarkEnd w:id="213"/>
    <w:p w14:paraId="73A4E839">
      <w:pPr>
        <w:pStyle w:val="5"/>
        <w:rPr>
          <w:color w:val="000000" w:themeColor="text1"/>
          <w14:textFill>
            <w14:solidFill>
              <w14:schemeClr w14:val="tx1"/>
            </w14:solidFill>
          </w14:textFill>
        </w:rPr>
      </w:pPr>
      <w:bookmarkStart w:id="214" w:name="日志与告警工具"/>
      <w:r>
        <w:rPr>
          <w:color w:val="000000" w:themeColor="text1"/>
          <w14:textFill>
            <w14:solidFill>
              <w14:schemeClr w14:val="tx1"/>
            </w14:solidFill>
          </w14:textFill>
        </w:rPr>
        <w:t xml:space="preserve">5.4.2 </w:t>
      </w:r>
      <w:r>
        <w:rPr>
          <w:rFonts w:hint="eastAsia"/>
          <w:color w:val="000000" w:themeColor="text1"/>
          <w14:textFill>
            <w14:solidFill>
              <w14:schemeClr w14:val="tx1"/>
            </w14:solidFill>
          </w14:textFill>
        </w:rPr>
        <w:t>日志与告警工具</w:t>
      </w:r>
    </w:p>
    <w:p w14:paraId="5404288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统一日志采集与检索，关键异常触发多渠道告警（短信/电话/邮件），保证故障第一时间被发现。</w:t>
      </w:r>
    </w:p>
    <w:bookmarkEnd w:id="214"/>
    <w:p w14:paraId="56A8D0F7">
      <w:pPr>
        <w:pStyle w:val="5"/>
        <w:rPr>
          <w:color w:val="000000" w:themeColor="text1"/>
          <w14:textFill>
            <w14:solidFill>
              <w14:schemeClr w14:val="tx1"/>
            </w14:solidFill>
          </w14:textFill>
        </w:rPr>
      </w:pPr>
      <w:bookmarkStart w:id="215" w:name="运维工具清单"/>
      <w:r>
        <w:rPr>
          <w:color w:val="000000" w:themeColor="text1"/>
          <w14:textFill>
            <w14:solidFill>
              <w14:schemeClr w14:val="tx1"/>
            </w14:solidFill>
          </w14:textFill>
        </w:rPr>
        <w:t xml:space="preserve">5.4.3 </w:t>
      </w:r>
      <w:r>
        <w:rPr>
          <w:rFonts w:hint="eastAsia"/>
          <w:color w:val="000000" w:themeColor="text1"/>
          <w14:textFill>
            <w14:solidFill>
              <w14:schemeClr w14:val="tx1"/>
            </w14:solidFill>
          </w14:textFill>
        </w:rPr>
        <w:t>运维工具清单</w:t>
      </w:r>
    </w:p>
    <w:p w14:paraId="7A1F478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我方为本项目运维配置成熟的工具链，覆盖监控、日志、告警、发布、备份各环节，做到”看得见、管得住、动得快”：</w:t>
      </w:r>
    </w:p>
    <w:tbl>
      <w:tblPr>
        <w:tblStyle w:val="41"/>
        <w:tblW w:w="0" w:type="auto"/>
        <w:tblInd w:w="0" w:type="dxa"/>
        <w:tblLayout w:type="autofit"/>
        <w:tblCellMar>
          <w:top w:w="0" w:type="dxa"/>
          <w:left w:w="108" w:type="dxa"/>
          <w:bottom w:w="0" w:type="dxa"/>
          <w:right w:w="108" w:type="dxa"/>
        </w:tblCellMar>
      </w:tblPr>
      <w:tblGrid>
        <w:gridCol w:w="1176"/>
        <w:gridCol w:w="3576"/>
        <w:gridCol w:w="3336"/>
      </w:tblGrid>
      <w:tr w14:paraId="4D0B7C87">
        <w:trPr>
          <w:tblHeader/>
        </w:trPr>
        <w:tc>
          <w:p w14:paraId="33A638F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工具类别</w:t>
            </w:r>
          </w:p>
        </w:tc>
        <w:tc>
          <w:p w14:paraId="53C3264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用途</w:t>
            </w:r>
          </w:p>
        </w:tc>
        <w:tc>
          <w:p w14:paraId="3236E4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09AB4E15">
        <w:tc>
          <w:p w14:paraId="37EBB92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监控告警</w:t>
            </w:r>
          </w:p>
        </w:tc>
        <w:tc>
          <w:p w14:paraId="3371D5C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主机/应用/中间件/业务指标监控</w:t>
            </w:r>
          </w:p>
        </w:tc>
        <w:tc>
          <w:p w14:paraId="227D695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阈值告警、趋势分析</w:t>
            </w:r>
          </w:p>
        </w:tc>
      </w:tr>
      <w:tr w14:paraId="0E54ED80">
        <w:tc>
          <w:p w14:paraId="575DDC3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日志管理</w:t>
            </w:r>
          </w:p>
        </w:tc>
        <w:tc>
          <w:p w14:paraId="29E36F8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日志采集、检索、审计</w:t>
            </w:r>
          </w:p>
        </w:tc>
        <w:tc>
          <w:p w14:paraId="1BA25AA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集中存储、按关键字快速定位</w:t>
            </w:r>
          </w:p>
        </w:tc>
      </w:tr>
      <w:tr w14:paraId="38D2BBA4">
        <w:tc>
          <w:p w14:paraId="1029C72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发布部署</w:t>
            </w:r>
          </w:p>
        </w:tc>
        <w:tc>
          <w:p w14:paraId="15DD621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版本发布、回滚</w:t>
            </w:r>
          </w:p>
        </w:tc>
        <w:tc>
          <w:p w14:paraId="6BFEA4C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脚本化/版本化、可回退</w:t>
            </w:r>
          </w:p>
        </w:tc>
      </w:tr>
      <w:tr w14:paraId="51D97043">
        <w:tc>
          <w:p w14:paraId="0DA9AC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备份恢复</w:t>
            </w:r>
          </w:p>
        </w:tc>
        <w:tc>
          <w:p w14:paraId="5F543D1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数据/配置备份与恢复</w:t>
            </w:r>
          </w:p>
        </w:tc>
        <w:tc>
          <w:p w14:paraId="5E90CB5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定期备份、恢复演练</w:t>
            </w:r>
          </w:p>
        </w:tc>
      </w:tr>
      <w:tr w14:paraId="7776B0AF">
        <w:tc>
          <w:p w14:paraId="205969A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堡垒机</w:t>
            </w:r>
          </w:p>
        </w:tc>
        <w:tc>
          <w:p w14:paraId="28AFB3A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运维访问审计</w:t>
            </w:r>
          </w:p>
        </w:tc>
        <w:tc>
          <w:p w14:paraId="6DCEF04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特权操作留痕</w:t>
            </w:r>
          </w:p>
        </w:tc>
      </w:tr>
      <w:tr w14:paraId="087C8C0D">
        <w:tc>
          <w:p w14:paraId="36208F5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工单系统</w:t>
            </w:r>
          </w:p>
        </w:tc>
        <w:tc>
          <w:p w14:paraId="05C866F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报障/需求/进度跟踪</w:t>
            </w:r>
          </w:p>
        </w:tc>
        <w:tc>
          <w:p w14:paraId="4D23230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台账化、可追溯</w:t>
            </w:r>
          </w:p>
        </w:tc>
      </w:tr>
    </w:tbl>
    <w:p w14:paraId="39C1E7F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工具选型以”成熟稳定、低成本、易维护”为原则，优先复用甲方现有运维设施，避免重复建设与额外费用。</w:t>
      </w:r>
    </w:p>
    <w:bookmarkEnd w:id="215"/>
    <w:p w14:paraId="2DB3376E">
      <w:pPr>
        <w:pStyle w:val="5"/>
        <w:rPr>
          <w:color w:val="000000" w:themeColor="text1"/>
          <w14:textFill>
            <w14:solidFill>
              <w14:schemeClr w14:val="tx1"/>
            </w14:solidFill>
          </w14:textFill>
        </w:rPr>
      </w:pPr>
      <w:bookmarkStart w:id="216" w:name="自动化运维能力"/>
      <w:r>
        <w:rPr>
          <w:color w:val="000000" w:themeColor="text1"/>
          <w14:textFill>
            <w14:solidFill>
              <w14:schemeClr w14:val="tx1"/>
            </w14:solidFill>
          </w14:textFill>
        </w:rPr>
        <w:t xml:space="preserve">5.4.4 </w:t>
      </w:r>
      <w:r>
        <w:rPr>
          <w:rFonts w:hint="eastAsia"/>
          <w:color w:val="000000" w:themeColor="text1"/>
          <w14:textFill>
            <w14:solidFill>
              <w14:schemeClr w14:val="tx1"/>
            </w14:solidFill>
          </w14:textFill>
        </w:rPr>
        <w:t>自动化运维能力</w:t>
      </w:r>
    </w:p>
    <w:p w14:paraId="18E76BA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在常规运维之上引入适度自动化，降低人工操作风险、提升响应速度：健康检查与关键指标采集自动化、异常自动告警、备份任务定时自动执行并校验、发布与回滚脚本化。自动化范围以”稳妥可控”为界，关键变更仍保留人工审批与复核环节，避免自动化误操作放大影响。</w:t>
      </w:r>
    </w:p>
    <w:bookmarkEnd w:id="212"/>
    <w:bookmarkEnd w:id="216"/>
    <w:p w14:paraId="0C66CFBD">
      <w:pPr>
        <w:pStyle w:val="4"/>
        <w:rPr>
          <w:color w:val="000000" w:themeColor="text1"/>
          <w14:textFill>
            <w14:solidFill>
              <w14:schemeClr w14:val="tx1"/>
            </w14:solidFill>
          </w14:textFill>
        </w:rPr>
      </w:pPr>
      <w:bookmarkStart w:id="217" w:name="服务响应"/>
      <w:r>
        <w:rPr>
          <w:color w:val="000000" w:themeColor="text1"/>
          <w14:textFill>
            <w14:solidFill>
              <w14:schemeClr w14:val="tx1"/>
            </w14:solidFill>
          </w14:textFill>
        </w:rPr>
        <w:t xml:space="preserve">5.5 </w:t>
      </w:r>
      <w:r>
        <w:rPr>
          <w:rFonts w:hint="eastAsia"/>
          <w:color w:val="000000" w:themeColor="text1"/>
          <w14:textFill>
            <w14:solidFill>
              <w14:schemeClr w14:val="tx1"/>
            </w14:solidFill>
          </w14:textFill>
        </w:rPr>
        <w:t>服务响应</w:t>
      </w:r>
    </w:p>
    <w:p w14:paraId="01BB1ADC">
      <w:pPr>
        <w:pStyle w:val="5"/>
        <w:rPr>
          <w:color w:val="000000" w:themeColor="text1"/>
          <w14:textFill>
            <w14:solidFill>
              <w14:schemeClr w14:val="tx1"/>
            </w14:solidFill>
          </w14:textFill>
        </w:rPr>
      </w:pPr>
      <w:bookmarkStart w:id="218" w:name="服务响应方式"/>
      <w:r>
        <w:rPr>
          <w:color w:val="000000" w:themeColor="text1"/>
          <w14:textFill>
            <w14:solidFill>
              <w14:schemeClr w14:val="tx1"/>
            </w14:solidFill>
          </w14:textFill>
        </w:rPr>
        <w:t xml:space="preserve">5.5.1 </w:t>
      </w:r>
      <w:r>
        <w:rPr>
          <w:rFonts w:hint="eastAsia"/>
          <w:color w:val="000000" w:themeColor="text1"/>
          <w14:textFill>
            <w14:solidFill>
              <w14:schemeClr w14:val="tx1"/>
            </w14:solidFill>
          </w14:textFill>
        </w:rPr>
        <w:t>服务响应方式</w:t>
      </w:r>
    </w:p>
    <w:p w14:paraId="5D3BD1B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提供</w:t>
      </w:r>
      <w:r>
        <w:rPr>
          <w:color w:val="000000" w:themeColor="text1"/>
          <w14:textFill>
            <w14:solidFill>
              <w14:schemeClr w14:val="tx1"/>
            </w14:solidFill>
          </w14:textFill>
        </w:rPr>
        <w:t xml:space="preserve"> 7×24 </w:t>
      </w:r>
      <w:r>
        <w:rPr>
          <w:rFonts w:hint="eastAsia"/>
          <w:color w:val="000000" w:themeColor="text1"/>
          <w14:textFill>
            <w14:solidFill>
              <w14:schemeClr w14:val="tx1"/>
            </w14:solidFill>
          </w14:textFill>
        </w:rPr>
        <w:t>小时热线电话、网络支持、邮件报送三种响应方式，多渠道保证甲方可随时触达。</w:t>
      </w:r>
    </w:p>
    <w:bookmarkEnd w:id="218"/>
    <w:p w14:paraId="5547B730">
      <w:pPr>
        <w:pStyle w:val="5"/>
        <w:rPr>
          <w:color w:val="000000" w:themeColor="text1"/>
          <w14:textFill>
            <w14:solidFill>
              <w14:schemeClr w14:val="tx1"/>
            </w14:solidFill>
          </w14:textFill>
        </w:rPr>
      </w:pPr>
      <w:bookmarkStart w:id="219" w:name="工单处理流程"/>
      <w:r>
        <w:rPr>
          <w:color w:val="000000" w:themeColor="text1"/>
          <w14:textFill>
            <w14:solidFill>
              <w14:schemeClr w14:val="tx1"/>
            </w14:solidFill>
          </w14:textFill>
        </w:rPr>
        <w:t xml:space="preserve">5.5.2 </w:t>
      </w:r>
      <w:r>
        <w:rPr>
          <w:rFonts w:hint="eastAsia"/>
          <w:color w:val="000000" w:themeColor="text1"/>
          <w14:textFill>
            <w14:solidFill>
              <w14:schemeClr w14:val="tx1"/>
            </w14:solidFill>
          </w14:textFill>
        </w:rPr>
        <w:t>工单处理流程</w:t>
      </w:r>
    </w:p>
    <w:p w14:paraId="5C66F6F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报障/需求</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工单登记</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分派</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处置</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反馈</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关闭，全程台账化，处理进度与结果可查。</w:t>
      </w:r>
    </w:p>
    <w:p w14:paraId="31E49A7E">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1742420"/>
            <wp:effectExtent l="0" t="0" r="0" b="0"/>
            <wp:docPr id="297" name="Picture" descr="图5-2 故障响应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descr="图5-2 故障响应流程图"/>
                    <pic:cNvPicPr>
                      <a:picLocks noChangeAspect="1" noChangeArrowheads="1"/>
                    </pic:cNvPicPr>
                  </pic:nvPicPr>
                  <pic:blipFill>
                    <a:blip r:embed="rId27"/>
                    <a:stretch>
                      <a:fillRect/>
                    </a:stretch>
                  </pic:blipFill>
                  <pic:spPr>
                    <a:xfrm>
                      <a:off x="0" y="0"/>
                      <a:ext cx="5334000" cy="11742761"/>
                    </a:xfrm>
                    <a:prstGeom prst="rect">
                      <a:avLst/>
                    </a:prstGeom>
                    <a:noFill/>
                    <a:ln w="9525">
                      <a:noFill/>
                    </a:ln>
                  </pic:spPr>
                </pic:pic>
              </a:graphicData>
            </a:graphic>
          </wp:inline>
        </w:drawing>
      </w:r>
    </w:p>
    <w:p w14:paraId="23A74689">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图5-2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故障响应流程图</w:t>
      </w:r>
    </w:p>
    <w:p w14:paraId="5226A4C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图5-2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故障响应流程图</w:t>
      </w:r>
    </w:p>
    <w:bookmarkEnd w:id="219"/>
    <w:p w14:paraId="57413F02">
      <w:pPr>
        <w:pStyle w:val="5"/>
        <w:rPr>
          <w:color w:val="000000" w:themeColor="text1"/>
          <w14:textFill>
            <w14:solidFill>
              <w14:schemeClr w14:val="tx1"/>
            </w14:solidFill>
          </w14:textFill>
        </w:rPr>
      </w:pPr>
      <w:bookmarkStart w:id="220" w:name="故障处理记录台账模板"/>
      <w:r>
        <w:rPr>
          <w:color w:val="000000" w:themeColor="text1"/>
          <w14:textFill>
            <w14:solidFill>
              <w14:schemeClr w14:val="tx1"/>
            </w14:solidFill>
          </w14:textFill>
        </w:rPr>
        <w:t xml:space="preserve">5.5.3 </w:t>
      </w:r>
      <w:r>
        <w:rPr>
          <w:rFonts w:hint="eastAsia"/>
          <w:color w:val="000000" w:themeColor="text1"/>
          <w14:textFill>
            <w14:solidFill>
              <w14:schemeClr w14:val="tx1"/>
            </w14:solidFill>
          </w14:textFill>
        </w:rPr>
        <w:t>故障处理记录台账（模板）</w:t>
      </w:r>
    </w:p>
    <w:tbl>
      <w:tblPr>
        <w:tblStyle w:val="41"/>
        <w:tblW w:w="0" w:type="auto"/>
        <w:tblInd w:w="0" w:type="dxa"/>
        <w:tblLayout w:type="autofit"/>
        <w:tblCellMar>
          <w:top w:w="0" w:type="dxa"/>
          <w:left w:w="108" w:type="dxa"/>
          <w:bottom w:w="0" w:type="dxa"/>
          <w:right w:w="108" w:type="dxa"/>
        </w:tblCellMar>
      </w:tblPr>
      <w:tblGrid>
        <w:gridCol w:w="1736"/>
        <w:gridCol w:w="1656"/>
      </w:tblGrid>
      <w:tr w14:paraId="7AB6F91F">
        <w:trPr>
          <w:tblHeader/>
        </w:trPr>
        <w:tc>
          <w:p w14:paraId="1E6AB77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619B944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63FFE039">
        <w:tc>
          <w:p w14:paraId="2E1CBAB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工单编号</w:t>
            </w:r>
          </w:p>
        </w:tc>
        <w:tc>
          <w:p w14:paraId="3CA0E59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唯一编号</w:t>
            </w:r>
          </w:p>
        </w:tc>
      </w:tr>
      <w:tr w14:paraId="678B6182">
        <w:tc>
          <w:p w14:paraId="1E7BFF8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报障时间/来源</w:t>
            </w:r>
          </w:p>
        </w:tc>
        <w:tc>
          <w:p w14:paraId="0F2A3F6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时间与渠道</w:t>
            </w:r>
          </w:p>
        </w:tc>
      </w:tr>
      <w:tr w14:paraId="0A5E580D">
        <w:tc>
          <w:p w14:paraId="7800CEA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故障级别</w:t>
            </w:r>
          </w:p>
        </w:tc>
        <w:tc>
          <w:p w14:paraId="3ACC406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紧急/一般</w:t>
            </w:r>
          </w:p>
        </w:tc>
      </w:tr>
      <w:tr w14:paraId="7EA5A956">
        <w:tc>
          <w:p w14:paraId="690C666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现象描述</w:t>
            </w:r>
          </w:p>
        </w:tc>
        <w:tc>
          <w:p w14:paraId="52D5131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故障表现</w:t>
            </w:r>
          </w:p>
        </w:tc>
      </w:tr>
      <w:tr w14:paraId="263F8B31">
        <w:tc>
          <w:p w14:paraId="26CB318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响应时间</w:t>
            </w:r>
          </w:p>
        </w:tc>
        <w:tc>
          <w:p w14:paraId="25BBD9C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首次响应时间</w:t>
            </w:r>
          </w:p>
        </w:tc>
      </w:tr>
      <w:tr w14:paraId="51648133">
        <w:tc>
          <w:p w14:paraId="1D3D197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处置过程</w:t>
            </w:r>
          </w:p>
        </w:tc>
        <w:tc>
          <w:p w14:paraId="6DF6585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定位与处理</w:t>
            </w:r>
          </w:p>
        </w:tc>
      </w:tr>
      <w:tr w14:paraId="53D8714B">
        <w:tc>
          <w:p w14:paraId="04CA88E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恢复时间</w:t>
            </w:r>
          </w:p>
        </w:tc>
        <w:tc>
          <w:p w14:paraId="272ED3E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恢复时间</w:t>
            </w:r>
          </w:p>
        </w:tc>
      </w:tr>
      <w:tr w14:paraId="2BA319A7">
        <w:tc>
          <w:p w14:paraId="3C79336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根因与改进</w:t>
            </w:r>
          </w:p>
        </w:tc>
        <w:tc>
          <w:p w14:paraId="2F9A968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复盘结论</w:t>
            </w:r>
          </w:p>
        </w:tc>
      </w:tr>
      <w:bookmarkEnd w:id="220"/>
    </w:tbl>
    <w:p w14:paraId="770D5A6E">
      <w:pPr>
        <w:pStyle w:val="5"/>
        <w:rPr>
          <w:color w:val="000000" w:themeColor="text1"/>
          <w14:textFill>
            <w14:solidFill>
              <w14:schemeClr w14:val="tx1"/>
            </w14:solidFill>
          </w14:textFill>
        </w:rPr>
      </w:pPr>
      <w:bookmarkStart w:id="221" w:name="服务级别协议sla矩阵"/>
      <w:r>
        <w:rPr>
          <w:color w:val="000000" w:themeColor="text1"/>
          <w14:textFill>
            <w14:solidFill>
              <w14:schemeClr w14:val="tx1"/>
            </w14:solidFill>
          </w14:textFill>
        </w:rPr>
        <w:t xml:space="preserve">5.5.4 </w:t>
      </w:r>
      <w:r>
        <w:rPr>
          <w:rFonts w:hint="eastAsia"/>
          <w:color w:val="000000" w:themeColor="text1"/>
          <w14:textFill>
            <w14:solidFill>
              <w14:schemeClr w14:val="tx1"/>
            </w14:solidFill>
          </w14:textFill>
        </w:rPr>
        <w:t>服务级别协议（SLA）矩阵</w:t>
      </w:r>
    </w:p>
    <w:tbl>
      <w:tblPr>
        <w:tblStyle w:val="41"/>
        <w:tblW w:w="0" w:type="auto"/>
        <w:tblInd w:w="0" w:type="dxa"/>
        <w:tblLayout w:type="autofit"/>
        <w:tblCellMar>
          <w:top w:w="0" w:type="dxa"/>
          <w:left w:w="108" w:type="dxa"/>
          <w:bottom w:w="0" w:type="dxa"/>
          <w:right w:w="108" w:type="dxa"/>
        </w:tblCellMar>
      </w:tblPr>
      <w:tblGrid>
        <w:gridCol w:w="1256"/>
        <w:gridCol w:w="3336"/>
        <w:gridCol w:w="1737"/>
        <w:gridCol w:w="2376"/>
      </w:tblGrid>
      <w:tr w14:paraId="33AE485F">
        <w:trPr>
          <w:tblHeader/>
        </w:trPr>
        <w:tc>
          <w:p w14:paraId="4EE93E1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故障级别</w:t>
            </w:r>
          </w:p>
        </w:tc>
        <w:tc>
          <w:p w14:paraId="678912D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判定</w:t>
            </w:r>
          </w:p>
        </w:tc>
        <w:tc>
          <w:p w14:paraId="771C892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响应时限</w:t>
            </w:r>
          </w:p>
        </w:tc>
        <w:tc>
          <w:p w14:paraId="29EF5DB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处置目标</w:t>
            </w:r>
          </w:p>
        </w:tc>
      </w:tr>
      <w:tr w14:paraId="010AB2E2">
        <w:tc>
          <w:p w14:paraId="32517EE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紧急</w:t>
            </w:r>
          </w:p>
        </w:tc>
        <w:tc>
          <w:p w14:paraId="3D764E7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系统不可用、资金/核验受阻</w:t>
            </w:r>
          </w:p>
        </w:tc>
        <w:tc>
          <w:p w14:paraId="6F8E869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10分钟内响应</w:t>
            </w:r>
          </w:p>
        </w:tc>
        <w:tc>
          <w:p w14:paraId="3FFA34E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尽快恢复，全程跟进</w:t>
            </w:r>
          </w:p>
        </w:tc>
      </w:tr>
      <w:tr w14:paraId="6AFFD2A0">
        <w:tc>
          <w:p w14:paraId="7DC1641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一般</w:t>
            </w:r>
          </w:p>
        </w:tc>
        <w:tc>
          <w:p w14:paraId="0141DD4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局部功能异常、不影响主流程</w:t>
            </w:r>
          </w:p>
        </w:tc>
        <w:tc>
          <w:p w14:paraId="1AD4E9F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2小时内响应</w:t>
            </w:r>
          </w:p>
        </w:tc>
        <w:tc>
          <w:p w14:paraId="1BF93DD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限时解决</w:t>
            </w:r>
          </w:p>
        </w:tc>
      </w:tr>
      <w:tr w14:paraId="5BF6F597">
        <w:tc>
          <w:p w14:paraId="7449410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咨询/优化</w:t>
            </w:r>
          </w:p>
        </w:tc>
        <w:tc>
          <w:p w14:paraId="59732CF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使用咨询、优化建议</w:t>
            </w:r>
          </w:p>
        </w:tc>
        <w:tc>
          <w:p w14:paraId="21D06F9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按约定响应</w:t>
            </w:r>
          </w:p>
        </w:tc>
        <w:tc>
          <w:p w14:paraId="33FE5F4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计划内处理</w:t>
            </w:r>
          </w:p>
        </w:tc>
      </w:tr>
      <w:bookmarkEnd w:id="221"/>
    </w:tbl>
    <w:p w14:paraId="6FEB88C2">
      <w:pPr>
        <w:pStyle w:val="5"/>
        <w:rPr>
          <w:color w:val="000000" w:themeColor="text1"/>
          <w14:textFill>
            <w14:solidFill>
              <w14:schemeClr w14:val="tx1"/>
            </w14:solidFill>
          </w14:textFill>
        </w:rPr>
      </w:pPr>
      <w:bookmarkStart w:id="222" w:name="问题升级路径"/>
      <w:r>
        <w:rPr>
          <w:color w:val="000000" w:themeColor="text1"/>
          <w14:textFill>
            <w14:solidFill>
              <w14:schemeClr w14:val="tx1"/>
            </w14:solidFill>
          </w14:textFill>
        </w:rPr>
        <w:t xml:space="preserve">5.5.5 </w:t>
      </w:r>
      <w:r>
        <w:rPr>
          <w:rFonts w:hint="eastAsia"/>
          <w:color w:val="000000" w:themeColor="text1"/>
          <w14:textFill>
            <w14:solidFill>
              <w14:schemeClr w14:val="tx1"/>
            </w14:solidFill>
          </w14:textFill>
        </w:rPr>
        <w:t>问题升级路径</w:t>
      </w:r>
    </w:p>
    <w:p w14:paraId="0E963A7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超时未解决或影响扩大时，按”值班运维→运维负责人→项目经理→公司支持/甲方协同”逐级升级，调动资源保障解决。</w:t>
      </w:r>
    </w:p>
    <w:bookmarkEnd w:id="217"/>
    <w:bookmarkEnd w:id="222"/>
    <w:p w14:paraId="293956F1">
      <w:pPr>
        <w:pStyle w:val="4"/>
        <w:rPr>
          <w:color w:val="000000" w:themeColor="text1"/>
          <w14:textFill>
            <w14:solidFill>
              <w14:schemeClr w14:val="tx1"/>
            </w14:solidFill>
          </w14:textFill>
        </w:rPr>
      </w:pPr>
      <w:bookmarkStart w:id="223" w:name="运维范围"/>
      <w:r>
        <w:rPr>
          <w:color w:val="000000" w:themeColor="text1"/>
          <w14:textFill>
            <w14:solidFill>
              <w14:schemeClr w14:val="tx1"/>
            </w14:solidFill>
          </w14:textFill>
        </w:rPr>
        <w:t xml:space="preserve">5.6 </w:t>
      </w:r>
      <w:r>
        <w:rPr>
          <w:rFonts w:hint="eastAsia"/>
          <w:color w:val="000000" w:themeColor="text1"/>
          <w14:textFill>
            <w14:solidFill>
              <w14:schemeClr w14:val="tx1"/>
            </w14:solidFill>
          </w14:textFill>
        </w:rPr>
        <w:t>运维范围</w:t>
      </w:r>
    </w:p>
    <w:p w14:paraId="6734D8C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运维范围涵盖：</w:t>
      </w:r>
    </w:p>
    <w:p w14:paraId="0C3735A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应用系统运维</w:t>
      </w:r>
      <w:r>
        <w:rPr>
          <w:rFonts w:hint="eastAsia"/>
          <w:color w:val="000000" w:themeColor="text1"/>
          <w14:textFill>
            <w14:solidFill>
              <w14:schemeClr w14:val="tx1"/>
            </w14:solidFill>
          </w14:textFill>
        </w:rPr>
        <w:t>：四端应用与后端服务的运行保障、缺陷修复、小幅优化；</w:t>
      </w:r>
    </w:p>
    <w:p w14:paraId="3F2D1A9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数据库与中间件运维</w:t>
      </w:r>
      <w:r>
        <w:rPr>
          <w:rFonts w:hint="eastAsia"/>
          <w:color w:val="000000" w:themeColor="text1"/>
          <w14:textFill>
            <w14:solidFill>
              <w14:schemeClr w14:val="tx1"/>
            </w14:solidFill>
          </w14:textFill>
        </w:rPr>
        <w:t>：MySQL、Redis、Nginx/OpenResty</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等运行保障；</w:t>
      </w:r>
    </w:p>
    <w:p w14:paraId="16F537D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对接运维</w:t>
      </w:r>
      <w:r>
        <w:rPr>
          <w:rFonts w:hint="eastAsia"/>
          <w:color w:val="000000" w:themeColor="text1"/>
          <w14:textFill>
            <w14:solidFill>
              <w14:schemeClr w14:val="tx1"/>
            </w14:solidFill>
          </w14:textFill>
        </w:rPr>
        <w:t>：郑好办、政务核验、支付、签章等对接的稳定性保障；</w:t>
      </w:r>
    </w:p>
    <w:p w14:paraId="73165F9E">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数据运维</w:t>
      </w:r>
      <w:r>
        <w:rPr>
          <w:rFonts w:hint="eastAsia"/>
          <w:color w:val="000000" w:themeColor="text1"/>
          <w14:textFill>
            <w14:solidFill>
              <w14:schemeClr w14:val="tx1"/>
            </w14:solidFill>
          </w14:textFill>
        </w:rPr>
        <w:t>：备份、恢复、数据一致性维护；</w:t>
      </w:r>
    </w:p>
    <w:p w14:paraId="6B99E95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安全运维</w:t>
      </w:r>
      <w:r>
        <w:rPr>
          <w:rFonts w:hint="eastAsia"/>
          <w:color w:val="000000" w:themeColor="text1"/>
          <w14:textFill>
            <w14:solidFill>
              <w14:schemeClr w14:val="tx1"/>
            </w14:solidFill>
          </w14:textFill>
        </w:rPr>
        <w:t>：安全监控、漏洞与补丁、基线核查；</w:t>
      </w:r>
    </w:p>
    <w:p w14:paraId="20AE80E2">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用户支持</w:t>
      </w:r>
      <w:r>
        <w:rPr>
          <w:rFonts w:hint="eastAsia"/>
          <w:color w:val="000000" w:themeColor="text1"/>
          <w14:textFill>
            <w14:solidFill>
              <w14:schemeClr w14:val="tx1"/>
            </w14:solidFill>
          </w14:textFill>
        </w:rPr>
        <w:t>：操作答疑、常态化培训。</w:t>
      </w:r>
    </w:p>
    <w:p w14:paraId="247657C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（不含甲方自有网络、机房等基础设施的产权责任，但配合甲方处理相关问题。）</w:t>
      </w:r>
    </w:p>
    <w:p w14:paraId="356F3B45">
      <w:pPr>
        <w:pStyle w:val="5"/>
        <w:rPr>
          <w:color w:val="000000" w:themeColor="text1"/>
          <w14:textFill>
            <w14:solidFill>
              <w14:schemeClr w14:val="tx1"/>
            </w14:solidFill>
          </w14:textFill>
        </w:rPr>
      </w:pPr>
      <w:bookmarkStart w:id="224" w:name="运维责任边界"/>
      <w:r>
        <w:rPr>
          <w:color w:val="000000" w:themeColor="text1"/>
          <w14:textFill>
            <w14:solidFill>
              <w14:schemeClr w14:val="tx1"/>
            </w14:solidFill>
          </w14:textFill>
        </w:rPr>
        <w:t xml:space="preserve">5.6.1 </w:t>
      </w:r>
      <w:r>
        <w:rPr>
          <w:rFonts w:hint="eastAsia"/>
          <w:color w:val="000000" w:themeColor="text1"/>
          <w14:textFill>
            <w14:solidFill>
              <w14:schemeClr w14:val="tx1"/>
            </w14:solidFill>
          </w14:textFill>
        </w:rPr>
        <w:t>运维责任边界</w:t>
      </w:r>
    </w:p>
    <w:p w14:paraId="549783F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为避免责任不清导致的推诿，明确我方与甲方的运维责任边界：</w:t>
      </w:r>
    </w:p>
    <w:tbl>
      <w:tblPr>
        <w:tblStyle w:val="41"/>
        <w:tblW w:w="0" w:type="auto"/>
        <w:tblInd w:w="0" w:type="dxa"/>
        <w:tblLayout w:type="autofit"/>
        <w:tblCellMar>
          <w:top w:w="0" w:type="dxa"/>
          <w:left w:w="108" w:type="dxa"/>
          <w:bottom w:w="0" w:type="dxa"/>
          <w:right w:w="108" w:type="dxa"/>
        </w:tblCellMar>
      </w:tblPr>
      <w:tblGrid>
        <w:gridCol w:w="2696"/>
        <w:gridCol w:w="2616"/>
        <w:gridCol w:w="2856"/>
      </w:tblGrid>
      <w:tr w14:paraId="73E48CF5">
        <w:trPr>
          <w:tblHeader/>
        </w:trPr>
        <w:tc>
          <w:p w14:paraId="4B2DD11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事项</w:t>
            </w:r>
          </w:p>
        </w:tc>
        <w:tc>
          <w:p w14:paraId="65AED80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我方职责</w:t>
            </w:r>
          </w:p>
        </w:tc>
        <w:tc>
          <w:p w14:paraId="5F92580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甲方职责</w:t>
            </w:r>
          </w:p>
        </w:tc>
      </w:tr>
      <w:tr w14:paraId="2C8CD2BE">
        <w:tc>
          <w:p w14:paraId="2A58B55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应用系统运行</w:t>
            </w:r>
          </w:p>
        </w:tc>
        <w:tc>
          <w:p w14:paraId="2FC8E11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负责保障、修复、优化</w:t>
            </w:r>
          </w:p>
        </w:tc>
        <w:tc>
          <w:p w14:paraId="595EE41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提出需求、验收</w:t>
            </w:r>
          </w:p>
        </w:tc>
      </w:tr>
      <w:tr w14:paraId="79E1CF3B">
        <w:tc>
          <w:p w14:paraId="4486EED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数据库/中间件</w:t>
            </w:r>
          </w:p>
        </w:tc>
        <w:tc>
          <w:p w14:paraId="240EC1B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负责运维保障</w:t>
            </w:r>
          </w:p>
        </w:tc>
        <w:tc>
          <w:p w14:paraId="4F7F99C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提供资源与权限</w:t>
            </w:r>
          </w:p>
        </w:tc>
      </w:tr>
      <w:tr w14:paraId="545210A7">
        <w:tc>
          <w:p w14:paraId="7F69ABE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外部对接稳定性</w:t>
            </w:r>
          </w:p>
        </w:tc>
        <w:tc>
          <w:p w14:paraId="1957279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负责我方侧适配与容错</w:t>
            </w:r>
          </w:p>
        </w:tc>
        <w:tc>
          <w:p w14:paraId="38CBE8F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协调第三方/政务侧</w:t>
            </w:r>
          </w:p>
        </w:tc>
      </w:tr>
      <w:tr w14:paraId="757C6FB0">
        <w:tc>
          <w:p w14:paraId="17325AD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基础设施（网络/机房）</w:t>
            </w:r>
          </w:p>
        </w:tc>
        <w:tc>
          <w:p w14:paraId="2AB12C6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配合排查</w:t>
            </w:r>
          </w:p>
        </w:tc>
        <w:tc>
          <w:p w14:paraId="493FBEC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承担产权与保障责任</w:t>
            </w:r>
          </w:p>
        </w:tc>
      </w:tr>
      <w:tr w14:paraId="5500124D">
        <w:tc>
          <w:p w14:paraId="67B768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数据备份与恢复</w:t>
            </w:r>
          </w:p>
        </w:tc>
        <w:tc>
          <w:p w14:paraId="060046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执行备份、演练、恢复</w:t>
            </w:r>
          </w:p>
        </w:tc>
        <w:tc>
          <w:p w14:paraId="3D9185B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提供存储资源、确认策略</w:t>
            </w:r>
          </w:p>
        </w:tc>
      </w:tr>
      <w:tr w14:paraId="69FC05BA">
        <w:tc>
          <w:p w14:paraId="61DEFDA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安全事件</w:t>
            </w:r>
          </w:p>
        </w:tc>
        <w:tc>
          <w:p w14:paraId="03DA243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技术处置、报告</w:t>
            </w:r>
          </w:p>
        </w:tc>
        <w:tc>
          <w:p w14:paraId="77B871C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决策、对外协调</w:t>
            </w:r>
          </w:p>
        </w:tc>
      </w:tr>
    </w:tbl>
    <w:p w14:paraId="734F67D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责任边界在运维服务协议中明确，遇跨边界问题双方协同处置，我方不因边界问题推诿或延误响应。</w:t>
      </w:r>
    </w:p>
    <w:bookmarkEnd w:id="223"/>
    <w:bookmarkEnd w:id="224"/>
    <w:p w14:paraId="077A720E">
      <w:pPr>
        <w:pStyle w:val="4"/>
        <w:rPr>
          <w:color w:val="000000" w:themeColor="text1"/>
          <w14:textFill>
            <w14:solidFill>
              <w14:schemeClr w14:val="tx1"/>
            </w14:solidFill>
          </w14:textFill>
        </w:rPr>
      </w:pPr>
      <w:bookmarkStart w:id="225" w:name="指标考核"/>
      <w:r>
        <w:rPr>
          <w:color w:val="000000" w:themeColor="text1"/>
          <w14:textFill>
            <w14:solidFill>
              <w14:schemeClr w14:val="tx1"/>
            </w14:solidFill>
          </w14:textFill>
        </w:rPr>
        <w:t xml:space="preserve">5.7 </w:t>
      </w:r>
      <w:r>
        <w:rPr>
          <w:rFonts w:hint="eastAsia"/>
          <w:color w:val="000000" w:themeColor="text1"/>
          <w14:textFill>
            <w14:solidFill>
              <w14:schemeClr w14:val="tx1"/>
            </w14:solidFill>
          </w14:textFill>
        </w:rPr>
        <w:t>指标考核</w:t>
      </w:r>
    </w:p>
    <w:p w14:paraId="5C6793E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建立运维服务考核指标，接受甲方监督：</w:t>
      </w:r>
    </w:p>
    <w:tbl>
      <w:tblPr>
        <w:tblStyle w:val="41"/>
        <w:tblW w:w="0" w:type="auto"/>
        <w:tblInd w:w="0" w:type="dxa"/>
        <w:tblLayout w:type="autofit"/>
        <w:tblCellMar>
          <w:top w:w="0" w:type="dxa"/>
          <w:left w:w="108" w:type="dxa"/>
          <w:bottom w:w="0" w:type="dxa"/>
          <w:right w:w="108" w:type="dxa"/>
        </w:tblCellMar>
      </w:tblPr>
      <w:tblGrid>
        <w:gridCol w:w="2376"/>
        <w:gridCol w:w="2855"/>
      </w:tblGrid>
      <w:tr w14:paraId="0CCADDF1">
        <w:trPr>
          <w:tblHeader/>
        </w:trPr>
        <w:tc>
          <w:p w14:paraId="56EAC92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指标</w:t>
            </w:r>
          </w:p>
        </w:tc>
        <w:tc>
          <w:p w14:paraId="50CEC1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目标</w:t>
            </w:r>
          </w:p>
        </w:tc>
      </w:tr>
      <w:tr w14:paraId="0D3D9B36">
        <w:tc>
          <w:p w14:paraId="173137F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系统可用率</w:t>
            </w:r>
          </w:p>
        </w:tc>
        <w:tc>
          <w:p w14:paraId="3AEE133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达到约定目标</w:t>
            </w:r>
          </w:p>
        </w:tc>
      </w:tr>
      <w:tr w14:paraId="78D1D58E">
        <w:tc>
          <w:p w14:paraId="1558F66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紧急故障响应达成率</w:t>
            </w:r>
          </w:p>
        </w:tc>
        <w:tc>
          <w:p w14:paraId="2C1DDA3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10分钟内响应达成</w:t>
            </w:r>
          </w:p>
        </w:tc>
      </w:tr>
      <w:tr w14:paraId="5199B3DE">
        <w:tc>
          <w:p w14:paraId="65A43FE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一般故障响应达成率</w:t>
            </w:r>
          </w:p>
        </w:tc>
        <w:tc>
          <w:p w14:paraId="00DC829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2小时内响应达成</w:t>
            </w:r>
          </w:p>
        </w:tc>
      </w:tr>
      <w:tr w14:paraId="333ADF56">
        <w:tc>
          <w:p w14:paraId="6D9967F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备份成功率</w:t>
            </w:r>
          </w:p>
        </w:tc>
        <w:tc>
          <w:p w14:paraId="19C81D88">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100%</w:t>
            </w:r>
          </w:p>
        </w:tc>
      </w:tr>
      <w:tr w14:paraId="784EA666">
        <w:tc>
          <w:p w14:paraId="0DE176F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月报及时率</w:t>
            </w:r>
          </w:p>
        </w:tc>
        <w:tc>
          <w:p w14:paraId="3EC37F1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每月末前2个工作日报送</w:t>
            </w:r>
          </w:p>
        </w:tc>
      </w:tr>
      <w:tr w14:paraId="433B6754">
        <w:tc>
          <w:p w14:paraId="1B3E2E3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用户满意度</w:t>
            </w:r>
          </w:p>
        </w:tc>
        <w:tc>
          <w:p w14:paraId="1C3D6DF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达到约定目标</w:t>
            </w:r>
          </w:p>
        </w:tc>
      </w:tr>
    </w:tbl>
    <w:p w14:paraId="0D15339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考核结果与运维保证金结算挂钩，激励持续改进。</w:t>
      </w:r>
    </w:p>
    <w:bookmarkEnd w:id="225"/>
    <w:p w14:paraId="6D98D745">
      <w:pPr>
        <w:pStyle w:val="4"/>
        <w:rPr>
          <w:color w:val="000000" w:themeColor="text1"/>
          <w14:textFill>
            <w14:solidFill>
              <w14:schemeClr w14:val="tx1"/>
            </w14:solidFill>
          </w14:textFill>
        </w:rPr>
      </w:pPr>
      <w:bookmarkStart w:id="226" w:name="日常维护"/>
      <w:r>
        <w:rPr>
          <w:color w:val="000000" w:themeColor="text1"/>
          <w14:textFill>
            <w14:solidFill>
              <w14:schemeClr w14:val="tx1"/>
            </w14:solidFill>
          </w14:textFill>
        </w:rPr>
        <w:t xml:space="preserve">5.8 </w:t>
      </w:r>
      <w:r>
        <w:rPr>
          <w:rFonts w:hint="eastAsia"/>
          <w:color w:val="000000" w:themeColor="text1"/>
          <w14:textFill>
            <w14:solidFill>
              <w14:schemeClr w14:val="tx1"/>
            </w14:solidFill>
          </w14:textFill>
        </w:rPr>
        <w:t>日常维护</w:t>
      </w:r>
    </w:p>
    <w:p w14:paraId="058ACE8B">
      <w:pPr>
        <w:pStyle w:val="5"/>
        <w:rPr>
          <w:color w:val="000000" w:themeColor="text1"/>
          <w14:textFill>
            <w14:solidFill>
              <w14:schemeClr w14:val="tx1"/>
            </w14:solidFill>
          </w14:textFill>
        </w:rPr>
      </w:pPr>
      <w:bookmarkStart w:id="227" w:name="周维护与月维护检查清单"/>
      <w:r>
        <w:rPr>
          <w:color w:val="000000" w:themeColor="text1"/>
          <w14:textFill>
            <w14:solidFill>
              <w14:schemeClr w14:val="tx1"/>
            </w14:solidFill>
          </w14:textFill>
        </w:rPr>
        <w:t xml:space="preserve">5.8.1 </w:t>
      </w:r>
      <w:r>
        <w:rPr>
          <w:rFonts w:hint="eastAsia"/>
          <w:color w:val="000000" w:themeColor="text1"/>
          <w14:textFill>
            <w14:solidFill>
              <w14:schemeClr w14:val="tx1"/>
            </w14:solidFill>
          </w14:textFill>
        </w:rPr>
        <w:t>周维护与月维护检查清单</w:t>
      </w:r>
    </w:p>
    <w:p w14:paraId="3087543D">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周维护</w:t>
      </w:r>
      <w:r>
        <w:rPr>
          <w:rFonts w:hint="eastAsia"/>
          <w:color w:val="000000" w:themeColor="text1"/>
          <w14:textFill>
            <w14:solidFill>
              <w14:schemeClr w14:val="tx1"/>
            </w14:solidFill>
          </w14:textFill>
        </w:rPr>
        <w:t>：日志清理与审计、备份校验、性能巡检、隐患排查、周报报送；</w:t>
      </w:r>
    </w:p>
    <w:p w14:paraId="36D20FC4">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月维护</w:t>
      </w:r>
      <w:r>
        <w:rPr>
          <w:rFonts w:hint="eastAsia"/>
          <w:color w:val="000000" w:themeColor="text1"/>
          <w14:textFill>
            <w14:solidFill>
              <w14:schemeClr w14:val="tx1"/>
            </w14:solidFill>
          </w14:textFill>
        </w:rPr>
        <w:t>：容量评估、补丁评估、安全基线核查、数据一致性抽查、月度运维报告。</w:t>
      </w:r>
    </w:p>
    <w:bookmarkEnd w:id="227"/>
    <w:p w14:paraId="65743F61">
      <w:pPr>
        <w:pStyle w:val="5"/>
        <w:rPr>
          <w:color w:val="000000" w:themeColor="text1"/>
          <w14:textFill>
            <w14:solidFill>
              <w14:schemeClr w14:val="tx1"/>
            </w14:solidFill>
          </w14:textFill>
        </w:rPr>
      </w:pPr>
      <w:bookmarkStart w:id="228" w:name="日巡检记录表模板"/>
      <w:r>
        <w:rPr>
          <w:color w:val="000000" w:themeColor="text1"/>
          <w14:textFill>
            <w14:solidFill>
              <w14:schemeClr w14:val="tx1"/>
            </w14:solidFill>
          </w14:textFill>
        </w:rPr>
        <w:t xml:space="preserve">5.8.2 </w:t>
      </w:r>
      <w:r>
        <w:rPr>
          <w:rFonts w:hint="eastAsia"/>
          <w:color w:val="000000" w:themeColor="text1"/>
          <w14:textFill>
            <w14:solidFill>
              <w14:schemeClr w14:val="tx1"/>
            </w14:solidFill>
          </w14:textFill>
        </w:rPr>
        <w:t>日巡检记录表（模板）</w:t>
      </w:r>
    </w:p>
    <w:tbl>
      <w:tblPr>
        <w:tblStyle w:val="41"/>
        <w:tblW w:w="0" w:type="auto"/>
        <w:tblInd w:w="0" w:type="dxa"/>
        <w:tblLayout w:type="autofit"/>
        <w:tblCellMar>
          <w:top w:w="0" w:type="dxa"/>
          <w:left w:w="108" w:type="dxa"/>
          <w:bottom w:w="0" w:type="dxa"/>
          <w:right w:w="108" w:type="dxa"/>
        </w:tblCellMar>
      </w:tblPr>
      <w:tblGrid>
        <w:gridCol w:w="1176"/>
        <w:gridCol w:w="2136"/>
        <w:gridCol w:w="696"/>
      </w:tblGrid>
      <w:tr w14:paraId="4E060F3C">
        <w:trPr>
          <w:tblHeader/>
        </w:trPr>
        <w:tc>
          <w:p w14:paraId="5FD3EE6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巡检项</w:t>
            </w:r>
          </w:p>
        </w:tc>
        <w:tc>
          <w:p w14:paraId="3616D0B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正常标准</w:t>
            </w:r>
          </w:p>
        </w:tc>
        <w:tc>
          <w:p w14:paraId="165C64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结果</w:t>
            </w:r>
          </w:p>
        </w:tc>
      </w:tr>
      <w:tr w14:paraId="527B43C3">
        <w:tc>
          <w:p w14:paraId="65DC60F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服务运行</w:t>
            </w:r>
          </w:p>
        </w:tc>
        <w:tc>
          <w:p w14:paraId="7A973B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全部在线</w:t>
            </w:r>
          </w:p>
        </w:tc>
        <w:tc>
          <w:p w14:paraId="73FE1964">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w:t>
            </w:r>
          </w:p>
        </w:tc>
      </w:tr>
      <w:tr w14:paraId="15B2B030">
        <w:tc>
          <w:p w14:paraId="39E1225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主机资源</w:t>
            </w:r>
          </w:p>
        </w:tc>
        <w:tc>
          <w:p w14:paraId="1B98EBB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使用率正常</w:t>
            </w:r>
          </w:p>
        </w:tc>
        <w:tc>
          <w:p w14:paraId="0B9922BA">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w:t>
            </w:r>
          </w:p>
        </w:tc>
      </w:tr>
      <w:tr w14:paraId="285BDD71">
        <w:tc>
          <w:p w14:paraId="4A4F839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数据库</w:t>
            </w:r>
          </w:p>
        </w:tc>
        <w:tc>
          <w:p w14:paraId="61DA78C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无异常、主备正常</w:t>
            </w:r>
          </w:p>
        </w:tc>
        <w:tc>
          <w:p w14:paraId="18E82F86">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w:t>
            </w:r>
          </w:p>
        </w:tc>
      </w:tr>
      <w:tr w14:paraId="0F042354">
        <w:tc>
          <w:p w14:paraId="511273A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w:t>
            </w:r>
          </w:p>
        </w:tc>
        <w:tc>
          <w:p w14:paraId="62196D6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昨日备份成功</w:t>
            </w:r>
          </w:p>
        </w:tc>
        <w:tc>
          <w:p w14:paraId="3A11AC94">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w:t>
            </w:r>
          </w:p>
        </w:tc>
      </w:tr>
      <w:tr w14:paraId="745A5306">
        <w:tc>
          <w:p w14:paraId="7D053FE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接口对接</w:t>
            </w:r>
          </w:p>
        </w:tc>
        <w:tc>
          <w:p w14:paraId="2BC38DC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成功率正常</w:t>
            </w:r>
          </w:p>
        </w:tc>
        <w:tc>
          <w:p w14:paraId="58AC3C8E">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w:t>
            </w:r>
          </w:p>
        </w:tc>
      </w:tr>
      <w:tr w14:paraId="0842DC93">
        <w:tc>
          <w:p w14:paraId="6FD3487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告警</w:t>
            </w:r>
          </w:p>
        </w:tc>
        <w:tc>
          <w:p w14:paraId="60C1FAA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无未处理告警</w:t>
            </w:r>
          </w:p>
        </w:tc>
        <w:tc>
          <w:p w14:paraId="5C1AD13D">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w:t>
            </w:r>
          </w:p>
        </w:tc>
      </w:tr>
      <w:bookmarkEnd w:id="226"/>
      <w:bookmarkEnd w:id="228"/>
    </w:tbl>
    <w:p w14:paraId="4297D5FF">
      <w:pPr>
        <w:pStyle w:val="4"/>
        <w:rPr>
          <w:color w:val="000000" w:themeColor="text1"/>
          <w14:textFill>
            <w14:solidFill>
              <w14:schemeClr w14:val="tx1"/>
            </w14:solidFill>
          </w14:textFill>
        </w:rPr>
      </w:pPr>
      <w:bookmarkStart w:id="229" w:name="故障应急处置"/>
      <w:r>
        <w:rPr>
          <w:color w:val="000000" w:themeColor="text1"/>
          <w14:textFill>
            <w14:solidFill>
              <w14:schemeClr w14:val="tx1"/>
            </w14:solidFill>
          </w14:textFill>
        </w:rPr>
        <w:t xml:space="preserve">5.9 </w:t>
      </w:r>
      <w:r>
        <w:rPr>
          <w:rFonts w:hint="eastAsia"/>
          <w:color w:val="000000" w:themeColor="text1"/>
          <w14:textFill>
            <w14:solidFill>
              <w14:schemeClr w14:val="tx1"/>
            </w14:solidFill>
          </w14:textFill>
        </w:rPr>
        <w:t>故障应急处置</w:t>
      </w:r>
    </w:p>
    <w:p w14:paraId="232DFC5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针对高频高影响故障场景制定处置卡，保证快速处置：</w:t>
      </w:r>
    </w:p>
    <w:p w14:paraId="7C5AB986">
      <w:pPr>
        <w:pStyle w:val="5"/>
        <w:rPr>
          <w:color w:val="000000" w:themeColor="text1"/>
          <w14:textFill>
            <w14:solidFill>
              <w14:schemeClr w14:val="tx1"/>
            </w14:solidFill>
          </w14:textFill>
        </w:rPr>
      </w:pPr>
      <w:bookmarkStart w:id="230" w:name="场景一应用服务宕机"/>
      <w:r>
        <w:rPr>
          <w:color w:val="000000" w:themeColor="text1"/>
          <w14:textFill>
            <w14:solidFill>
              <w14:schemeClr w14:val="tx1"/>
            </w14:solidFill>
          </w14:textFill>
        </w:rPr>
        <w:t xml:space="preserve">5.9.1 </w:t>
      </w:r>
      <w:r>
        <w:rPr>
          <w:rFonts w:hint="eastAsia"/>
          <w:color w:val="000000" w:themeColor="text1"/>
          <w14:textFill>
            <w14:solidFill>
              <w14:schemeClr w14:val="tx1"/>
            </w14:solidFill>
          </w14:textFill>
        </w:rPr>
        <w:t>场景一：应用服务宕机</w:t>
      </w:r>
    </w:p>
    <w:p w14:paraId="7B254A95">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判定→切流量至健康实例→重启/扩容→定位根因→恢复验证→复盘。</w:t>
      </w:r>
    </w:p>
    <w:bookmarkEnd w:id="230"/>
    <w:p w14:paraId="54009556">
      <w:pPr>
        <w:pStyle w:val="5"/>
        <w:rPr>
          <w:color w:val="000000" w:themeColor="text1"/>
          <w14:textFill>
            <w14:solidFill>
              <w14:schemeClr w14:val="tx1"/>
            </w14:solidFill>
          </w14:textFill>
        </w:rPr>
      </w:pPr>
      <w:bookmarkStart w:id="231" w:name="场景二数据库故障"/>
      <w:r>
        <w:rPr>
          <w:color w:val="000000" w:themeColor="text1"/>
          <w14:textFill>
            <w14:solidFill>
              <w14:schemeClr w14:val="tx1"/>
            </w14:solidFill>
          </w14:textFill>
        </w:rPr>
        <w:t xml:space="preserve">5.9.2 </w:t>
      </w:r>
      <w:r>
        <w:rPr>
          <w:rFonts w:hint="eastAsia"/>
          <w:color w:val="000000" w:themeColor="text1"/>
          <w14:textFill>
            <w14:solidFill>
              <w14:schemeClr w14:val="tx1"/>
            </w14:solidFill>
          </w14:textFill>
        </w:rPr>
        <w:t>场景二：数据库故障</w:t>
      </w:r>
    </w:p>
    <w:p w14:paraId="33459E6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判定→主备切换（如适用）→止损→恢复→数据一致性校验→复盘。</w:t>
      </w:r>
    </w:p>
    <w:bookmarkEnd w:id="231"/>
    <w:p w14:paraId="062D539A">
      <w:pPr>
        <w:pStyle w:val="5"/>
        <w:rPr>
          <w:color w:val="000000" w:themeColor="text1"/>
          <w14:textFill>
            <w14:solidFill>
              <w14:schemeClr w14:val="tx1"/>
            </w14:solidFill>
          </w14:textFill>
        </w:rPr>
      </w:pPr>
      <w:bookmarkStart w:id="232" w:name="场景三支付渠道异常"/>
      <w:r>
        <w:rPr>
          <w:color w:val="000000" w:themeColor="text1"/>
          <w14:textFill>
            <w14:solidFill>
              <w14:schemeClr w14:val="tx1"/>
            </w14:solidFill>
          </w14:textFill>
        </w:rPr>
        <w:t xml:space="preserve">5.9.3 </w:t>
      </w:r>
      <w:r>
        <w:rPr>
          <w:rFonts w:hint="eastAsia"/>
          <w:color w:val="000000" w:themeColor="text1"/>
          <w14:textFill>
            <w14:solidFill>
              <w14:schemeClr w14:val="tx1"/>
            </w14:solidFill>
          </w14:textFill>
        </w:rPr>
        <w:t>场景三：支付渠道异常</w:t>
      </w:r>
    </w:p>
    <w:p w14:paraId="4B3E7B6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判定→暂停相关缴费入口并提示→与支付方核实→恢复后对账补偿→复盘，确保无重复扣款、无漏账。</w:t>
      </w:r>
    </w:p>
    <w:bookmarkEnd w:id="232"/>
    <w:p w14:paraId="1B803ABC">
      <w:pPr>
        <w:pStyle w:val="5"/>
        <w:rPr>
          <w:color w:val="000000" w:themeColor="text1"/>
          <w14:textFill>
            <w14:solidFill>
              <w14:schemeClr w14:val="tx1"/>
            </w14:solidFill>
          </w14:textFill>
        </w:rPr>
      </w:pPr>
      <w:bookmarkStart w:id="233" w:name="场景四政务核验接口中断"/>
      <w:r>
        <w:rPr>
          <w:color w:val="000000" w:themeColor="text1"/>
          <w14:textFill>
            <w14:solidFill>
              <w14:schemeClr w14:val="tx1"/>
            </w14:solidFill>
          </w14:textFill>
        </w:rPr>
        <w:t xml:space="preserve">5.9.4 </w:t>
      </w:r>
      <w:r>
        <w:rPr>
          <w:rFonts w:hint="eastAsia"/>
          <w:color w:val="000000" w:themeColor="text1"/>
          <w14:textFill>
            <w14:solidFill>
              <w14:schemeClr w14:val="tx1"/>
            </w14:solidFill>
          </w14:textFill>
        </w:rPr>
        <w:t>场景四：政务核验接口中断</w:t>
      </w:r>
    </w:p>
    <w:p w14:paraId="7F81A1E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判定→核验降级（转人工/申诉）→保障业务不中断→接口恢复后回归→复盘。</w:t>
      </w:r>
    </w:p>
    <w:bookmarkEnd w:id="233"/>
    <w:p w14:paraId="2F5020B8">
      <w:pPr>
        <w:pStyle w:val="5"/>
        <w:rPr>
          <w:color w:val="000000" w:themeColor="text1"/>
          <w14:textFill>
            <w14:solidFill>
              <w14:schemeClr w14:val="tx1"/>
            </w14:solidFill>
          </w14:textFill>
        </w:rPr>
      </w:pPr>
      <w:bookmarkStart w:id="234" w:name="场景五签章平台异常"/>
      <w:r>
        <w:rPr>
          <w:color w:val="000000" w:themeColor="text1"/>
          <w14:textFill>
            <w14:solidFill>
              <w14:schemeClr w14:val="tx1"/>
            </w14:solidFill>
          </w14:textFill>
        </w:rPr>
        <w:t xml:space="preserve">5.9.5 </w:t>
      </w:r>
      <w:r>
        <w:rPr>
          <w:rFonts w:hint="eastAsia"/>
          <w:color w:val="000000" w:themeColor="text1"/>
          <w14:textFill>
            <w14:solidFill>
              <w14:schemeClr w14:val="tx1"/>
            </w14:solidFill>
          </w14:textFill>
        </w:rPr>
        <w:t>场景五：签章平台异常</w:t>
      </w:r>
    </w:p>
    <w:p w14:paraId="56380D0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判定→暂停在线签署入口并提示→与签章方核实→恢复后补签与状态校准→复盘，确保合同签署与归档不丢失、不重复。</w:t>
      </w:r>
    </w:p>
    <w:bookmarkEnd w:id="234"/>
    <w:p w14:paraId="0181E1F1">
      <w:pPr>
        <w:pStyle w:val="5"/>
        <w:rPr>
          <w:color w:val="000000" w:themeColor="text1"/>
          <w14:textFill>
            <w14:solidFill>
              <w14:schemeClr w14:val="tx1"/>
            </w14:solidFill>
          </w14:textFill>
        </w:rPr>
      </w:pPr>
      <w:bookmarkStart w:id="235" w:name="场景六数据异常误操作"/>
      <w:r>
        <w:rPr>
          <w:color w:val="000000" w:themeColor="text1"/>
          <w14:textFill>
            <w14:solidFill>
              <w14:schemeClr w14:val="tx1"/>
            </w14:solidFill>
          </w14:textFill>
        </w:rPr>
        <w:t xml:space="preserve">5.9.6 </w:t>
      </w:r>
      <w:r>
        <w:rPr>
          <w:rFonts w:hint="eastAsia"/>
          <w:color w:val="000000" w:themeColor="text1"/>
          <w14:textFill>
            <w14:solidFill>
              <w14:schemeClr w14:val="tx1"/>
            </w14:solidFill>
          </w14:textFill>
        </w:rPr>
        <w:t>场景六：数据异常/误操作</w:t>
      </w:r>
    </w:p>
    <w:p w14:paraId="284E821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判定→立即止损（暂停相关操作）→依据备份与操作日志回滚或修复→数据一致性核对→复盘并强化审批与权限，防止再次发生。</w:t>
      </w:r>
    </w:p>
    <w:bookmarkEnd w:id="235"/>
    <w:p w14:paraId="5B596749">
      <w:pPr>
        <w:pStyle w:val="5"/>
        <w:rPr>
          <w:color w:val="000000" w:themeColor="text1"/>
          <w14:textFill>
            <w14:solidFill>
              <w14:schemeClr w14:val="tx1"/>
            </w14:solidFill>
          </w14:textFill>
        </w:rPr>
      </w:pPr>
      <w:bookmarkStart w:id="236" w:name="故障分级响应时限对照"/>
      <w:r>
        <w:rPr>
          <w:color w:val="000000" w:themeColor="text1"/>
          <w14:textFill>
            <w14:solidFill>
              <w14:schemeClr w14:val="tx1"/>
            </w14:solidFill>
          </w14:textFill>
        </w:rPr>
        <w:t xml:space="preserve">5.9.7 </w:t>
      </w:r>
      <w:r>
        <w:rPr>
          <w:rFonts w:hint="eastAsia"/>
          <w:color w:val="000000" w:themeColor="text1"/>
          <w14:textFill>
            <w14:solidFill>
              <w14:schemeClr w14:val="tx1"/>
            </w14:solidFill>
          </w14:textFill>
        </w:rPr>
        <w:t>故障分级响应时限对照</w:t>
      </w:r>
    </w:p>
    <w:tbl>
      <w:tblPr>
        <w:tblStyle w:val="41"/>
        <w:tblW w:w="5000" w:type="pct"/>
        <w:tblInd w:w="0" w:type="dxa"/>
        <w:tblLayout w:type="fixed"/>
        <w:tblCellMar>
          <w:top w:w="0" w:type="dxa"/>
          <w:left w:w="108" w:type="dxa"/>
          <w:bottom w:w="0" w:type="dxa"/>
          <w:right w:w="108" w:type="dxa"/>
        </w:tblCellMar>
      </w:tblPr>
      <w:tblGrid>
        <w:gridCol w:w="1302"/>
        <w:gridCol w:w="2344"/>
        <w:gridCol w:w="2344"/>
        <w:gridCol w:w="2866"/>
      </w:tblGrid>
      <w:tr w14:paraId="00C47B88">
        <w:trPr>
          <w:tblHeader/>
        </w:trPr>
        <w:tc>
          <w:p w14:paraId="0603878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级别</w:t>
            </w:r>
          </w:p>
        </w:tc>
        <w:tc>
          <w:p w14:paraId="73F23F8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典型场景</w:t>
            </w:r>
          </w:p>
        </w:tc>
        <w:tc>
          <w:p w14:paraId="056B400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响应时限</w:t>
            </w:r>
          </w:p>
        </w:tc>
        <w:tc>
          <w:p w14:paraId="0AF1A7D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处置与报告</w:t>
            </w:r>
          </w:p>
        </w:tc>
      </w:tr>
      <w:tr w14:paraId="4B70EB99">
        <w:tc>
          <w:p w14:paraId="6381AD3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紧急</w:t>
            </w:r>
          </w:p>
        </w:tc>
        <w:tc>
          <w:p w14:paraId="03AA464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系统不可用、资金/核验/签署受阻</w:t>
            </w:r>
          </w:p>
        </w:tc>
        <w:tc>
          <w:p w14:paraId="7D2426B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10分钟内响应</w:t>
            </w:r>
          </w:p>
        </w:tc>
        <w:tc>
          <w:p w14:paraId="6DD140B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立即处置、全程跟进、及时报告甲方</w:t>
            </w:r>
          </w:p>
        </w:tc>
      </w:tr>
      <w:tr w14:paraId="131F8A5A">
        <w:tc>
          <w:p w14:paraId="2C2E774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一般</w:t>
            </w:r>
          </w:p>
        </w:tc>
        <w:tc>
          <w:p w14:paraId="426CDB8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局部功能异常、不影响主流程</w:t>
            </w:r>
          </w:p>
        </w:tc>
        <w:tc>
          <w:p w14:paraId="6604613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2小时内响应</w:t>
            </w:r>
          </w:p>
        </w:tc>
        <w:tc>
          <w:p w14:paraId="759D1F9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限时解决、记录台账</w:t>
            </w:r>
          </w:p>
        </w:tc>
      </w:tr>
      <w:tr w14:paraId="21E45749">
        <w:tc>
          <w:p w14:paraId="7975AB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咨询/优化</w:t>
            </w:r>
          </w:p>
        </w:tc>
        <w:tc>
          <w:p w14:paraId="516701B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使用咨询、优化建议</w:t>
            </w:r>
          </w:p>
        </w:tc>
        <w:tc>
          <w:p w14:paraId="3A5F861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按约定响应</w:t>
            </w:r>
          </w:p>
        </w:tc>
        <w:tc>
          <w:p w14:paraId="74EF3A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计划内处理</w:t>
            </w:r>
          </w:p>
        </w:tc>
      </w:tr>
      <w:bookmarkEnd w:id="236"/>
    </w:tbl>
    <w:p w14:paraId="04DFB425">
      <w:pPr>
        <w:pStyle w:val="5"/>
        <w:rPr>
          <w:color w:val="000000" w:themeColor="text1"/>
          <w14:textFill>
            <w14:solidFill>
              <w14:schemeClr w14:val="tx1"/>
            </w14:solidFill>
          </w14:textFill>
        </w:rPr>
      </w:pPr>
      <w:bookmarkStart w:id="237" w:name="应急演练计划"/>
      <w:r>
        <w:rPr>
          <w:color w:val="000000" w:themeColor="text1"/>
          <w14:textFill>
            <w14:solidFill>
              <w14:schemeClr w14:val="tx1"/>
            </w14:solidFill>
          </w14:textFill>
        </w:rPr>
        <w:t xml:space="preserve">5.9.8 </w:t>
      </w:r>
      <w:r>
        <w:rPr>
          <w:rFonts w:hint="eastAsia"/>
          <w:color w:val="000000" w:themeColor="text1"/>
          <w14:textFill>
            <w14:solidFill>
              <w14:schemeClr w14:val="tx1"/>
            </w14:solidFill>
          </w14:textFill>
        </w:rPr>
        <w:t>应急演练计划</w:t>
      </w:r>
    </w:p>
    <w:p w14:paraId="07A2886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运维期内定期组织应急演练，覆盖宕机切换、数据库故障、备份恢复、安全事件等典型场景，检验预案有效性与团队处置能力；演练形成记录并据此优化预案与处置卡，做到”平时练、战时用”。</w:t>
      </w:r>
    </w:p>
    <w:p w14:paraId="394563A8">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80000" cy="17627600"/>
            <wp:effectExtent l="0" t="0" r="0" b="0"/>
            <wp:docPr id="317" name="Picture" descr="图5-3 应急预案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descr="图5-3 应急预案流程图"/>
                    <pic:cNvPicPr>
                      <a:picLocks noChangeAspect="1" noChangeArrowheads="1"/>
                    </pic:cNvPicPr>
                  </pic:nvPicPr>
                  <pic:blipFill>
                    <a:blip r:embed="rId25"/>
                    <a:stretch>
                      <a:fillRect/>
                    </a:stretch>
                  </pic:blipFill>
                  <pic:spPr>
                    <a:xfrm>
                      <a:off x="0" y="0"/>
                      <a:ext cx="5080000" cy="17627600"/>
                    </a:xfrm>
                    <a:prstGeom prst="rect">
                      <a:avLst/>
                    </a:prstGeom>
                    <a:noFill/>
                    <a:ln w="9525">
                      <a:noFill/>
                    </a:ln>
                  </pic:spPr>
                </pic:pic>
              </a:graphicData>
            </a:graphic>
          </wp:inline>
        </w:drawing>
      </w:r>
    </w:p>
    <w:p w14:paraId="5361C18D">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图5-3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应急预案流程图</w:t>
      </w:r>
    </w:p>
    <w:p w14:paraId="78321A88">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图5-3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应急预案流程图</w:t>
      </w:r>
    </w:p>
    <w:bookmarkEnd w:id="229"/>
    <w:bookmarkEnd w:id="237"/>
    <w:p w14:paraId="4505D912">
      <w:pPr>
        <w:pStyle w:val="4"/>
        <w:rPr>
          <w:color w:val="000000" w:themeColor="text1"/>
          <w14:textFill>
            <w14:solidFill>
              <w14:schemeClr w14:val="tx1"/>
            </w14:solidFill>
          </w14:textFill>
        </w:rPr>
      </w:pPr>
      <w:bookmarkStart w:id="238" w:name="系统及软件运行保障"/>
      <w:r>
        <w:rPr>
          <w:color w:val="000000" w:themeColor="text1"/>
          <w14:textFill>
            <w14:solidFill>
              <w14:schemeClr w14:val="tx1"/>
            </w14:solidFill>
          </w14:textFill>
        </w:rPr>
        <w:t xml:space="preserve">5.10 </w:t>
      </w:r>
      <w:r>
        <w:rPr>
          <w:rFonts w:hint="eastAsia"/>
          <w:color w:val="000000" w:themeColor="text1"/>
          <w14:textFill>
            <w14:solidFill>
              <w14:schemeClr w14:val="tx1"/>
            </w14:solidFill>
          </w14:textFill>
        </w:rPr>
        <w:t>系统及软件运行保障</w:t>
      </w:r>
    </w:p>
    <w:p w14:paraId="6101510E">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保障操作系统、数据库、中间件、应用长期稳定运行；</w:t>
      </w:r>
    </w:p>
    <w:p w14:paraId="42FADF1E">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定期健康检查与性能调优（慢查询治理、缓存优化、连接池调优）；</w:t>
      </w:r>
    </w:p>
    <w:p w14:paraId="7B3F343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容量管理与扩容评估，保障业务增长下的性能；</w:t>
      </w:r>
    </w:p>
    <w:p w14:paraId="69AB1E4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版本与补丁管理，兼顾安全与稳定。</w:t>
      </w:r>
    </w:p>
    <w:bookmarkEnd w:id="238"/>
    <w:p w14:paraId="48152A31">
      <w:pPr>
        <w:pStyle w:val="4"/>
        <w:rPr>
          <w:color w:val="000000" w:themeColor="text1"/>
          <w14:textFill>
            <w14:solidFill>
              <w14:schemeClr w14:val="tx1"/>
            </w14:solidFill>
          </w14:textFill>
        </w:rPr>
      </w:pPr>
      <w:bookmarkStart w:id="239" w:name="运维人员配置"/>
      <w:r>
        <w:rPr>
          <w:color w:val="000000" w:themeColor="text1"/>
          <w14:textFill>
            <w14:solidFill>
              <w14:schemeClr w14:val="tx1"/>
            </w14:solidFill>
          </w14:textFill>
        </w:rPr>
        <w:t xml:space="preserve">5.11 </w:t>
      </w:r>
      <w:r>
        <w:rPr>
          <w:rFonts w:hint="eastAsia"/>
          <w:color w:val="000000" w:themeColor="text1"/>
          <w14:textFill>
            <w14:solidFill>
              <w14:schemeClr w14:val="tx1"/>
            </w14:solidFill>
          </w14:textFill>
        </w:rPr>
        <w:t>运维人员配置</w:t>
      </w:r>
    </w:p>
    <w:p w14:paraId="6B23BB0D">
      <w:pPr>
        <w:pStyle w:val="5"/>
        <w:rPr>
          <w:color w:val="000000" w:themeColor="text1"/>
          <w14:textFill>
            <w14:solidFill>
              <w14:schemeClr w14:val="tx1"/>
            </w14:solidFill>
          </w14:textFill>
        </w:rPr>
      </w:pPr>
      <w:bookmarkStart w:id="240" w:name="运维团队与职责"/>
      <w:r>
        <w:rPr>
          <w:color w:val="000000" w:themeColor="text1"/>
          <w14:textFill>
            <w14:solidFill>
              <w14:schemeClr w14:val="tx1"/>
            </w14:solidFill>
          </w14:textFill>
        </w:rPr>
        <w:t xml:space="preserve">5.11.1 </w:t>
      </w:r>
      <w:r>
        <w:rPr>
          <w:rFonts w:hint="eastAsia"/>
          <w:color w:val="000000" w:themeColor="text1"/>
          <w14:textFill>
            <w14:solidFill>
              <w14:schemeClr w14:val="tx1"/>
            </w14:solidFill>
          </w14:textFill>
        </w:rPr>
        <w:t>运维团队与职责</w:t>
      </w:r>
    </w:p>
    <w:p w14:paraId="5F98A24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配置稳定的驻场运维力量，涵盖运维负责人、系统/数据库运维、应用运维、安全运维等职责（可与开发团队协同复用），满足</w:t>
      </w:r>
      <w:r>
        <w:rPr>
          <w:color w:val="000000" w:themeColor="text1"/>
          <w14:textFill>
            <w14:solidFill>
              <w14:schemeClr w14:val="tx1"/>
            </w14:solidFill>
          </w14:textFill>
        </w:rPr>
        <w:t xml:space="preserve"> 7×24 </w:t>
      </w:r>
      <w:r>
        <w:rPr>
          <w:rFonts w:hint="eastAsia"/>
          <w:color w:val="000000" w:themeColor="text1"/>
          <w14:textFill>
            <w14:solidFill>
              <w14:schemeClr w14:val="tx1"/>
            </w14:solidFill>
          </w14:textFill>
        </w:rPr>
        <w:t>响应与驻场要求，人员具备</w:t>
      </w:r>
      <w:r>
        <w:rPr>
          <w:color w:val="000000" w:themeColor="text1"/>
          <w14:textFill>
            <w14:solidFill>
              <w14:schemeClr w14:val="tx1"/>
            </w14:solidFill>
          </w14:textFill>
        </w:rPr>
        <w:t xml:space="preserve"> 3 </w:t>
      </w:r>
      <w:r>
        <w:rPr>
          <w:rFonts w:hint="eastAsia"/>
          <w:color w:val="000000" w:themeColor="text1"/>
          <w14:textFill>
            <w14:solidFill>
              <w14:schemeClr w14:val="tx1"/>
            </w14:solidFill>
          </w14:textFill>
        </w:rPr>
        <w:t>年以上系统运维及管理经验。</w:t>
      </w:r>
    </w:p>
    <w:bookmarkEnd w:id="240"/>
    <w:p w14:paraId="20F626AA">
      <w:pPr>
        <w:pStyle w:val="5"/>
        <w:rPr>
          <w:color w:val="000000" w:themeColor="text1"/>
          <w14:textFill>
            <w14:solidFill>
              <w14:schemeClr w14:val="tx1"/>
            </w14:solidFill>
          </w14:textFill>
        </w:rPr>
      </w:pPr>
      <w:bookmarkStart w:id="241" w:name="用户常态化培训计划"/>
      <w:r>
        <w:rPr>
          <w:color w:val="000000" w:themeColor="text1"/>
          <w14:textFill>
            <w14:solidFill>
              <w14:schemeClr w14:val="tx1"/>
            </w14:solidFill>
          </w14:textFill>
        </w:rPr>
        <w:t xml:space="preserve">5.11.2 </w:t>
      </w:r>
      <w:r>
        <w:rPr>
          <w:rFonts w:hint="eastAsia"/>
          <w:color w:val="000000" w:themeColor="text1"/>
          <w14:textFill>
            <w14:solidFill>
              <w14:schemeClr w14:val="tx1"/>
            </w14:solidFill>
          </w14:textFill>
        </w:rPr>
        <w:t>用户常态化培训计划</w:t>
      </w:r>
    </w:p>
    <w:p w14:paraId="44938A5A">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上线初期集中培训管理人员操作；</w:t>
      </w:r>
    </w:p>
    <w:p w14:paraId="13D42907">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运维期定期回访与专题培训，随功能迭代更新培训内容；</w:t>
      </w:r>
    </w:p>
    <w:p w14:paraId="74CC803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提供操作手册与培训材料。</w:t>
      </w:r>
    </w:p>
    <w:bookmarkEnd w:id="241"/>
    <w:p w14:paraId="4E4E1963">
      <w:pPr>
        <w:pStyle w:val="5"/>
        <w:rPr>
          <w:color w:val="000000" w:themeColor="text1"/>
          <w14:textFill>
            <w14:solidFill>
              <w14:schemeClr w14:val="tx1"/>
            </w14:solidFill>
          </w14:textFill>
        </w:rPr>
      </w:pPr>
      <w:bookmarkStart w:id="242" w:name="运维知识库"/>
      <w:r>
        <w:rPr>
          <w:color w:val="000000" w:themeColor="text1"/>
          <w14:textFill>
            <w14:solidFill>
              <w14:schemeClr w14:val="tx1"/>
            </w14:solidFill>
          </w14:textFill>
        </w:rPr>
        <w:t xml:space="preserve">5.11.3 </w:t>
      </w:r>
      <w:r>
        <w:rPr>
          <w:rFonts w:hint="eastAsia"/>
          <w:color w:val="000000" w:themeColor="text1"/>
          <w14:textFill>
            <w14:solidFill>
              <w14:schemeClr w14:val="tx1"/>
            </w14:solidFill>
          </w14:textFill>
        </w:rPr>
        <w:t>运维知识库</w:t>
      </w:r>
    </w:p>
    <w:p w14:paraId="661AA0B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沉淀故障案例、处置手册、常见问题、系统文档，形成运维知识库，提升处置效率、降低人员变动风险。</w:t>
      </w:r>
    </w:p>
    <w:bookmarkEnd w:id="242"/>
    <w:p w14:paraId="4ED2084A">
      <w:pPr>
        <w:pStyle w:val="5"/>
        <w:rPr>
          <w:color w:val="000000" w:themeColor="text1"/>
          <w14:textFill>
            <w14:solidFill>
              <w14:schemeClr w14:val="tx1"/>
            </w14:solidFill>
          </w14:textFill>
        </w:rPr>
      </w:pPr>
      <w:bookmarkStart w:id="243" w:name="六年运维分年度安排"/>
      <w:r>
        <w:rPr>
          <w:color w:val="000000" w:themeColor="text1"/>
          <w14:textFill>
            <w14:solidFill>
              <w14:schemeClr w14:val="tx1"/>
            </w14:solidFill>
          </w14:textFill>
        </w:rPr>
        <w:t xml:space="preserve">5.11.4 </w:t>
      </w:r>
      <w:r>
        <w:rPr>
          <w:rFonts w:hint="eastAsia"/>
          <w:color w:val="000000" w:themeColor="text1"/>
          <w14:textFill>
            <w14:solidFill>
              <w14:schemeClr w14:val="tx1"/>
            </w14:solidFill>
          </w14:textFill>
        </w:rPr>
        <w:t>六年运维分年度安排</w:t>
      </w:r>
    </w:p>
    <w:p w14:paraId="75DEEAB8">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六年免费运维期内，运维工作按”稳定保障为主、迭代优化为辅”的节奏推进，各年度既有共性常态工作，也有阶段侧重：</w:t>
      </w:r>
    </w:p>
    <w:tbl>
      <w:tblPr>
        <w:tblStyle w:val="41"/>
        <w:tblW w:w="5000" w:type="pct"/>
        <w:tblInd w:w="0" w:type="dxa"/>
        <w:tblLayout w:type="fixed"/>
        <w:tblCellMar>
          <w:top w:w="0" w:type="dxa"/>
          <w:left w:w="108" w:type="dxa"/>
          <w:bottom w:w="0" w:type="dxa"/>
          <w:right w:w="108" w:type="dxa"/>
        </w:tblCellMar>
      </w:tblPr>
      <w:tblGrid>
        <w:gridCol w:w="1925"/>
        <w:gridCol w:w="3466"/>
        <w:gridCol w:w="3466"/>
      </w:tblGrid>
      <w:tr w14:paraId="6D1A9778">
        <w:trPr>
          <w:tblHeader/>
        </w:trPr>
        <w:tc>
          <w:p w14:paraId="22EFAC1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年度</w:t>
            </w:r>
          </w:p>
        </w:tc>
        <w:tc>
          <w:p w14:paraId="546A461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工作侧重</w:t>
            </w:r>
          </w:p>
        </w:tc>
        <w:tc>
          <w:p w14:paraId="4C96125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常态工作</w:t>
            </w:r>
          </w:p>
        </w:tc>
      </w:tr>
      <w:tr w14:paraId="6B3492E5">
        <w:tc>
          <w:p w14:paraId="3382101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第1年</w:t>
            </w:r>
          </w:p>
        </w:tc>
        <w:tc>
          <w:p w14:paraId="251B9A1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系统稳定期保障、用户培训强化、问题快速收敛</w:t>
            </w:r>
          </w:p>
        </w:tc>
        <w:tc>
          <w:p w14:paraId="04D5E49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巡检、监控、备份、周月报、故障处置</w:t>
            </w:r>
          </w:p>
        </w:tc>
      </w:tr>
      <w:tr w14:paraId="74260F65">
        <w:tc>
          <w:p w14:paraId="2FD963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第2—3年</w:t>
            </w:r>
          </w:p>
        </w:tc>
        <w:tc>
          <w:p w14:paraId="7D6A578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按需迭代优化、性能与体验提升、安全复测</w:t>
            </w:r>
          </w:p>
        </w:tc>
        <w:tc>
          <w:p w14:paraId="7C7C773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同上</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迭代优化、等保复测配合</w:t>
            </w:r>
          </w:p>
        </w:tc>
      </w:tr>
      <w:tr w14:paraId="79BD1062">
        <w:tc>
          <w:p w14:paraId="012011A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第4—5年</w:t>
            </w:r>
          </w:p>
        </w:tc>
        <w:tc>
          <w:p w14:paraId="19625C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容量评估与优化、技术组件安全升级评估</w:t>
            </w:r>
          </w:p>
        </w:tc>
        <w:tc>
          <w:p w14:paraId="0D2BE1F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同上</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容量与版本管理</w:t>
            </w:r>
          </w:p>
        </w:tc>
      </w:tr>
      <w:tr w14:paraId="5E3BBD61">
        <w:tc>
          <w:p w14:paraId="6AC4F66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第6年</w:t>
            </w:r>
          </w:p>
        </w:tc>
        <w:tc>
          <w:p w14:paraId="6D87647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期满移交准备、文档与知识库完善、平稳过渡</w:t>
            </w:r>
          </w:p>
        </w:tc>
        <w:tc>
          <w:p w14:paraId="7F4052D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同上</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移交准备</w:t>
            </w:r>
          </w:p>
        </w:tc>
      </w:tr>
    </w:tbl>
    <w:p w14:paraId="0C13452C">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每年度形成年度运维总结，回顾运行情况、故障统计、改进成效并规划下一年度重点；六年间保持人员与服务的连续性，关键岗位不断档。</w:t>
      </w:r>
    </w:p>
    <w:bookmarkEnd w:id="239"/>
    <w:bookmarkEnd w:id="243"/>
    <w:p w14:paraId="5812DF7F">
      <w:pPr>
        <w:pStyle w:val="4"/>
        <w:rPr>
          <w:color w:val="000000" w:themeColor="text1"/>
          <w14:textFill>
            <w14:solidFill>
              <w14:schemeClr w14:val="tx1"/>
            </w14:solidFill>
          </w14:textFill>
        </w:rPr>
      </w:pPr>
      <w:bookmarkStart w:id="244" w:name="数据备份"/>
      <w:r>
        <w:rPr>
          <w:color w:val="000000" w:themeColor="text1"/>
          <w14:textFill>
            <w14:solidFill>
              <w14:schemeClr w14:val="tx1"/>
            </w14:solidFill>
          </w14:textFill>
        </w:rPr>
        <w:t xml:space="preserve">5.12 </w:t>
      </w:r>
      <w:r>
        <w:rPr>
          <w:rFonts w:hint="eastAsia"/>
          <w:color w:val="000000" w:themeColor="text1"/>
          <w14:textFill>
            <w14:solidFill>
              <w14:schemeClr w14:val="tx1"/>
            </w14:solidFill>
          </w14:textFill>
        </w:rPr>
        <w:t>数据备份</w:t>
      </w:r>
    </w:p>
    <w:p w14:paraId="66F41A04">
      <w:pPr>
        <w:pStyle w:val="5"/>
        <w:rPr>
          <w:color w:val="000000" w:themeColor="text1"/>
          <w14:textFill>
            <w14:solidFill>
              <w14:schemeClr w14:val="tx1"/>
            </w14:solidFill>
          </w14:textFill>
        </w:rPr>
      </w:pPr>
      <w:bookmarkStart w:id="245" w:name="备份策略明细"/>
      <w:r>
        <w:rPr>
          <w:color w:val="000000" w:themeColor="text1"/>
          <w14:textFill>
            <w14:solidFill>
              <w14:schemeClr w14:val="tx1"/>
            </w14:solidFill>
          </w14:textFill>
        </w:rPr>
        <w:t xml:space="preserve">5.12.1 </w:t>
      </w:r>
      <w:r>
        <w:rPr>
          <w:rFonts w:hint="eastAsia"/>
          <w:color w:val="000000" w:themeColor="text1"/>
          <w14:textFill>
            <w14:solidFill>
              <w14:schemeClr w14:val="tx1"/>
            </w14:solidFill>
          </w14:textFill>
        </w:rPr>
        <w:t>备份策略明细</w:t>
      </w:r>
    </w:p>
    <w:tbl>
      <w:tblPr>
        <w:tblStyle w:val="41"/>
        <w:tblW w:w="0" w:type="auto"/>
        <w:tblInd w:w="0" w:type="dxa"/>
        <w:tblLayout w:type="autofit"/>
        <w:tblCellMar>
          <w:top w:w="0" w:type="dxa"/>
          <w:left w:w="108" w:type="dxa"/>
          <w:bottom w:w="0" w:type="dxa"/>
          <w:right w:w="108" w:type="dxa"/>
        </w:tblCellMar>
      </w:tblPr>
      <w:tblGrid>
        <w:gridCol w:w="1416"/>
        <w:gridCol w:w="936"/>
        <w:gridCol w:w="1256"/>
        <w:gridCol w:w="1416"/>
      </w:tblGrid>
      <w:tr w14:paraId="1C2A5546">
        <w:trPr>
          <w:tblHeader/>
        </w:trPr>
        <w:tc>
          <w:p w14:paraId="2E334F2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备份对象</w:t>
            </w:r>
          </w:p>
        </w:tc>
        <w:tc>
          <w:p w14:paraId="6733FD2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方式</w:t>
            </w:r>
          </w:p>
        </w:tc>
        <w:tc>
          <w:p w14:paraId="2950052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频率</w:t>
            </w:r>
          </w:p>
        </w:tc>
        <w:tc>
          <w:p w14:paraId="3F269AC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保留</w:t>
            </w:r>
          </w:p>
        </w:tc>
      </w:tr>
      <w:tr w14:paraId="5F2285CB">
        <w:tc>
          <w:p w14:paraId="7FA0061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业务数据库</w:t>
            </w:r>
          </w:p>
        </w:tc>
        <w:tc>
          <w:p w14:paraId="07DC7CB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全量</w:t>
            </w:r>
          </w:p>
        </w:tc>
        <w:tc>
          <w:p w14:paraId="323EF48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每周</w:t>
            </w:r>
          </w:p>
        </w:tc>
        <w:tc>
          <w:p w14:paraId="5877277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按约定周期</w:t>
            </w:r>
          </w:p>
        </w:tc>
      </w:tr>
      <w:tr w14:paraId="659B64FC">
        <w:tc>
          <w:p w14:paraId="2716E14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业务数据库</w:t>
            </w:r>
          </w:p>
        </w:tc>
        <w:tc>
          <w:p w14:paraId="6050E23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增量</w:t>
            </w:r>
          </w:p>
        </w:tc>
        <w:tc>
          <w:p w14:paraId="77558BB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每日</w:t>
            </w:r>
          </w:p>
        </w:tc>
        <w:tc>
          <w:p w14:paraId="091D76B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按约定周期</w:t>
            </w:r>
          </w:p>
        </w:tc>
      </w:tr>
      <w:tr w14:paraId="3833B024">
        <w:tc>
          <w:p w14:paraId="68DA714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配置与代码</w:t>
            </w:r>
          </w:p>
        </w:tc>
        <w:tc>
          <w:p w14:paraId="4F65591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版本化</w:t>
            </w:r>
          </w:p>
        </w:tc>
        <w:tc>
          <w:p w14:paraId="0B093B3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变更即备</w:t>
            </w:r>
          </w:p>
        </w:tc>
        <w:tc>
          <w:p w14:paraId="57D598E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长期</w:t>
            </w:r>
          </w:p>
        </w:tc>
      </w:tr>
      <w:tr w14:paraId="7C1DED7A">
        <w:tc>
          <w:p w14:paraId="3EA6D2D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上传文件</w:t>
            </w:r>
          </w:p>
        </w:tc>
        <w:tc>
          <w:p w14:paraId="32A478D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定期</w:t>
            </w:r>
          </w:p>
        </w:tc>
        <w:tc>
          <w:p w14:paraId="62E1B73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每日/每周</w:t>
            </w:r>
          </w:p>
        </w:tc>
        <w:tc>
          <w:p w14:paraId="241A334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按约定周期</w:t>
            </w:r>
          </w:p>
        </w:tc>
      </w:tr>
    </w:tbl>
    <w:p w14:paraId="291A7E9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备份数据加密存放，异地/异介质保存，防止单点丢失。</w:t>
      </w:r>
    </w:p>
    <w:p w14:paraId="7B24AF3C">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2333625"/>
            <wp:effectExtent l="0" t="0" r="0" b="0"/>
            <wp:docPr id="328" name="Picture" descr="图5-4 备份恢复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descr="图5-4 备份恢复体系图"/>
                    <pic:cNvPicPr>
                      <a:picLocks noChangeAspect="1" noChangeArrowheads="1"/>
                    </pic:cNvPicPr>
                  </pic:nvPicPr>
                  <pic:blipFill>
                    <a:blip r:embed="rId28"/>
                    <a:stretch>
                      <a:fillRect/>
                    </a:stretch>
                  </pic:blipFill>
                  <pic:spPr>
                    <a:xfrm>
                      <a:off x="0" y="0"/>
                      <a:ext cx="5334000" cy="2333625"/>
                    </a:xfrm>
                    <a:prstGeom prst="rect">
                      <a:avLst/>
                    </a:prstGeom>
                    <a:noFill/>
                    <a:ln w="9525">
                      <a:noFill/>
                    </a:ln>
                  </pic:spPr>
                </pic:pic>
              </a:graphicData>
            </a:graphic>
          </wp:inline>
        </w:drawing>
      </w:r>
    </w:p>
    <w:p w14:paraId="7F9CAEEA">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图5-4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备份恢复体系图</w:t>
      </w:r>
    </w:p>
    <w:p w14:paraId="2AF6F0E8">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图5-4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备份恢复体系图</w:t>
      </w:r>
    </w:p>
    <w:bookmarkEnd w:id="245"/>
    <w:p w14:paraId="2D5FDF1B">
      <w:pPr>
        <w:pStyle w:val="5"/>
        <w:rPr>
          <w:color w:val="000000" w:themeColor="text1"/>
          <w14:textFill>
            <w14:solidFill>
              <w14:schemeClr w14:val="tx1"/>
            </w14:solidFill>
          </w14:textFill>
        </w:rPr>
      </w:pPr>
      <w:bookmarkStart w:id="246" w:name="恢复演练方案"/>
      <w:r>
        <w:rPr>
          <w:color w:val="000000" w:themeColor="text1"/>
          <w14:textFill>
            <w14:solidFill>
              <w14:schemeClr w14:val="tx1"/>
            </w14:solidFill>
          </w14:textFill>
        </w:rPr>
        <w:t xml:space="preserve">5.12.2 </w:t>
      </w:r>
      <w:r>
        <w:rPr>
          <w:rFonts w:hint="eastAsia"/>
          <w:color w:val="000000" w:themeColor="text1"/>
          <w14:textFill>
            <w14:solidFill>
              <w14:schemeClr w14:val="tx1"/>
            </w14:solidFill>
          </w14:textFill>
        </w:rPr>
        <w:t>恢复演练方案</w:t>
      </w:r>
    </w:p>
    <w:p w14:paraId="1712FF21">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定期开展恢复演练，验证备份可用性与恢复时效（RTO/RPO），演练结果记录并优化备份策略，确保”备得了、也恢复得了”。</w:t>
      </w:r>
    </w:p>
    <w:p w14:paraId="001E5BAE">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恢复目标（RTO/RPO）</w:t>
      </w:r>
      <w:r>
        <w:rPr>
          <w:rFonts w:hint="eastAsia"/>
          <w:color w:val="000000" w:themeColor="text1"/>
          <w14:textFill>
            <w14:solidFill>
              <w14:schemeClr w14:val="tx1"/>
            </w14:solidFill>
          </w14:textFill>
        </w:rPr>
        <w:t>：针对不同故障级别设定分层恢复目标，指导备份策略与演练：</w:t>
      </w:r>
    </w:p>
    <w:tbl>
      <w:tblPr>
        <w:tblStyle w:val="41"/>
        <w:tblW w:w="0" w:type="auto"/>
        <w:tblInd w:w="0" w:type="dxa"/>
        <w:tblLayout w:type="autofit"/>
        <w:tblCellMar>
          <w:top w:w="0" w:type="dxa"/>
          <w:left w:w="108" w:type="dxa"/>
          <w:bottom w:w="0" w:type="dxa"/>
          <w:right w:w="108" w:type="dxa"/>
        </w:tblCellMar>
      </w:tblPr>
      <w:tblGrid>
        <w:gridCol w:w="1656"/>
        <w:gridCol w:w="1728"/>
        <w:gridCol w:w="2226"/>
        <w:gridCol w:w="2760"/>
      </w:tblGrid>
      <w:tr w14:paraId="6E434077">
        <w:trPr>
          <w:tblHeader/>
        </w:trPr>
        <w:tc>
          <w:p w14:paraId="7DCFE94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故障类型</w:t>
            </w:r>
          </w:p>
        </w:tc>
        <w:tc>
          <w:p w14:paraId="19C30B8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恢复目标</w:t>
            </w:r>
            <w:r>
              <w:rPr>
                <w:color w:val="000000" w:themeColor="text1"/>
                <w14:textFill>
                  <w14:solidFill>
                    <w14:schemeClr w14:val="tx1"/>
                  </w14:solidFill>
                </w14:textFill>
              </w:rPr>
              <w:t xml:space="preserve"> RTO</w:t>
            </w:r>
          </w:p>
        </w:tc>
        <w:tc>
          <w:p w14:paraId="2D57A4F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数据丢失容忍</w:t>
            </w:r>
            <w:r>
              <w:rPr>
                <w:color w:val="000000" w:themeColor="text1"/>
                <w14:textFill>
                  <w14:solidFill>
                    <w14:schemeClr w14:val="tx1"/>
                  </w14:solidFill>
                </w14:textFill>
              </w:rPr>
              <w:t xml:space="preserve"> RPO</w:t>
            </w:r>
          </w:p>
        </w:tc>
        <w:tc>
          <w:p w14:paraId="316021E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恢复手段</w:t>
            </w:r>
          </w:p>
        </w:tc>
      </w:tr>
      <w:tr w14:paraId="45AAD285">
        <w:tc>
          <w:p w14:paraId="59CC90D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应用实例故障</w:t>
            </w:r>
          </w:p>
        </w:tc>
        <w:tc>
          <w:p w14:paraId="6843C8F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分钟级</w:t>
            </w:r>
          </w:p>
        </w:tc>
        <w:tc>
          <w:p w14:paraId="3B2647C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无数据丢失</w:t>
            </w:r>
          </w:p>
        </w:tc>
        <w:tc>
          <w:p w14:paraId="6A25CB2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健康实例接管/重启扩容</w:t>
            </w:r>
          </w:p>
        </w:tc>
      </w:tr>
      <w:tr w14:paraId="29556081">
        <w:tc>
          <w:p w14:paraId="1B69B90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数据库故障</w:t>
            </w:r>
          </w:p>
        </w:tc>
        <w:tc>
          <w:p w14:paraId="448B030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小时级</w:t>
            </w:r>
          </w:p>
        </w:tc>
        <w:tc>
          <w:p w14:paraId="37A8956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尽量趋近于零</w:t>
            </w:r>
          </w:p>
        </w:tc>
        <w:tc>
          <w:p w14:paraId="337DAD7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主备切换/最近备份恢复</w:t>
            </w:r>
          </w:p>
        </w:tc>
      </w:tr>
      <w:tr w14:paraId="56481B54">
        <w:tc>
          <w:p w14:paraId="264E035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数据误操作</w:t>
            </w:r>
          </w:p>
        </w:tc>
        <w:tc>
          <w:p w14:paraId="6071875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按影响评估</w:t>
            </w:r>
          </w:p>
        </w:tc>
        <w:tc>
          <w:p w14:paraId="4FC5F3F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至最近可用备份点</w:t>
            </w:r>
          </w:p>
        </w:tc>
        <w:tc>
          <w:p w14:paraId="37ED9FB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备份+操作日志回滚修复</w:t>
            </w:r>
          </w:p>
        </w:tc>
      </w:tr>
      <w:tr w14:paraId="7027CECD">
        <w:tc>
          <w:p w14:paraId="2268FD3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机房级灾难</w:t>
            </w:r>
          </w:p>
        </w:tc>
        <w:tc>
          <w:p w14:paraId="4659691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按约定</w:t>
            </w:r>
          </w:p>
        </w:tc>
        <w:tc>
          <w:p w14:paraId="6B02BBD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至异地备份点</w:t>
            </w:r>
          </w:p>
        </w:tc>
        <w:tc>
          <w:p w14:paraId="2AE653B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异地/异介质备份恢复</w:t>
            </w:r>
          </w:p>
        </w:tc>
      </w:tr>
    </w:tbl>
    <w:p w14:paraId="08B745D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具体</w:t>
      </w:r>
      <w:r>
        <w:rPr>
          <w:color w:val="000000" w:themeColor="text1"/>
          <w14:textFill>
            <w14:solidFill>
              <w14:schemeClr w14:val="tx1"/>
            </w14:solidFill>
          </w14:textFill>
        </w:rPr>
        <w:t xml:space="preserve"> RTO/RPO </w:t>
      </w:r>
      <w:r>
        <w:rPr>
          <w:rFonts w:hint="eastAsia"/>
          <w:color w:val="000000" w:themeColor="text1"/>
          <w14:textFill>
            <w14:solidFill>
              <w14:schemeClr w14:val="tx1"/>
            </w14:solidFill>
          </w14:textFill>
        </w:rPr>
        <w:t>指标在运维协议中与甲方确认；每次恢复演练均核对是否达成目标，未达成则优化备份频率与恢复流程。</w:t>
      </w:r>
    </w:p>
    <w:bookmarkEnd w:id="244"/>
    <w:bookmarkEnd w:id="246"/>
    <w:p w14:paraId="3055ADFF">
      <w:pPr>
        <w:pStyle w:val="4"/>
        <w:rPr>
          <w:color w:val="000000" w:themeColor="text1"/>
          <w14:textFill>
            <w14:solidFill>
              <w14:schemeClr w14:val="tx1"/>
            </w14:solidFill>
          </w14:textFill>
        </w:rPr>
      </w:pPr>
      <w:bookmarkStart w:id="247" w:name="运维服务持续改进"/>
      <w:r>
        <w:rPr>
          <w:color w:val="000000" w:themeColor="text1"/>
          <w14:textFill>
            <w14:solidFill>
              <w14:schemeClr w14:val="tx1"/>
            </w14:solidFill>
          </w14:textFill>
        </w:rPr>
        <w:t xml:space="preserve">5.13 </w:t>
      </w:r>
      <w:r>
        <w:rPr>
          <w:rFonts w:hint="eastAsia"/>
          <w:color w:val="000000" w:themeColor="text1"/>
          <w14:textFill>
            <w14:solidFill>
              <w14:schemeClr w14:val="tx1"/>
            </w14:solidFill>
          </w14:textFill>
        </w:rPr>
        <w:t>运维服务持续改进</w:t>
      </w:r>
    </w:p>
    <w:p w14:paraId="3E89D130">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建立”监控—分析—优化”的持续改进机制，基于监控数据、故障复盘、用户反馈定期优化系统与运维流程，形成改进闭环。</w:t>
      </w:r>
    </w:p>
    <w:bookmarkEnd w:id="247"/>
    <w:p w14:paraId="24618B7C">
      <w:pPr>
        <w:pStyle w:val="4"/>
        <w:rPr>
          <w:color w:val="000000" w:themeColor="text1"/>
          <w14:textFill>
            <w14:solidFill>
              <w14:schemeClr w14:val="tx1"/>
            </w14:solidFill>
          </w14:textFill>
        </w:rPr>
      </w:pPr>
      <w:bookmarkStart w:id="248" w:name="运维报告体系"/>
      <w:r>
        <w:rPr>
          <w:color w:val="000000" w:themeColor="text1"/>
          <w14:textFill>
            <w14:solidFill>
              <w14:schemeClr w14:val="tx1"/>
            </w14:solidFill>
          </w14:textFill>
        </w:rPr>
        <w:t xml:space="preserve">5.14 </w:t>
      </w:r>
      <w:r>
        <w:rPr>
          <w:rFonts w:hint="eastAsia"/>
          <w:color w:val="000000" w:themeColor="text1"/>
          <w14:textFill>
            <w14:solidFill>
              <w14:schemeClr w14:val="tx1"/>
            </w14:solidFill>
          </w14:textFill>
        </w:rPr>
        <w:t>运维报告体系</w:t>
      </w:r>
    </w:p>
    <w:p w14:paraId="6B04CBB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周报</w:t>
      </w:r>
      <w:r>
        <w:rPr>
          <w:rFonts w:hint="eastAsia"/>
          <w:color w:val="000000" w:themeColor="text1"/>
          <w14:textFill>
            <w14:solidFill>
              <w14:schemeClr w14:val="tx1"/>
            </w14:solidFill>
          </w14:textFill>
        </w:rPr>
        <w:t>：系统运行、故障处理、待办事项；</w:t>
      </w:r>
    </w:p>
    <w:p w14:paraId="1298854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月报</w:t>
      </w:r>
      <w:r>
        <w:rPr>
          <w:rFonts w:hint="eastAsia"/>
          <w:color w:val="000000" w:themeColor="text1"/>
          <w14:textFill>
            <w14:solidFill>
              <w14:schemeClr w14:val="tx1"/>
            </w14:solidFill>
          </w14:textFill>
        </w:rPr>
        <w:t>：运行指标、故障统计、优化情况、下月计划（每月末前2个工作日报送）；</w:t>
      </w:r>
    </w:p>
    <w:p w14:paraId="23540D36">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专项报告</w:t>
      </w:r>
      <w:r>
        <w:rPr>
          <w:rFonts w:hint="eastAsia"/>
          <w:color w:val="000000" w:themeColor="text1"/>
          <w14:textFill>
            <w14:solidFill>
              <w14:schemeClr w14:val="tx1"/>
            </w14:solidFill>
          </w14:textFill>
        </w:rPr>
        <w:t>：重大变更、重大故障、安全事件专项报告。</w:t>
      </w:r>
    </w:p>
    <w:bookmarkEnd w:id="248"/>
    <w:p w14:paraId="5EE9C9A5">
      <w:pPr>
        <w:pStyle w:val="4"/>
        <w:rPr>
          <w:color w:val="000000" w:themeColor="text1"/>
          <w14:textFill>
            <w14:solidFill>
              <w14:schemeClr w14:val="tx1"/>
            </w14:solidFill>
          </w14:textFill>
        </w:rPr>
      </w:pPr>
      <w:bookmarkStart w:id="249" w:name="运维服务期满移交方案"/>
      <w:r>
        <w:rPr>
          <w:color w:val="000000" w:themeColor="text1"/>
          <w14:textFill>
            <w14:solidFill>
              <w14:schemeClr w14:val="tx1"/>
            </w14:solidFill>
          </w14:textFill>
        </w:rPr>
        <w:t xml:space="preserve">5.15 </w:t>
      </w:r>
      <w:r>
        <w:rPr>
          <w:rFonts w:hint="eastAsia"/>
          <w:color w:val="000000" w:themeColor="text1"/>
          <w14:textFill>
            <w14:solidFill>
              <w14:schemeClr w14:val="tx1"/>
            </w14:solidFill>
          </w14:textFill>
        </w:rPr>
        <w:t>运维服务期满移交方案</w:t>
      </w:r>
    </w:p>
    <w:p w14:paraId="5C95C8D4">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六年运维服务期满前，制定移交方案：整理并交付完整系统文档、源代码、运维记录与知识库，配合甲方或后续运维方开展知识转移与过渡衔接，设置过渡期保障平稳交接，运维保证金按约定在期满后结算。</w:t>
      </w:r>
    </w:p>
    <w:p w14:paraId="048FE728">
      <w:pPr>
        <w:rPr>
          <w:color w:val="000000" w:themeColor="text1"/>
          <w14:textFill>
            <w14:solidFill>
              <w14:schemeClr w14:val="tx1"/>
            </w14:solidFill>
          </w14:textFill>
        </w:rPr>
      </w:pPr>
      <w:r>
        <w:rPr>
          <w:color w:val="000000" w:themeColor="text1"/>
          <w14:textFill>
            <w14:solidFill>
              <w14:schemeClr w14:val="tx1"/>
            </w14:solidFill>
          </w14:textFill>
        </w:rPr>
        <w:br w:type="page"/>
      </w:r>
    </w:p>
    <w:bookmarkEnd w:id="200"/>
    <w:bookmarkEnd w:id="249"/>
    <w:p w14:paraId="00CC03C4">
      <w:pPr>
        <w:pStyle w:val="2"/>
        <w:rPr>
          <w:color w:val="000000" w:themeColor="text1"/>
          <w14:textFill>
            <w14:solidFill>
              <w14:schemeClr w14:val="tx1"/>
            </w14:solidFill>
          </w14:textFill>
        </w:rPr>
      </w:pPr>
      <w:bookmarkStart w:id="250" w:name="第六章-服务期限保证"/>
      <w:r>
        <w:rPr>
          <w:rFonts w:hint="eastAsia"/>
          <w:color w:val="000000" w:themeColor="text1"/>
          <w14:textFill>
            <w14:solidFill>
              <w14:schemeClr w14:val="tx1"/>
            </w14:solidFill>
          </w14:textFill>
        </w:rPr>
        <w:t>第六章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服务期限保证</w:t>
      </w:r>
    </w:p>
    <w:p w14:paraId="3EC648E9">
      <w:pPr>
        <w:pStyle w:val="4"/>
        <w:rPr>
          <w:color w:val="000000" w:themeColor="text1"/>
          <w14:textFill>
            <w14:solidFill>
              <w14:schemeClr w14:val="tx1"/>
            </w14:solidFill>
          </w14:textFill>
        </w:rPr>
      </w:pPr>
      <w:bookmarkStart w:id="251" w:name="服务期限总体承诺"/>
      <w:r>
        <w:rPr>
          <w:color w:val="000000" w:themeColor="text1"/>
          <w14:textFill>
            <w14:solidFill>
              <w14:schemeClr w14:val="tx1"/>
            </w14:solidFill>
          </w14:textFill>
        </w:rPr>
        <w:t xml:space="preserve">6.1 </w:t>
      </w:r>
      <w:r>
        <w:rPr>
          <w:rFonts w:hint="eastAsia"/>
          <w:color w:val="000000" w:themeColor="text1"/>
          <w14:textFill>
            <w14:solidFill>
              <w14:schemeClr w14:val="tx1"/>
            </w14:solidFill>
          </w14:textFill>
        </w:rPr>
        <w:t>服务期限总体承诺</w:t>
      </w:r>
    </w:p>
    <w:p w14:paraId="58AC243D">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我方郑重承诺：本项目自合同签订生效之日起至运维服务期结束，全程提供有保障的服务。核心时限承诺如下：</w:t>
      </w:r>
    </w:p>
    <w:p w14:paraId="73268557">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定制化开发期</w:t>
      </w:r>
      <w:r>
        <w:rPr>
          <w:rFonts w:hint="eastAsia"/>
          <w:color w:val="000000" w:themeColor="text1"/>
          <w14:textFill>
            <w14:solidFill>
              <w14:schemeClr w14:val="tx1"/>
            </w14:solidFill>
          </w14:textFill>
        </w:rPr>
        <w:t>：自甲方书面开工通知起</w:t>
      </w:r>
      <w:r>
        <w:rPr>
          <w:color w:val="000000" w:themeColor="text1"/>
          <w14:textFill>
            <w14:solidFill>
              <w14:schemeClr w14:val="tx1"/>
            </w14:solidFill>
          </w14:textFill>
        </w:rPr>
        <w:t xml:space="preserve"> </w:t>
      </w:r>
      <w:r>
        <w:rPr>
          <w:b/>
          <w:bCs/>
          <w:color w:val="000000" w:themeColor="text1"/>
          <w14:textFill>
            <w14:solidFill>
              <w14:schemeClr w14:val="tx1"/>
            </w14:solidFill>
          </w14:textFill>
        </w:rPr>
        <w:t xml:space="preserve">60 </w:t>
      </w:r>
      <w:r>
        <w:rPr>
          <w:rFonts w:hint="eastAsia"/>
          <w:b/>
          <w:bCs/>
          <w:color w:val="000000" w:themeColor="text1"/>
          <w14:textFill>
            <w14:solidFill>
              <w14:schemeClr w14:val="tx1"/>
            </w14:solidFill>
          </w14:textFill>
        </w:rPr>
        <w:t>日历天</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内完成定制化开发与部署实施；</w:t>
      </w:r>
    </w:p>
    <w:p w14:paraId="5A91C9D3">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研发投入</w:t>
      </w:r>
      <w:r>
        <w:rPr>
          <w:rFonts w:hint="eastAsia"/>
          <w:color w:val="000000" w:themeColor="text1"/>
          <w14:textFill>
            <w14:solidFill>
              <w14:schemeClr w14:val="tx1"/>
            </w14:solidFill>
          </w14:textFill>
        </w:rPr>
        <w:t>：研发服务总人月数</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不少于</w:t>
      </w:r>
      <w:r>
        <w:rPr>
          <w:b/>
          <w:bCs/>
          <w:color w:val="000000" w:themeColor="text1"/>
          <w14:textFill>
            <w14:solidFill>
              <w14:schemeClr w14:val="tx1"/>
            </w14:solidFill>
          </w14:textFill>
        </w:rPr>
        <w:t xml:space="preserve"> 37 </w:t>
      </w:r>
      <w:r>
        <w:rPr>
          <w:rFonts w:hint="eastAsia"/>
          <w:b/>
          <w:bCs/>
          <w:color w:val="000000" w:themeColor="text1"/>
          <w14:textFill>
            <w14:solidFill>
              <w14:schemeClr w14:val="tx1"/>
            </w14:solidFill>
          </w14:textFill>
        </w:rPr>
        <w:t>人月</w:t>
      </w:r>
      <w:r>
        <w:rPr>
          <w:rFonts w:hint="eastAsia"/>
          <w:color w:val="000000" w:themeColor="text1"/>
          <w14:textFill>
            <w14:solidFill>
              <w14:schemeClr w14:val="tx1"/>
            </w14:solidFill>
          </w14:textFill>
        </w:rPr>
        <w:t>；</w:t>
      </w:r>
    </w:p>
    <w:p w14:paraId="2301266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免费运维期</w:t>
      </w:r>
      <w:r>
        <w:rPr>
          <w:rFonts w:hint="eastAsia"/>
          <w:color w:val="000000" w:themeColor="text1"/>
          <w14:textFill>
            <w14:solidFill>
              <w14:schemeClr w14:val="tx1"/>
            </w14:solidFill>
          </w14:textFill>
        </w:rPr>
        <w:t>：自最终验收合格之日起提供</w:t>
      </w:r>
      <w:r>
        <w:rPr>
          <w:color w:val="000000" w:themeColor="text1"/>
          <w14:textFill>
            <w14:solidFill>
              <w14:schemeClr w14:val="tx1"/>
            </w14:solidFill>
          </w14:textFill>
        </w:rPr>
        <w:t xml:space="preserve"> </w:t>
      </w:r>
      <w:r>
        <w:rPr>
          <w:b/>
          <w:bCs/>
          <w:color w:val="000000" w:themeColor="text1"/>
          <w14:textFill>
            <w14:solidFill>
              <w14:schemeClr w14:val="tx1"/>
            </w14:solidFill>
          </w14:textFill>
        </w:rPr>
        <w:t xml:space="preserve">6 </w:t>
      </w:r>
      <w:r>
        <w:rPr>
          <w:rFonts w:hint="eastAsia"/>
          <w:b/>
          <w:bCs/>
          <w:color w:val="000000" w:themeColor="text1"/>
          <w14:textFill>
            <w14:solidFill>
              <w14:schemeClr w14:val="tx1"/>
            </w14:solidFill>
          </w14:textFill>
        </w:rPr>
        <w:t>年</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免费运维；</w:t>
      </w:r>
    </w:p>
    <w:p w14:paraId="1599419B">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服务连续</w:t>
      </w:r>
      <w:r>
        <w:rPr>
          <w:rFonts w:hint="eastAsia"/>
          <w:color w:val="000000" w:themeColor="text1"/>
          <w14:textFill>
            <w14:solidFill>
              <w14:schemeClr w14:val="tx1"/>
            </w14:solidFill>
          </w14:textFill>
        </w:rPr>
        <w:t>：合同生效至运维期满，服务不间断、责任不脱节。</w:t>
      </w:r>
    </w:p>
    <w:p w14:paraId="5013B63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我方将以充足的人力、成熟的技术、规范的管理确保上述时限如期兑现，并对逾期承担违约责任。</w:t>
      </w:r>
    </w:p>
    <w:bookmarkEnd w:id="251"/>
    <w:p w14:paraId="35D72C94">
      <w:pPr>
        <w:pStyle w:val="4"/>
        <w:rPr>
          <w:color w:val="000000" w:themeColor="text1"/>
          <w14:textFill>
            <w14:solidFill>
              <w14:schemeClr w14:val="tx1"/>
            </w14:solidFill>
          </w14:textFill>
        </w:rPr>
      </w:pPr>
      <w:bookmarkStart w:id="252" w:name="项目总体进度计划"/>
      <w:r>
        <w:rPr>
          <w:color w:val="000000" w:themeColor="text1"/>
          <w14:textFill>
            <w14:solidFill>
              <w14:schemeClr w14:val="tx1"/>
            </w14:solidFill>
          </w14:textFill>
        </w:rPr>
        <w:t xml:space="preserve">6.2 </w:t>
      </w:r>
      <w:r>
        <w:rPr>
          <w:rFonts w:hint="eastAsia"/>
          <w:color w:val="000000" w:themeColor="text1"/>
          <w14:textFill>
            <w14:solidFill>
              <w14:schemeClr w14:val="tx1"/>
            </w14:solidFill>
          </w14:textFill>
        </w:rPr>
        <w:t>项目总体进度计划</w:t>
      </w:r>
    </w:p>
    <w:p w14:paraId="243BC378">
      <w:pPr>
        <w:pStyle w:val="5"/>
        <w:rPr>
          <w:color w:val="000000" w:themeColor="text1"/>
          <w14:textFill>
            <w14:solidFill>
              <w14:schemeClr w14:val="tx1"/>
            </w14:solidFill>
          </w14:textFill>
        </w:rPr>
      </w:pPr>
      <w:bookmarkStart w:id="253" w:name="总体进度安排60日历天开发期"/>
      <w:r>
        <w:rPr>
          <w:color w:val="000000" w:themeColor="text1"/>
          <w14:textFill>
            <w14:solidFill>
              <w14:schemeClr w14:val="tx1"/>
            </w14:solidFill>
          </w14:textFill>
        </w:rPr>
        <w:t xml:space="preserve">6.2.1 </w:t>
      </w:r>
      <w:r>
        <w:rPr>
          <w:rFonts w:hint="eastAsia"/>
          <w:color w:val="000000" w:themeColor="text1"/>
          <w14:textFill>
            <w14:solidFill>
              <w14:schemeClr w14:val="tx1"/>
            </w14:solidFill>
          </w14:textFill>
        </w:rPr>
        <w:t>总体进度安排（60日历天开发期）</w:t>
      </w:r>
    </w:p>
    <w:p w14:paraId="0D13877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以书面开工通知为起点（记为</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D0），总体进度按四阶段推进：</w:t>
      </w:r>
    </w:p>
    <w:tbl>
      <w:tblPr>
        <w:tblStyle w:val="41"/>
        <w:tblW w:w="5000" w:type="pct"/>
        <w:tblInd w:w="0" w:type="dxa"/>
        <w:tblLayout w:type="fixed"/>
        <w:tblCellMar>
          <w:top w:w="0" w:type="dxa"/>
          <w:left w:w="108" w:type="dxa"/>
          <w:bottom w:w="0" w:type="dxa"/>
          <w:right w:w="108" w:type="dxa"/>
        </w:tblCellMar>
      </w:tblPr>
      <w:tblGrid>
        <w:gridCol w:w="1384"/>
        <w:gridCol w:w="2491"/>
        <w:gridCol w:w="2491"/>
        <w:gridCol w:w="2491"/>
      </w:tblGrid>
      <w:tr w14:paraId="3B07525F">
        <w:trPr>
          <w:tblHeader/>
        </w:trPr>
        <w:tc>
          <w:p w14:paraId="4784102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阶段</w:t>
            </w:r>
          </w:p>
        </w:tc>
        <w:tc>
          <w:p w14:paraId="7DBDD48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时间区间</w:t>
            </w:r>
          </w:p>
        </w:tc>
        <w:tc>
          <w:p w14:paraId="64B8834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主要工作</w:t>
            </w:r>
          </w:p>
        </w:tc>
        <w:tc>
          <w:p w14:paraId="1D1009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阶段成果</w:t>
            </w:r>
          </w:p>
        </w:tc>
      </w:tr>
      <w:tr w14:paraId="45309F5F">
        <w:tc>
          <w:p w14:paraId="3489434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启动与设计</w:t>
            </w:r>
          </w:p>
        </w:tc>
        <w:tc>
          <w:p w14:paraId="2B28328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D0～D10</w:t>
            </w:r>
          </w:p>
        </w:tc>
        <w:tc>
          <w:p w14:paraId="6BDBCB1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环境搭建、需求确认、详细设计、技术验证、数据迁移方案</w:t>
            </w:r>
          </w:p>
        </w:tc>
        <w:tc>
          <w:p w14:paraId="46F6EC7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需求与设计基线、环境就绪</w:t>
            </w:r>
          </w:p>
        </w:tc>
      </w:tr>
      <w:tr w14:paraId="679F544F">
        <w:tc>
          <w:p w14:paraId="0E42C90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核心开发</w:t>
            </w:r>
          </w:p>
        </w:tc>
        <w:tc>
          <w:p w14:paraId="564BA92F">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D8～D45</w:t>
            </w:r>
          </w:p>
        </w:tc>
        <w:tc>
          <w:p w14:paraId="23FDDC0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四端与八大业务域开发、郑好办/政务核验/支付/签章对接</w:t>
            </w:r>
          </w:p>
        </w:tc>
        <w:tc>
          <w:p w14:paraId="2C03E99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主链路可运行可演示</w:t>
            </w:r>
          </w:p>
        </w:tc>
      </w:tr>
      <w:tr w14:paraId="7A7C237E">
        <w:tc>
          <w:p w14:paraId="0AA17B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联调与测试</w:t>
            </w:r>
          </w:p>
        </w:tc>
        <w:tc>
          <w:p w14:paraId="0DD6F3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D35～D55</w:t>
            </w:r>
          </w:p>
        </w:tc>
        <w:tc>
          <w:p w14:paraId="792ECF8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对接联调、系统测试、性能压测、安全测试、缺陷修复</w:t>
            </w:r>
          </w:p>
        </w:tc>
        <w:tc>
          <w:p w14:paraId="12FC9D2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测试报告、缺陷清零</w:t>
            </w:r>
          </w:p>
        </w:tc>
      </w:tr>
      <w:tr w14:paraId="08A3D48D">
        <w:tc>
          <w:p w14:paraId="47664DA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迁移与上线</w:t>
            </w:r>
          </w:p>
        </w:tc>
        <w:tc>
          <w:p w14:paraId="65CE508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D50～D60</w:t>
            </w:r>
          </w:p>
        </w:tc>
        <w:tc>
          <w:p w14:paraId="7CD4E7D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数据迁移、上线部署、初验准备、试运行</w:t>
            </w:r>
          </w:p>
        </w:tc>
        <w:tc>
          <w:p w14:paraId="2FF42D9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系统上线、初验</w:t>
            </w:r>
          </w:p>
        </w:tc>
      </w:tr>
    </w:tbl>
    <w:p w14:paraId="7D39B00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（各阶段存在合理交叠并行，以压缩整体工期；关键路径见</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6.2.3。）</w:t>
      </w:r>
    </w:p>
    <w:p w14:paraId="33FDD7C2">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823085"/>
            <wp:effectExtent l="0" t="0" r="0" b="0"/>
            <wp:docPr id="338" name="Picture" descr="图6-1 项目进度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descr="图6-1 项目进度甘特图"/>
                    <pic:cNvPicPr>
                      <a:picLocks noChangeAspect="1" noChangeArrowheads="1"/>
                    </pic:cNvPicPr>
                  </pic:nvPicPr>
                  <pic:blipFill>
                    <a:blip r:embed="rId20"/>
                    <a:stretch>
                      <a:fillRect/>
                    </a:stretch>
                  </pic:blipFill>
                  <pic:spPr>
                    <a:xfrm>
                      <a:off x="0" y="0"/>
                      <a:ext cx="5334000" cy="1823357"/>
                    </a:xfrm>
                    <a:prstGeom prst="rect">
                      <a:avLst/>
                    </a:prstGeom>
                    <a:noFill/>
                    <a:ln w="9525">
                      <a:noFill/>
                    </a:ln>
                  </pic:spPr>
                </pic:pic>
              </a:graphicData>
            </a:graphic>
          </wp:inline>
        </w:drawing>
      </w:r>
    </w:p>
    <w:p w14:paraId="2164AAA9">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图6-1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项目进度甘特图</w:t>
      </w:r>
    </w:p>
    <w:p w14:paraId="0B2B917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图6-1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项目进度甘特图（60日历天开发期）</w:t>
      </w:r>
    </w:p>
    <w:p w14:paraId="40DE8DFB">
      <w:pPr>
        <w:pStyle w:val="47"/>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34000" cy="1986280"/>
            <wp:effectExtent l="0" t="0" r="0" b="0"/>
            <wp:docPr id="341" name="Picture" descr="图6-2 六年免费运维年度工作安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descr="图6-2 六年免费运维年度工作安排"/>
                    <pic:cNvPicPr>
                      <a:picLocks noChangeAspect="1" noChangeArrowheads="1"/>
                    </pic:cNvPicPr>
                  </pic:nvPicPr>
                  <pic:blipFill>
                    <a:blip r:embed="rId29"/>
                    <a:stretch>
                      <a:fillRect/>
                    </a:stretch>
                  </pic:blipFill>
                  <pic:spPr>
                    <a:xfrm>
                      <a:off x="0" y="0"/>
                      <a:ext cx="5334000" cy="1986642"/>
                    </a:xfrm>
                    <a:prstGeom prst="rect">
                      <a:avLst/>
                    </a:prstGeom>
                    <a:noFill/>
                    <a:ln w="9525">
                      <a:noFill/>
                    </a:ln>
                  </pic:spPr>
                </pic:pic>
              </a:graphicData>
            </a:graphic>
          </wp:inline>
        </w:drawing>
      </w:r>
    </w:p>
    <w:p w14:paraId="4E96DBA3">
      <w:pPr>
        <w:pStyle w:val="45"/>
        <w:rPr>
          <w:color w:val="000000" w:themeColor="text1"/>
          <w14:textFill>
            <w14:solidFill>
              <w14:schemeClr w14:val="tx1"/>
            </w14:solidFill>
          </w14:textFill>
        </w:rPr>
      </w:pPr>
      <w:r>
        <w:rPr>
          <w:rFonts w:hint="eastAsia"/>
          <w:color w:val="000000" w:themeColor="text1"/>
          <w14:textFill>
            <w14:solidFill>
              <w14:schemeClr w14:val="tx1"/>
            </w14:solidFill>
          </w14:textFill>
        </w:rPr>
        <w:t>图6-2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六年免费运维年度工作安排</w:t>
      </w:r>
    </w:p>
    <w:p w14:paraId="45B67E2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图6-2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六年免费运维年度工作安排</w:t>
      </w:r>
    </w:p>
    <w:bookmarkEnd w:id="253"/>
    <w:p w14:paraId="1F28462D">
      <w:pPr>
        <w:pStyle w:val="5"/>
        <w:rPr>
          <w:color w:val="000000" w:themeColor="text1"/>
          <w14:textFill>
            <w14:solidFill>
              <w14:schemeClr w14:val="tx1"/>
            </w14:solidFill>
          </w14:textFill>
        </w:rPr>
      </w:pPr>
      <w:bookmarkStart w:id="254" w:name="里程碑基线管理"/>
      <w:r>
        <w:rPr>
          <w:color w:val="000000" w:themeColor="text1"/>
          <w14:textFill>
            <w14:solidFill>
              <w14:schemeClr w14:val="tx1"/>
            </w14:solidFill>
          </w14:textFill>
        </w:rPr>
        <w:t xml:space="preserve">6.2.2 </w:t>
      </w:r>
      <w:r>
        <w:rPr>
          <w:rFonts w:hint="eastAsia"/>
          <w:color w:val="000000" w:themeColor="text1"/>
          <w14:textFill>
            <w14:solidFill>
              <w14:schemeClr w14:val="tx1"/>
            </w14:solidFill>
          </w14:textFill>
        </w:rPr>
        <w:t>里程碑基线管理</w:t>
      </w:r>
    </w:p>
    <w:p w14:paraId="6DD119C9">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设置关键里程碑并纳入基线管控，逐一验收：</w:t>
      </w:r>
    </w:p>
    <w:tbl>
      <w:tblPr>
        <w:tblStyle w:val="41"/>
        <w:tblW w:w="0" w:type="auto"/>
        <w:tblInd w:w="0" w:type="dxa"/>
        <w:tblLayout w:type="autofit"/>
        <w:tblCellMar>
          <w:top w:w="0" w:type="dxa"/>
          <w:left w:w="108" w:type="dxa"/>
          <w:bottom w:w="0" w:type="dxa"/>
          <w:right w:w="108" w:type="dxa"/>
        </w:tblCellMar>
      </w:tblPr>
      <w:tblGrid>
        <w:gridCol w:w="2306"/>
        <w:gridCol w:w="1176"/>
        <w:gridCol w:w="4296"/>
      </w:tblGrid>
      <w:tr w14:paraId="658AEC05">
        <w:trPr>
          <w:tblHeader/>
        </w:trPr>
        <w:tc>
          <w:p w14:paraId="616C71F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里程碑</w:t>
            </w:r>
          </w:p>
        </w:tc>
        <w:tc>
          <w:p w14:paraId="71BBB72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计划节点</w:t>
            </w:r>
          </w:p>
        </w:tc>
        <w:tc>
          <w:p w14:paraId="3FA6546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验收标志</w:t>
            </w:r>
          </w:p>
        </w:tc>
      </w:tr>
      <w:tr w14:paraId="03EFF2BC">
        <w:tc>
          <w:p w14:paraId="7AF6ED88">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M1 </w:t>
            </w:r>
            <w:r>
              <w:rPr>
                <w:rFonts w:hint="eastAsia"/>
                <w:color w:val="000000" w:themeColor="text1"/>
                <w14:textFill>
                  <w14:solidFill>
                    <w14:schemeClr w14:val="tx1"/>
                  </w14:solidFill>
                </w14:textFill>
              </w:rPr>
              <w:t>需求与设计确认</w:t>
            </w:r>
          </w:p>
        </w:tc>
        <w:tc>
          <w:p w14:paraId="36D1C8DD">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D10</w:t>
            </w:r>
          </w:p>
        </w:tc>
        <w:tc>
          <w:p w14:paraId="681DDFF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需求/设计基线通过评审</w:t>
            </w:r>
          </w:p>
        </w:tc>
      </w:tr>
      <w:tr w14:paraId="2B9FE53E">
        <w:tc>
          <w:p w14:paraId="0D9F413C">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M2 </w:t>
            </w:r>
            <w:r>
              <w:rPr>
                <w:rFonts w:hint="eastAsia"/>
                <w:color w:val="000000" w:themeColor="text1"/>
                <w14:textFill>
                  <w14:solidFill>
                    <w14:schemeClr w14:val="tx1"/>
                  </w14:solidFill>
                </w14:textFill>
              </w:rPr>
              <w:t>主链路可演示</w:t>
            </w:r>
          </w:p>
        </w:tc>
        <w:tc>
          <w:p w14:paraId="7CB39A37">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D30</w:t>
            </w:r>
          </w:p>
        </w:tc>
        <w:tc>
          <w:p w14:paraId="665391B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找房—核验—选房—签约—缴费可演示</w:t>
            </w:r>
          </w:p>
        </w:tc>
      </w:tr>
      <w:tr w14:paraId="5C82FE47">
        <w:tc>
          <w:p w14:paraId="37AE3210">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M3 </w:t>
            </w:r>
            <w:r>
              <w:rPr>
                <w:rFonts w:hint="eastAsia"/>
                <w:color w:val="000000" w:themeColor="text1"/>
                <w14:textFill>
                  <w14:solidFill>
                    <w14:schemeClr w14:val="tx1"/>
                  </w14:solidFill>
                </w14:textFill>
              </w:rPr>
              <w:t>对接联调完成</w:t>
            </w:r>
          </w:p>
        </w:tc>
        <w:tc>
          <w:p w14:paraId="0E50A356">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D45</w:t>
            </w:r>
          </w:p>
        </w:tc>
        <w:tc>
          <w:p w14:paraId="0663BF7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郑好办/核验/支付/签章联调通过</w:t>
            </w:r>
          </w:p>
        </w:tc>
      </w:tr>
      <w:tr w14:paraId="2E0EABB8">
        <w:tc>
          <w:p w14:paraId="44B77D60">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M4 </w:t>
            </w:r>
            <w:r>
              <w:rPr>
                <w:rFonts w:hint="eastAsia"/>
                <w:color w:val="000000" w:themeColor="text1"/>
                <w14:textFill>
                  <w14:solidFill>
                    <w14:schemeClr w14:val="tx1"/>
                  </w14:solidFill>
                </w14:textFill>
              </w:rPr>
              <w:t>系统测试完成</w:t>
            </w:r>
          </w:p>
        </w:tc>
        <w:tc>
          <w:p w14:paraId="583783AC">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D55</w:t>
            </w:r>
          </w:p>
        </w:tc>
        <w:tc>
          <w:p w14:paraId="5DF5BFD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测试报告、缺陷清零</w:t>
            </w:r>
          </w:p>
        </w:tc>
      </w:tr>
      <w:tr w14:paraId="64187AB4">
        <w:tc>
          <w:p w14:paraId="59042CEE">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M5 </w:t>
            </w:r>
            <w:r>
              <w:rPr>
                <w:rFonts w:hint="eastAsia"/>
                <w:color w:val="000000" w:themeColor="text1"/>
                <w14:textFill>
                  <w14:solidFill>
                    <w14:schemeClr w14:val="tx1"/>
                  </w14:solidFill>
                </w14:textFill>
              </w:rPr>
              <w:t>上线与初验</w:t>
            </w:r>
          </w:p>
        </w:tc>
        <w:tc>
          <w:p w14:paraId="672DD614">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D60</w:t>
            </w:r>
          </w:p>
        </w:tc>
        <w:tc>
          <w:p w14:paraId="271C1BA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系统上线、驻场研发功能初验</w:t>
            </w:r>
          </w:p>
        </w:tc>
      </w:tr>
      <w:tr w14:paraId="23F83347">
        <w:tc>
          <w:p w14:paraId="407E24CF">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M6 </w:t>
            </w:r>
            <w:r>
              <w:rPr>
                <w:rFonts w:hint="eastAsia"/>
                <w:color w:val="000000" w:themeColor="text1"/>
                <w14:textFill>
                  <w14:solidFill>
                    <w14:schemeClr w14:val="tx1"/>
                  </w14:solidFill>
                </w14:textFill>
              </w:rPr>
              <w:t>最终验收</w:t>
            </w:r>
          </w:p>
        </w:tc>
        <w:tc>
          <w:p w14:paraId="23BA8A5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按约定</w:t>
            </w:r>
          </w:p>
        </w:tc>
        <w:tc>
          <w:p w14:paraId="7B31B99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终验合格，进入6年运维</w:t>
            </w:r>
          </w:p>
        </w:tc>
      </w:tr>
      <w:bookmarkEnd w:id="254"/>
    </w:tbl>
    <w:p w14:paraId="42355759">
      <w:pPr>
        <w:pStyle w:val="5"/>
        <w:rPr>
          <w:color w:val="000000" w:themeColor="text1"/>
          <w14:textFill>
            <w14:solidFill>
              <w14:schemeClr w14:val="tx1"/>
            </w14:solidFill>
          </w14:textFill>
        </w:rPr>
      </w:pPr>
      <w:bookmarkStart w:id="255" w:name="关键路径与并行策略"/>
      <w:r>
        <w:rPr>
          <w:color w:val="000000" w:themeColor="text1"/>
          <w14:textFill>
            <w14:solidFill>
              <w14:schemeClr w14:val="tx1"/>
            </w14:solidFill>
          </w14:textFill>
        </w:rPr>
        <w:t xml:space="preserve">6.2.3 </w:t>
      </w:r>
      <w:r>
        <w:rPr>
          <w:rFonts w:hint="eastAsia"/>
          <w:color w:val="000000" w:themeColor="text1"/>
          <w14:textFill>
            <w14:solidFill>
              <w14:schemeClr w14:val="tx1"/>
            </w14:solidFill>
          </w14:textFill>
        </w:rPr>
        <w:t>关键路径与并行策略</w:t>
      </w:r>
    </w:p>
    <w:p w14:paraId="0796111C">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关键路径为”需求设计→核心开发→对接联调→系统测试→上线初验”。为保障</w:t>
      </w:r>
      <w:r>
        <w:rPr>
          <w:color w:val="000000" w:themeColor="text1"/>
          <w14:textFill>
            <w14:solidFill>
              <w14:schemeClr w14:val="tx1"/>
            </w14:solidFill>
          </w14:textFill>
        </w:rPr>
        <w:t xml:space="preserve"> 60 </w:t>
      </w:r>
      <w:r>
        <w:rPr>
          <w:rFonts w:hint="eastAsia"/>
          <w:color w:val="000000" w:themeColor="text1"/>
          <w14:textFill>
            <w14:solidFill>
              <w14:schemeClr w14:val="tx1"/>
            </w14:solidFill>
          </w14:textFill>
        </w:rPr>
        <w:t>日历天目标：</w:t>
      </w:r>
    </w:p>
    <w:p w14:paraId="546B131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并行</w:t>
      </w:r>
      <w:r>
        <w:rPr>
          <w:rFonts w:hint="eastAsia"/>
          <w:color w:val="000000" w:themeColor="text1"/>
          <w14:textFill>
            <w14:solidFill>
              <w14:schemeClr w14:val="tx1"/>
            </w14:solidFill>
          </w14:textFill>
        </w:rPr>
        <w:t>：前端与后端并行、开发与对接并行、测试提前介入；</w:t>
      </w:r>
    </w:p>
    <w:p w14:paraId="07E66D8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优先</w:t>
      </w:r>
      <w:r>
        <w:rPr>
          <w:rFonts w:hint="eastAsia"/>
          <w:color w:val="000000" w:themeColor="text1"/>
          <w14:textFill>
            <w14:solidFill>
              <w14:schemeClr w14:val="tx1"/>
            </w14:solidFill>
          </w14:textFill>
        </w:rPr>
        <w:t>：优先打通主链路，非关键功能滚动跟进；</w:t>
      </w:r>
    </w:p>
    <w:p w14:paraId="281B717A">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缓冲</w:t>
      </w:r>
      <w:r>
        <w:rPr>
          <w:rFonts w:hint="eastAsia"/>
          <w:color w:val="000000" w:themeColor="text1"/>
          <w14:textFill>
            <w14:solidFill>
              <w14:schemeClr w14:val="tx1"/>
            </w14:solidFill>
          </w14:textFill>
        </w:rPr>
        <w:t>：关键节点预留缓冲，吸收对接与迁移的不确定性；</w:t>
      </w:r>
    </w:p>
    <w:p w14:paraId="2B558FD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资源倾斜</w:t>
      </w:r>
      <w:r>
        <w:rPr>
          <w:rFonts w:hint="eastAsia"/>
          <w:color w:val="000000" w:themeColor="text1"/>
          <w14:textFill>
            <w14:solidFill>
              <w14:schemeClr w14:val="tx1"/>
            </w14:solidFill>
          </w14:textFill>
        </w:rPr>
        <w:t>：核心开发与联调阶段人力集中投入，保证强度。</w:t>
      </w:r>
    </w:p>
    <w:bookmarkEnd w:id="255"/>
    <w:p w14:paraId="49C87B01">
      <w:pPr>
        <w:pStyle w:val="5"/>
        <w:rPr>
          <w:color w:val="000000" w:themeColor="text1"/>
          <w14:textFill>
            <w14:solidFill>
              <w14:schemeClr w14:val="tx1"/>
            </w14:solidFill>
          </w14:textFill>
        </w:rPr>
      </w:pPr>
      <w:bookmarkStart w:id="256" w:name="付款节点与进度里程碑关联"/>
      <w:r>
        <w:rPr>
          <w:color w:val="000000" w:themeColor="text1"/>
          <w14:textFill>
            <w14:solidFill>
              <w14:schemeClr w14:val="tx1"/>
            </w14:solidFill>
          </w14:textFill>
        </w:rPr>
        <w:t xml:space="preserve">6.2.4 </w:t>
      </w:r>
      <w:r>
        <w:rPr>
          <w:rFonts w:hint="eastAsia"/>
          <w:color w:val="000000" w:themeColor="text1"/>
          <w14:textFill>
            <w14:solidFill>
              <w14:schemeClr w14:val="tx1"/>
            </w14:solidFill>
          </w14:textFill>
        </w:rPr>
        <w:t>付款节点与进度里程碑关联</w:t>
      </w:r>
    </w:p>
    <w:p w14:paraId="116A6EAE">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招标付款节点与项目关键里程碑一一对应，形成”进度达成即付款依据”的约束，既保障甲方资金安全，也倒逼进度按期兑现：</w:t>
      </w:r>
    </w:p>
    <w:tbl>
      <w:tblPr>
        <w:tblStyle w:val="41"/>
        <w:tblW w:w="5000" w:type="pct"/>
        <w:tblInd w:w="0" w:type="dxa"/>
        <w:tblLayout w:type="fixed"/>
        <w:tblCellMar>
          <w:top w:w="0" w:type="dxa"/>
          <w:left w:w="108" w:type="dxa"/>
          <w:bottom w:w="0" w:type="dxa"/>
          <w:right w:w="108" w:type="dxa"/>
        </w:tblCellMar>
      </w:tblPr>
      <w:tblGrid>
        <w:gridCol w:w="2344"/>
        <w:gridCol w:w="1302"/>
        <w:gridCol w:w="2866"/>
        <w:gridCol w:w="2344"/>
      </w:tblGrid>
      <w:tr w14:paraId="04D981A5">
        <w:trPr>
          <w:tblHeader/>
        </w:trPr>
        <w:tc>
          <w:p w14:paraId="5A429FD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付款节点</w:t>
            </w:r>
          </w:p>
        </w:tc>
        <w:tc>
          <w:p w14:paraId="5960C8F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比例</w:t>
            </w:r>
          </w:p>
        </w:tc>
        <w:tc>
          <w:p w14:paraId="14DD8BD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对应里程碑</w:t>
            </w:r>
          </w:p>
        </w:tc>
        <w:tc>
          <w:p w14:paraId="3D933F2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r>
      <w:tr w14:paraId="1399A22F">
        <w:tc>
          <w:p w14:paraId="4ACFE8E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合同签订</w:t>
            </w:r>
          </w:p>
        </w:tc>
        <w:tc>
          <w:p w14:paraId="6A73BB0B">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25%</w:t>
            </w:r>
          </w:p>
        </w:tc>
        <w:tc>
          <w:p w14:paraId="3DCC42E4">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项目启动</w:t>
            </w:r>
          </w:p>
        </w:tc>
        <w:tc>
          <w:p w14:paraId="1E3B39B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合同生效、启动会</w:t>
            </w:r>
          </w:p>
        </w:tc>
      </w:tr>
      <w:tr w14:paraId="346CA3AB">
        <w:tc>
          <w:p w14:paraId="1A3FF16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初步验收</w:t>
            </w:r>
          </w:p>
        </w:tc>
        <w:tc>
          <w:p w14:paraId="009ECBAA">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50%</w:t>
            </w:r>
          </w:p>
        </w:tc>
        <w:tc>
          <w:p w14:paraId="2ACFBACA">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M5 </w:t>
            </w:r>
            <w:r>
              <w:rPr>
                <w:rFonts w:hint="eastAsia"/>
                <w:color w:val="000000" w:themeColor="text1"/>
                <w14:textFill>
                  <w14:solidFill>
                    <w14:schemeClr w14:val="tx1"/>
                  </w14:solidFill>
                </w14:textFill>
              </w:rPr>
              <w:t>上线与初验</w:t>
            </w:r>
          </w:p>
        </w:tc>
        <w:tc>
          <w:p w14:paraId="2A27849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完成开发部署、通过初验</w:t>
            </w:r>
          </w:p>
        </w:tc>
      </w:tr>
      <w:tr w14:paraId="061BEB62">
        <w:tc>
          <w:p w14:paraId="51C26D6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最终验收</w:t>
            </w:r>
          </w:p>
        </w:tc>
        <w:tc>
          <w:p w14:paraId="20C3379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95%（累计）</w:t>
            </w:r>
          </w:p>
        </w:tc>
        <w:tc>
          <w:p w14:paraId="640EF1DB">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M6 </w:t>
            </w:r>
            <w:r>
              <w:rPr>
                <w:rFonts w:hint="eastAsia"/>
                <w:color w:val="000000" w:themeColor="text1"/>
                <w14:textFill>
                  <w14:solidFill>
                    <w14:schemeClr w14:val="tx1"/>
                  </w14:solidFill>
                </w14:textFill>
              </w:rPr>
              <w:t>最终验收</w:t>
            </w:r>
          </w:p>
        </w:tc>
        <w:tc>
          <w:p w14:paraId="6F61541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通过终验与等保二级测评、源代码接收</w:t>
            </w:r>
          </w:p>
        </w:tc>
      </w:tr>
      <w:tr w14:paraId="308F9709">
        <w:tc>
          <w:p w14:paraId="65E57EF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运维保证金</w:t>
            </w:r>
          </w:p>
        </w:tc>
        <w:tc>
          <w:p w14:paraId="1DC24505">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5%</w:t>
            </w:r>
          </w:p>
        </w:tc>
        <w:tc>
          <w:p w14:paraId="101F3CE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运维期满</w:t>
            </w:r>
          </w:p>
        </w:tc>
        <w:tc>
          <w:p w14:paraId="299793C0">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六年运维服务期满、无违约</w:t>
            </w:r>
          </w:p>
        </w:tc>
      </w:tr>
    </w:tbl>
    <w:p w14:paraId="7F54592C">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付款节点与进度绑定后，我方更有动力按期高质量交付；任一节点未达成即不触发对应付款，形成刚性进度约束。</w:t>
      </w:r>
    </w:p>
    <w:bookmarkEnd w:id="252"/>
    <w:bookmarkEnd w:id="256"/>
    <w:p w14:paraId="760CA040">
      <w:pPr>
        <w:pStyle w:val="4"/>
        <w:rPr>
          <w:color w:val="000000" w:themeColor="text1"/>
          <w14:textFill>
            <w14:solidFill>
              <w14:schemeClr w14:val="tx1"/>
            </w14:solidFill>
          </w14:textFill>
        </w:rPr>
      </w:pPr>
      <w:bookmarkStart w:id="257" w:name="定制化开发期限保证"/>
      <w:r>
        <w:rPr>
          <w:color w:val="000000" w:themeColor="text1"/>
          <w14:textFill>
            <w14:solidFill>
              <w14:schemeClr w14:val="tx1"/>
            </w14:solidFill>
          </w14:textFill>
        </w:rPr>
        <w:t xml:space="preserve">6.3 </w:t>
      </w:r>
      <w:r>
        <w:rPr>
          <w:rFonts w:hint="eastAsia"/>
          <w:color w:val="000000" w:themeColor="text1"/>
          <w14:textFill>
            <w14:solidFill>
              <w14:schemeClr w14:val="tx1"/>
            </w14:solidFill>
          </w14:textFill>
        </w:rPr>
        <w:t>定制化开发期限保证</w:t>
      </w:r>
    </w:p>
    <w:p w14:paraId="1C2A88FE">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采用迭代开发，按里程碑交付可演示成果，进度可见可控；</w:t>
      </w:r>
    </w:p>
    <w:p w14:paraId="4CFA027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充足开发人力投入（总人月不少于37人月），关键岗位</w:t>
      </w:r>
      <w:r>
        <w:rPr>
          <w:color w:val="000000" w:themeColor="text1"/>
          <w14:textFill>
            <w14:solidFill>
              <w14:schemeClr w14:val="tx1"/>
            </w14:solidFill>
          </w14:textFill>
        </w:rPr>
        <w:t xml:space="preserve"> AB </w:t>
      </w:r>
      <w:r>
        <w:rPr>
          <w:rFonts w:hint="eastAsia"/>
          <w:color w:val="000000" w:themeColor="text1"/>
          <w14:textFill>
            <w14:solidFill>
              <w14:schemeClr w14:val="tx1"/>
            </w14:solidFill>
          </w14:textFill>
        </w:rPr>
        <w:t>角防缺位；</w:t>
      </w:r>
    </w:p>
    <w:p w14:paraId="54817CD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需求变更走评审、以基线管控，防止范围蔓延拖累工期；</w:t>
      </w:r>
    </w:p>
    <w:p w14:paraId="7B1E091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每周向甲方报送开发进度，偏差及时纠偏。</w:t>
      </w:r>
    </w:p>
    <w:bookmarkEnd w:id="257"/>
    <w:p w14:paraId="1E3456F5">
      <w:pPr>
        <w:pStyle w:val="4"/>
        <w:rPr>
          <w:color w:val="000000" w:themeColor="text1"/>
          <w14:textFill>
            <w14:solidFill>
              <w14:schemeClr w14:val="tx1"/>
            </w14:solidFill>
          </w14:textFill>
        </w:rPr>
      </w:pPr>
      <w:bookmarkStart w:id="258" w:name="部署实施期限保证"/>
      <w:r>
        <w:rPr>
          <w:color w:val="000000" w:themeColor="text1"/>
          <w14:textFill>
            <w14:solidFill>
              <w14:schemeClr w14:val="tx1"/>
            </w14:solidFill>
          </w14:textFill>
        </w:rPr>
        <w:t xml:space="preserve">6.4 </w:t>
      </w:r>
      <w:r>
        <w:rPr>
          <w:rFonts w:hint="eastAsia"/>
          <w:color w:val="000000" w:themeColor="text1"/>
          <w14:textFill>
            <w14:solidFill>
              <w14:schemeClr w14:val="tx1"/>
            </w14:solidFill>
          </w14:textFill>
        </w:rPr>
        <w:t>部署实施期限保证</w:t>
      </w:r>
    </w:p>
    <w:p w14:paraId="4648E0D7">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提前准备部署脚本与环境，标准化部署降低不确定性；</w:t>
      </w:r>
    </w:p>
    <w:p w14:paraId="4E24DEC1">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数据迁移采用”分步迁移+试迁+校验+回退预案”，保证迁移不拖延、不丢数；</w:t>
      </w:r>
    </w:p>
    <w:p w14:paraId="77679A41">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上线选择低峰窗口并具备回滚能力，保证平稳上线。</w:t>
      </w:r>
    </w:p>
    <w:bookmarkEnd w:id="258"/>
    <w:p w14:paraId="4AA7F46D">
      <w:pPr>
        <w:pStyle w:val="4"/>
        <w:rPr>
          <w:color w:val="000000" w:themeColor="text1"/>
          <w14:textFill>
            <w14:solidFill>
              <w14:schemeClr w14:val="tx1"/>
            </w14:solidFill>
          </w14:textFill>
        </w:rPr>
      </w:pPr>
      <w:bookmarkStart w:id="259" w:name="技术对接期限保证"/>
      <w:r>
        <w:rPr>
          <w:color w:val="000000" w:themeColor="text1"/>
          <w14:textFill>
            <w14:solidFill>
              <w14:schemeClr w14:val="tx1"/>
            </w14:solidFill>
          </w14:textFill>
        </w:rPr>
        <w:t xml:space="preserve">6.5 </w:t>
      </w:r>
      <w:r>
        <w:rPr>
          <w:rFonts w:hint="eastAsia"/>
          <w:color w:val="000000" w:themeColor="text1"/>
          <w14:textFill>
            <w14:solidFill>
              <w14:schemeClr w14:val="tx1"/>
            </w14:solidFill>
          </w14:textFill>
        </w:rPr>
        <w:t>技术对接期限保证</w:t>
      </w:r>
    </w:p>
    <w:p w14:paraId="1E75777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提前获取并研读郑好办、政务核验、支付、签章等对接规范；</w:t>
      </w:r>
    </w:p>
    <w:p w14:paraId="714B713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制定对接联调专项计划，按”连通—单场景—全流程—异常演练”推进；</w:t>
      </w:r>
    </w:p>
    <w:p w14:paraId="1E0DF8DD">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与各接口方保持沟通窗口，及时解决联调问题；</w:t>
      </w:r>
    </w:p>
    <w:p w14:paraId="3D0922F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对接容错设计保证个别接口波动不阻塞整体进度。</w:t>
      </w:r>
    </w:p>
    <w:bookmarkEnd w:id="259"/>
    <w:p w14:paraId="74A31A8E">
      <w:pPr>
        <w:pStyle w:val="4"/>
        <w:rPr>
          <w:color w:val="000000" w:themeColor="text1"/>
          <w14:textFill>
            <w14:solidFill>
              <w14:schemeClr w14:val="tx1"/>
            </w14:solidFill>
          </w14:textFill>
        </w:rPr>
      </w:pPr>
      <w:bookmarkStart w:id="260" w:name="测试培训期限保证"/>
      <w:r>
        <w:rPr>
          <w:color w:val="000000" w:themeColor="text1"/>
          <w14:textFill>
            <w14:solidFill>
              <w14:schemeClr w14:val="tx1"/>
            </w14:solidFill>
          </w14:textFill>
        </w:rPr>
        <w:t xml:space="preserve">6.6 </w:t>
      </w:r>
      <w:r>
        <w:rPr>
          <w:rFonts w:hint="eastAsia"/>
          <w:color w:val="000000" w:themeColor="text1"/>
          <w14:textFill>
            <w14:solidFill>
              <w14:schemeClr w14:val="tx1"/>
            </w14:solidFill>
          </w14:textFill>
        </w:rPr>
        <w:t>测试培训期限保证</w:t>
      </w:r>
    </w:p>
    <w:p w14:paraId="41AAEC14">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测试提前介入、与开发并行，多层测试保证质量不拖期；</w:t>
      </w:r>
    </w:p>
    <w:p w14:paraId="0FA148EB">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上线前完成系统测试、性能压测、安全测试并出报告；</w:t>
      </w:r>
    </w:p>
    <w:p w14:paraId="5C2B6580">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上线初期集中培训管理人员，保证系统”交得出、用得起来”。</w:t>
      </w:r>
    </w:p>
    <w:bookmarkEnd w:id="260"/>
    <w:p w14:paraId="51802ADF">
      <w:pPr>
        <w:pStyle w:val="4"/>
        <w:rPr>
          <w:color w:val="000000" w:themeColor="text1"/>
          <w14:textFill>
            <w14:solidFill>
              <w14:schemeClr w14:val="tx1"/>
            </w14:solidFill>
          </w14:textFill>
        </w:rPr>
      </w:pPr>
      <w:bookmarkStart w:id="261" w:name="上线验收期限保证"/>
      <w:r>
        <w:rPr>
          <w:color w:val="000000" w:themeColor="text1"/>
          <w14:textFill>
            <w14:solidFill>
              <w14:schemeClr w14:val="tx1"/>
            </w14:solidFill>
          </w14:textFill>
        </w:rPr>
        <w:t xml:space="preserve">6.7 </w:t>
      </w:r>
      <w:r>
        <w:rPr>
          <w:rFonts w:hint="eastAsia"/>
          <w:color w:val="000000" w:themeColor="text1"/>
          <w14:textFill>
            <w14:solidFill>
              <w14:schemeClr w14:val="tx1"/>
            </w14:solidFill>
          </w14:textFill>
        </w:rPr>
        <w:t>上线验收期限保证</w:t>
      </w:r>
    </w:p>
    <w:p w14:paraId="02A5E8F9">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按里程碑推进初验（驻场研发功能初验）与终验；</w:t>
      </w:r>
    </w:p>
    <w:p w14:paraId="2B7C881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提前准备验收材料与交付物清单，配合甲方验收；</w:t>
      </w:r>
    </w:p>
    <w:p w14:paraId="1684579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验收问题限时整改闭环，保证如期通过。</w:t>
      </w:r>
    </w:p>
    <w:bookmarkEnd w:id="261"/>
    <w:p w14:paraId="77174911">
      <w:pPr>
        <w:pStyle w:val="4"/>
        <w:rPr>
          <w:color w:val="000000" w:themeColor="text1"/>
          <w14:textFill>
            <w14:solidFill>
              <w14:schemeClr w14:val="tx1"/>
            </w14:solidFill>
          </w14:textFill>
        </w:rPr>
      </w:pPr>
      <w:bookmarkStart w:id="262" w:name="逾期风险防控与违约责任承诺"/>
      <w:r>
        <w:rPr>
          <w:color w:val="000000" w:themeColor="text1"/>
          <w14:textFill>
            <w14:solidFill>
              <w14:schemeClr w14:val="tx1"/>
            </w14:solidFill>
          </w14:textFill>
        </w:rPr>
        <w:t xml:space="preserve">6.8 </w:t>
      </w:r>
      <w:r>
        <w:rPr>
          <w:rFonts w:hint="eastAsia"/>
          <w:color w:val="000000" w:themeColor="text1"/>
          <w14:textFill>
            <w14:solidFill>
              <w14:schemeClr w14:val="tx1"/>
            </w14:solidFill>
          </w14:textFill>
        </w:rPr>
        <w:t>逾期风险防控与违约责任承诺</w:t>
      </w:r>
    </w:p>
    <w:p w14:paraId="481300F3">
      <w:pPr>
        <w:pStyle w:val="5"/>
        <w:rPr>
          <w:color w:val="000000" w:themeColor="text1"/>
          <w14:textFill>
            <w14:solidFill>
              <w14:schemeClr w14:val="tx1"/>
            </w14:solidFill>
          </w14:textFill>
        </w:rPr>
      </w:pPr>
      <w:bookmarkStart w:id="263" w:name="逾期风险防控"/>
      <w:r>
        <w:rPr>
          <w:color w:val="000000" w:themeColor="text1"/>
          <w14:textFill>
            <w14:solidFill>
              <w14:schemeClr w14:val="tx1"/>
            </w14:solidFill>
          </w14:textFill>
        </w:rPr>
        <w:t xml:space="preserve">6.8.1 </w:t>
      </w:r>
      <w:r>
        <w:rPr>
          <w:rFonts w:hint="eastAsia"/>
          <w:color w:val="000000" w:themeColor="text1"/>
          <w14:textFill>
            <w14:solidFill>
              <w14:schemeClr w14:val="tx1"/>
            </w14:solidFill>
          </w14:textFill>
        </w:rPr>
        <w:t>逾期风险防控</w:t>
      </w:r>
    </w:p>
    <w:p w14:paraId="4A7BC9CC">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进度周跟踪、里程碑基线管控、关键节点缓冲；</w:t>
      </w:r>
    </w:p>
    <w:p w14:paraId="40A67FE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风险登记册动态管理，重大风险升级处置；</w:t>
      </w:r>
    </w:p>
    <w:p w14:paraId="17DF2AF1">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资源保障机制，必要时增派人力保节点。</w:t>
      </w:r>
    </w:p>
    <w:bookmarkEnd w:id="263"/>
    <w:p w14:paraId="77503BBF">
      <w:pPr>
        <w:pStyle w:val="5"/>
        <w:rPr>
          <w:color w:val="000000" w:themeColor="text1"/>
          <w14:textFill>
            <w14:solidFill>
              <w14:schemeClr w14:val="tx1"/>
            </w14:solidFill>
          </w14:textFill>
        </w:rPr>
      </w:pPr>
      <w:bookmarkStart w:id="264" w:name="违约责任承诺"/>
      <w:r>
        <w:rPr>
          <w:color w:val="000000" w:themeColor="text1"/>
          <w14:textFill>
            <w14:solidFill>
              <w14:schemeClr w14:val="tx1"/>
            </w14:solidFill>
          </w14:textFill>
        </w:rPr>
        <w:t xml:space="preserve">6.8.2 </w:t>
      </w:r>
      <w:r>
        <w:rPr>
          <w:rFonts w:hint="eastAsia"/>
          <w:color w:val="000000" w:themeColor="text1"/>
          <w14:textFill>
            <w14:solidFill>
              <w14:schemeClr w14:val="tx1"/>
            </w14:solidFill>
          </w14:textFill>
        </w:rPr>
        <w:t>违约责任承诺</w:t>
      </w:r>
    </w:p>
    <w:p w14:paraId="7B25728A">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我方承诺严格遵守合同约定的服务期限，如因我方原因导致逾期，愿按合同约定承担相应违约责任，绝不以任何理由推诿。</w:t>
      </w:r>
    </w:p>
    <w:bookmarkEnd w:id="262"/>
    <w:bookmarkEnd w:id="264"/>
    <w:p w14:paraId="2D451157">
      <w:pPr>
        <w:pStyle w:val="4"/>
        <w:rPr>
          <w:color w:val="000000" w:themeColor="text1"/>
          <w14:textFill>
            <w14:solidFill>
              <w14:schemeClr w14:val="tx1"/>
            </w14:solidFill>
          </w14:textFill>
        </w:rPr>
      </w:pPr>
      <w:bookmarkStart w:id="265" w:name="项目交付物清单"/>
      <w:r>
        <w:rPr>
          <w:color w:val="000000" w:themeColor="text1"/>
          <w14:textFill>
            <w14:solidFill>
              <w14:schemeClr w14:val="tx1"/>
            </w14:solidFill>
          </w14:textFill>
        </w:rPr>
        <w:t xml:space="preserve">6.9 </w:t>
      </w:r>
      <w:r>
        <w:rPr>
          <w:rFonts w:hint="eastAsia"/>
          <w:color w:val="000000" w:themeColor="text1"/>
          <w14:textFill>
            <w14:solidFill>
              <w14:schemeClr w14:val="tx1"/>
            </w14:solidFill>
          </w14:textFill>
        </w:rPr>
        <w:t>项目交付物清单</w:t>
      </w:r>
    </w:p>
    <w:tbl>
      <w:tblPr>
        <w:tblStyle w:val="41"/>
        <w:tblW w:w="5000" w:type="pct"/>
        <w:tblInd w:w="0" w:type="dxa"/>
        <w:tblLayout w:type="fixed"/>
        <w:tblCellMar>
          <w:top w:w="0" w:type="dxa"/>
          <w:left w:w="108" w:type="dxa"/>
          <w:bottom w:w="0" w:type="dxa"/>
          <w:right w:w="108" w:type="dxa"/>
        </w:tblCellMar>
      </w:tblPr>
      <w:tblGrid>
        <w:gridCol w:w="3690"/>
        <w:gridCol w:w="5166"/>
      </w:tblGrid>
      <w:tr w14:paraId="2039D3EF">
        <w:trPr>
          <w:tblHeader/>
        </w:trPr>
        <w:tc>
          <w:p w14:paraId="78743D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类别</w:t>
            </w:r>
          </w:p>
        </w:tc>
        <w:tc>
          <w:p w14:paraId="5F2E545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交付物</w:t>
            </w:r>
          </w:p>
        </w:tc>
      </w:tr>
      <w:tr w14:paraId="0C8541A8">
        <w:tc>
          <w:p w14:paraId="41B94ED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软件</w:t>
            </w:r>
          </w:p>
        </w:tc>
        <w:tc>
          <w:p w14:paraId="6BD5E2F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四端应用与后端服务、可执行文件</w:t>
            </w:r>
          </w:p>
        </w:tc>
      </w:tr>
      <w:tr w14:paraId="52D4C4F9">
        <w:tc>
          <w:p w14:paraId="20F6F97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源代码</w:t>
            </w:r>
          </w:p>
        </w:tc>
        <w:tc>
          <w:p w14:paraId="450947C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完整源代码（可独立编译、结构清晰、注释完整）及编译部署脚本与说明</w:t>
            </w:r>
          </w:p>
        </w:tc>
      </w:tr>
      <w:tr w14:paraId="3331978C">
        <w:tc>
          <w:p w14:paraId="0870811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文档</w:t>
            </w:r>
          </w:p>
        </w:tc>
        <w:tc>
          <w:p w14:paraId="4AC5436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需求规格、设计文档、接口文档、数据库文档、测试文档、部署文档、操作手册、运维手册</w:t>
            </w:r>
          </w:p>
        </w:tc>
      </w:tr>
      <w:tr w14:paraId="304B6FA4">
        <w:tc>
          <w:p w14:paraId="5993943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w:t>
            </w:r>
          </w:p>
        </w:tc>
        <w:tc>
          <w:p w14:paraId="1CA4BEF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数据迁移结果与校验报告</w:t>
            </w:r>
          </w:p>
        </w:tc>
      </w:tr>
      <w:tr w14:paraId="2D1D7040">
        <w:tc>
          <w:p w14:paraId="484F610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报告</w:t>
            </w:r>
          </w:p>
        </w:tc>
        <w:tc>
          <w:p w14:paraId="3E19F5E5">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测试报告、性能报告、安全测试报告、验收报告</w:t>
            </w:r>
          </w:p>
        </w:tc>
      </w:tr>
      <w:tr w14:paraId="33C756B8">
        <w:tc>
          <w:p w14:paraId="750E660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培训</w:t>
            </w:r>
          </w:p>
        </w:tc>
        <w:tc>
          <w:p w14:paraId="034ED49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培训材料与培训记录</w:t>
            </w:r>
          </w:p>
        </w:tc>
      </w:tr>
      <w:bookmarkEnd w:id="265"/>
    </w:tbl>
    <w:p w14:paraId="5DF634E5">
      <w:pPr>
        <w:pStyle w:val="4"/>
        <w:rPr>
          <w:color w:val="000000" w:themeColor="text1"/>
          <w14:textFill>
            <w14:solidFill>
              <w14:schemeClr w14:val="tx1"/>
            </w14:solidFill>
          </w14:textFill>
        </w:rPr>
      </w:pPr>
      <w:bookmarkStart w:id="266" w:name="六年免费运维服务年度工作安排"/>
      <w:r>
        <w:rPr>
          <w:color w:val="000000" w:themeColor="text1"/>
          <w14:textFill>
            <w14:solidFill>
              <w14:schemeClr w14:val="tx1"/>
            </w14:solidFill>
          </w14:textFill>
        </w:rPr>
        <w:t xml:space="preserve">6.10 </w:t>
      </w:r>
      <w:r>
        <w:rPr>
          <w:rFonts w:hint="eastAsia"/>
          <w:color w:val="000000" w:themeColor="text1"/>
          <w14:textFill>
            <w14:solidFill>
              <w14:schemeClr w14:val="tx1"/>
            </w14:solidFill>
          </w14:textFill>
        </w:rPr>
        <w:t>六年免费运维服务年度工作安排</w:t>
      </w:r>
    </w:p>
    <w:tbl>
      <w:tblPr>
        <w:tblStyle w:val="41"/>
        <w:tblW w:w="0" w:type="auto"/>
        <w:tblInd w:w="0" w:type="dxa"/>
        <w:tblLayout w:type="autofit"/>
        <w:tblCellMar>
          <w:top w:w="0" w:type="dxa"/>
          <w:left w:w="108" w:type="dxa"/>
          <w:bottom w:w="0" w:type="dxa"/>
          <w:right w:w="108" w:type="dxa"/>
        </w:tblCellMar>
      </w:tblPr>
      <w:tblGrid>
        <w:gridCol w:w="935"/>
        <w:gridCol w:w="6696"/>
      </w:tblGrid>
      <w:tr w14:paraId="79CAB796">
        <w:trPr>
          <w:tblHeader/>
        </w:trPr>
        <w:tc>
          <w:p w14:paraId="1EA6C2F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年度</w:t>
            </w:r>
          </w:p>
        </w:tc>
        <w:tc>
          <w:p w14:paraId="6E2CBD1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工作重点</w:t>
            </w:r>
          </w:p>
        </w:tc>
      </w:tr>
      <w:tr w14:paraId="5BA7F512">
        <w:tc>
          <w:p w14:paraId="6ED6591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第1年</w:t>
            </w:r>
          </w:p>
        </w:tc>
        <w:tc>
          <w:p w14:paraId="21EFBA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稳定运行保障、上线问题收敛、用户培训强化、运维流程磨合</w:t>
            </w:r>
          </w:p>
        </w:tc>
      </w:tr>
      <w:tr w14:paraId="045B17C4">
        <w:tc>
          <w:p w14:paraId="08B362D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第2年</w:t>
            </w:r>
          </w:p>
        </w:tc>
        <w:tc>
          <w:p w14:paraId="02B2F7F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性能与体验优化、常态化培训、知识库完善</w:t>
            </w:r>
          </w:p>
        </w:tc>
      </w:tr>
      <w:tr w14:paraId="022327BE">
        <w:tc>
          <w:p w14:paraId="10C8B24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第3年</w:t>
            </w:r>
          </w:p>
        </w:tc>
        <w:tc>
          <w:p w14:paraId="3BC3163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功能迭代优化、安全复测、容量评估</w:t>
            </w:r>
          </w:p>
        </w:tc>
      </w:tr>
      <w:tr w14:paraId="21B33A8D">
        <w:tc>
          <w:p w14:paraId="46CB82C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第4年</w:t>
            </w:r>
          </w:p>
        </w:tc>
        <w:tc>
          <w:p w14:paraId="58C3463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持续优化、等保复查配合、数据治理</w:t>
            </w:r>
          </w:p>
        </w:tc>
      </w:tr>
      <w:tr w14:paraId="705D1F78">
        <w:tc>
          <w:p w14:paraId="7075EB5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第5年</w:t>
            </w:r>
          </w:p>
        </w:tc>
        <w:tc>
          <w:p w14:paraId="14E8F3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稳定保障、优化改进、移交材料准备启动</w:t>
            </w:r>
          </w:p>
        </w:tc>
      </w:tr>
      <w:tr w14:paraId="05F8519E">
        <w:tc>
          <w:p w14:paraId="5C2F49B3">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第6年</w:t>
            </w:r>
          </w:p>
        </w:tc>
        <w:tc>
          <w:p w14:paraId="73A7369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稳定保障、移交方案实施、平稳过渡与结算</w:t>
            </w:r>
          </w:p>
        </w:tc>
      </w:tr>
    </w:tbl>
    <w:p w14:paraId="4EB97BE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每年提供不少于约定次数的巡检、培训与优化，按月报送运维报告，全程</w:t>
      </w:r>
      <w:r>
        <w:rPr>
          <w:color w:val="000000" w:themeColor="text1"/>
          <w14:textFill>
            <w14:solidFill>
              <w14:schemeClr w14:val="tx1"/>
            </w14:solidFill>
          </w14:textFill>
        </w:rPr>
        <w:t xml:space="preserve"> 7×24 </w:t>
      </w:r>
      <w:r>
        <w:rPr>
          <w:rFonts w:hint="eastAsia"/>
          <w:color w:val="000000" w:themeColor="text1"/>
          <w14:textFill>
            <w14:solidFill>
              <w14:schemeClr w14:val="tx1"/>
            </w14:solidFill>
          </w14:textFill>
        </w:rPr>
        <w:t>响应。</w:t>
      </w:r>
    </w:p>
    <w:bookmarkEnd w:id="266"/>
    <w:p w14:paraId="35706415">
      <w:pPr>
        <w:pStyle w:val="4"/>
        <w:rPr>
          <w:color w:val="000000" w:themeColor="text1"/>
          <w14:textFill>
            <w14:solidFill>
              <w14:schemeClr w14:val="tx1"/>
            </w14:solidFill>
          </w14:textFill>
        </w:rPr>
      </w:pPr>
      <w:bookmarkStart w:id="267" w:name="需甲方配合事项清单"/>
      <w:r>
        <w:rPr>
          <w:color w:val="000000" w:themeColor="text1"/>
          <w14:textFill>
            <w14:solidFill>
              <w14:schemeClr w14:val="tx1"/>
            </w14:solidFill>
          </w14:textFill>
        </w:rPr>
        <w:t xml:space="preserve">6.11 </w:t>
      </w:r>
      <w:r>
        <w:rPr>
          <w:rFonts w:hint="eastAsia"/>
          <w:color w:val="000000" w:themeColor="text1"/>
          <w14:textFill>
            <w14:solidFill>
              <w14:schemeClr w14:val="tx1"/>
            </w14:solidFill>
          </w14:textFill>
        </w:rPr>
        <w:t>需甲方配合事项清单</w:t>
      </w:r>
    </w:p>
    <w:p w14:paraId="15AC72B3">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为保障时限如期兑现，恳请甲方配合以下事项：</w:t>
      </w:r>
    </w:p>
    <w:p w14:paraId="777C1045">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及时下达书面开工通知、明确对接人与现场办公条件；</w:t>
      </w:r>
    </w:p>
    <w:p w14:paraId="46BDECDF">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协调郑好办、政务数据、支付、签章等接口方的对接资源与联调环境；</w:t>
      </w:r>
    </w:p>
    <w:p w14:paraId="3A8736E3">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及时提供存量数据与业务规则确认；</w:t>
      </w:r>
    </w:p>
    <w:p w14:paraId="726B7E28">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及时组织需求确认、里程碑评审与验收；</w:t>
      </w:r>
    </w:p>
    <w:p w14:paraId="5CD011A7">
      <w:pPr>
        <w:pStyle w:val="24"/>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提供必要的网络、机房等基础设施条件。</w:t>
      </w:r>
    </w:p>
    <w:p w14:paraId="0840065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我方将与甲方紧密配合，共同保障项目在约定期限内高质量交付并稳定运行六年。</w:t>
      </w:r>
    </w:p>
    <w:bookmarkEnd w:id="267"/>
    <w:p w14:paraId="11DC6E8F">
      <w:pPr>
        <w:pStyle w:val="4"/>
        <w:rPr>
          <w:color w:val="000000" w:themeColor="text1"/>
          <w14:textFill>
            <w14:solidFill>
              <w14:schemeClr w14:val="tx1"/>
            </w14:solidFill>
          </w14:textFill>
        </w:rPr>
      </w:pPr>
      <w:bookmarkStart w:id="268" w:name="服务承诺汇总"/>
      <w:r>
        <w:rPr>
          <w:color w:val="000000" w:themeColor="text1"/>
          <w14:textFill>
            <w14:solidFill>
              <w14:schemeClr w14:val="tx1"/>
            </w14:solidFill>
          </w14:textFill>
        </w:rPr>
        <w:t xml:space="preserve">6.12 </w:t>
      </w:r>
      <w:r>
        <w:rPr>
          <w:rFonts w:hint="eastAsia"/>
          <w:color w:val="000000" w:themeColor="text1"/>
          <w14:textFill>
            <w14:solidFill>
              <w14:schemeClr w14:val="tx1"/>
            </w14:solidFill>
          </w14:textFill>
        </w:rPr>
        <w:t>服务承诺汇总</w:t>
      </w:r>
    </w:p>
    <w:p w14:paraId="301CD1DB">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为便于甲方一览我方对本项目各项时限与服务的硬性承诺，汇总如下：</w:t>
      </w:r>
    </w:p>
    <w:tbl>
      <w:tblPr>
        <w:tblStyle w:val="41"/>
        <w:tblW w:w="0" w:type="auto"/>
        <w:tblInd w:w="0" w:type="dxa"/>
        <w:tblLayout w:type="autofit"/>
        <w:tblCellMar>
          <w:top w:w="0" w:type="dxa"/>
          <w:left w:w="108" w:type="dxa"/>
          <w:bottom w:w="0" w:type="dxa"/>
          <w:right w:w="108" w:type="dxa"/>
        </w:tblCellMar>
      </w:tblPr>
      <w:tblGrid>
        <w:gridCol w:w="1176"/>
        <w:gridCol w:w="6456"/>
      </w:tblGrid>
      <w:tr w14:paraId="47E0F9DD">
        <w:trPr>
          <w:tblHeader/>
        </w:trPr>
        <w:tc>
          <w:p w14:paraId="0AA5141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承诺项</w:t>
            </w:r>
          </w:p>
        </w:tc>
        <w:tc>
          <w:p w14:paraId="5ACA85A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承诺内容</w:t>
            </w:r>
          </w:p>
        </w:tc>
      </w:tr>
      <w:tr w14:paraId="5E4403CE">
        <w:tc>
          <w:p w14:paraId="73480A3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开发期</w:t>
            </w:r>
          </w:p>
        </w:tc>
        <w:tc>
          <w:p w14:paraId="03C7CD67">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自书面开工通知起</w:t>
            </w:r>
            <w:r>
              <w:rPr>
                <w:color w:val="000000" w:themeColor="text1"/>
                <w14:textFill>
                  <w14:solidFill>
                    <w14:schemeClr w14:val="tx1"/>
                  </w14:solidFill>
                </w14:textFill>
              </w:rPr>
              <w:t xml:space="preserve"> 60 </w:t>
            </w:r>
            <w:r>
              <w:rPr>
                <w:rFonts w:hint="eastAsia"/>
                <w:color w:val="000000" w:themeColor="text1"/>
                <w14:textFill>
                  <w14:solidFill>
                    <w14:schemeClr w14:val="tx1"/>
                  </w14:solidFill>
                </w14:textFill>
              </w:rPr>
              <w:t>日历天内完成开发部署</w:t>
            </w:r>
          </w:p>
        </w:tc>
      </w:tr>
      <w:tr w14:paraId="6787A73E">
        <w:tc>
          <w:p w14:paraId="7EBBF912">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研发投入</w:t>
            </w:r>
          </w:p>
        </w:tc>
        <w:tc>
          <w:p w14:paraId="3FB9C49C">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研发服务总人月数不少于</w:t>
            </w:r>
            <w:r>
              <w:rPr>
                <w:color w:val="000000" w:themeColor="text1"/>
                <w14:textFill>
                  <w14:solidFill>
                    <w14:schemeClr w14:val="tx1"/>
                  </w14:solidFill>
                </w14:textFill>
              </w:rPr>
              <w:t xml:space="preserve"> 37 </w:t>
            </w:r>
            <w:r>
              <w:rPr>
                <w:rFonts w:hint="eastAsia"/>
                <w:color w:val="000000" w:themeColor="text1"/>
                <w14:textFill>
                  <w14:solidFill>
                    <w14:schemeClr w14:val="tx1"/>
                  </w14:solidFill>
                </w14:textFill>
              </w:rPr>
              <w:t>人月</w:t>
            </w:r>
          </w:p>
        </w:tc>
      </w:tr>
      <w:tr w14:paraId="76D91977">
        <w:tc>
          <w:p w14:paraId="01B9413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免费运维</w:t>
            </w:r>
          </w:p>
        </w:tc>
        <w:tc>
          <w:p w14:paraId="00F9A3DD">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自最终验收合格起</w:t>
            </w:r>
            <w:r>
              <w:rPr>
                <w:color w:val="000000" w:themeColor="text1"/>
                <w14:textFill>
                  <w14:solidFill>
                    <w14:schemeClr w14:val="tx1"/>
                  </w14:solidFill>
                </w14:textFill>
              </w:rPr>
              <w:t xml:space="preserve"> 6 </w:t>
            </w:r>
            <w:r>
              <w:rPr>
                <w:rFonts w:hint="eastAsia"/>
                <w:color w:val="000000" w:themeColor="text1"/>
                <w14:textFill>
                  <w14:solidFill>
                    <w14:schemeClr w14:val="tx1"/>
                  </w14:solidFill>
                </w14:textFill>
              </w:rPr>
              <w:t>年免费运维</w:t>
            </w:r>
          </w:p>
        </w:tc>
      </w:tr>
      <w:tr w14:paraId="361314FC">
        <w:tc>
          <w:p w14:paraId="239061E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故障响应</w:t>
            </w:r>
          </w:p>
        </w:tc>
        <w:tc>
          <w:p w14:paraId="66B0E58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紧急</w:t>
            </w:r>
            <w:r>
              <w:rPr>
                <w:color w:val="000000" w:themeColor="text1"/>
                <w14:textFill>
                  <w14:solidFill>
                    <w14:schemeClr w14:val="tx1"/>
                  </w14:solidFill>
                </w14:textFill>
              </w:rPr>
              <w:t xml:space="preserve"> 10 </w:t>
            </w:r>
            <w:r>
              <w:rPr>
                <w:rFonts w:hint="eastAsia"/>
                <w:color w:val="000000" w:themeColor="text1"/>
                <w14:textFill>
                  <w14:solidFill>
                    <w14:schemeClr w14:val="tx1"/>
                  </w14:solidFill>
                </w14:textFill>
              </w:rPr>
              <w:t>分钟、一般</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小时内响应</w:t>
            </w:r>
          </w:p>
        </w:tc>
      </w:tr>
      <w:tr w14:paraId="74A1FDF4">
        <w:tc>
          <w:p w14:paraId="51E43B9E">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远程服务</w:t>
            </w:r>
          </w:p>
        </w:tc>
        <w:tc>
          <w:p w14:paraId="2FB5DC35">
            <w:pPr>
              <w:pStyle w:val="24"/>
              <w:jc w:val="left"/>
              <w:rPr>
                <w:color w:val="000000" w:themeColor="text1"/>
                <w14:textFill>
                  <w14:solidFill>
                    <w14:schemeClr w14:val="tx1"/>
                  </w14:solidFill>
                </w14:textFill>
              </w:rPr>
            </w:pPr>
            <w:r>
              <w:rPr>
                <w:color w:val="000000" w:themeColor="text1"/>
                <w14:textFill>
                  <w14:solidFill>
                    <w14:schemeClr w14:val="tx1"/>
                  </w14:solidFill>
                </w14:textFill>
              </w:rPr>
              <w:t xml:space="preserve">7×24 </w:t>
            </w:r>
            <w:r>
              <w:rPr>
                <w:rFonts w:hint="eastAsia"/>
                <w:color w:val="000000" w:themeColor="text1"/>
                <w14:textFill>
                  <w14:solidFill>
                    <w14:schemeClr w14:val="tx1"/>
                  </w14:solidFill>
                </w14:textFill>
              </w:rPr>
              <w:t>小时热线/网络/邮件响应</w:t>
            </w:r>
          </w:p>
        </w:tc>
      </w:tr>
      <w:tr w14:paraId="004F9264">
        <w:tc>
          <w:p w14:paraId="7FB8941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运维报送</w:t>
            </w:r>
          </w:p>
        </w:tc>
        <w:tc>
          <w:p w14:paraId="5D56C169">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周运维报送、月度运维报告（每月末前</w:t>
            </w:r>
            <w:r>
              <w:rPr>
                <w:color w:val="000000" w:themeColor="text1"/>
                <w14:textFill>
                  <w14:solidFill>
                    <w14:schemeClr w14:val="tx1"/>
                  </w14:solidFill>
                </w14:textFill>
              </w:rPr>
              <w:t xml:space="preserve"> 2 </w:t>
            </w:r>
            <w:r>
              <w:rPr>
                <w:rFonts w:hint="eastAsia"/>
                <w:color w:val="000000" w:themeColor="text1"/>
                <w14:textFill>
                  <w14:solidFill>
                    <w14:schemeClr w14:val="tx1"/>
                  </w14:solidFill>
                </w14:textFill>
              </w:rPr>
              <w:t>个工作日报送）</w:t>
            </w:r>
          </w:p>
        </w:tc>
      </w:tr>
      <w:tr w14:paraId="0757C4FF">
        <w:tc>
          <w:p w14:paraId="3FC2D33A">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源代码</w:t>
            </w:r>
          </w:p>
        </w:tc>
        <w:tc>
          <w:p w14:paraId="0F1FEE56">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交付全部源代码，可独立编译生成与生产一致的可执行文件</w:t>
            </w:r>
          </w:p>
        </w:tc>
      </w:tr>
      <w:tr w14:paraId="4192D7C4">
        <w:tc>
          <w:p w14:paraId="4032D1DB">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等保</w:t>
            </w:r>
          </w:p>
        </w:tc>
        <w:tc>
          <w:p w14:paraId="698CAAA8">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未通过等保二级测评前不申请最终验收</w:t>
            </w:r>
          </w:p>
        </w:tc>
      </w:tr>
      <w:tr w14:paraId="53986ACE">
        <w:tc>
          <w:p w14:paraId="4ACB379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违约</w:t>
            </w:r>
          </w:p>
        </w:tc>
        <w:tc>
          <w:p w14:paraId="57C77A31">
            <w:pPr>
              <w:pStyle w:val="24"/>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因我方原因逾期，按合同约定承担违约责任</w:t>
            </w:r>
          </w:p>
        </w:tc>
      </w:tr>
    </w:tbl>
    <w:p w14:paraId="34E504F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上述承诺构成我方履约的刚性约束，纳入合同并接受甲方全程监督考核。</w:t>
      </w:r>
    </w:p>
    <w:bookmarkEnd w:id="268"/>
    <w:p w14:paraId="78A74676">
      <w:pPr>
        <w:pStyle w:val="4"/>
        <w:rPr>
          <w:color w:val="000000" w:themeColor="text1"/>
          <w14:textFill>
            <w14:solidFill>
              <w14:schemeClr w14:val="tx1"/>
            </w14:solidFill>
          </w14:textFill>
        </w:rPr>
      </w:pPr>
      <w:bookmarkStart w:id="269" w:name="期限保证的组织与资源支撑"/>
      <w:r>
        <w:rPr>
          <w:color w:val="000000" w:themeColor="text1"/>
          <w14:textFill>
            <w14:solidFill>
              <w14:schemeClr w14:val="tx1"/>
            </w14:solidFill>
          </w14:textFill>
        </w:rPr>
        <w:t xml:space="preserve">6.13 </w:t>
      </w:r>
      <w:r>
        <w:rPr>
          <w:rFonts w:hint="eastAsia"/>
          <w:color w:val="000000" w:themeColor="text1"/>
          <w14:textFill>
            <w14:solidFill>
              <w14:schemeClr w14:val="tx1"/>
            </w14:solidFill>
          </w14:textFill>
        </w:rPr>
        <w:t>期限保证的组织与资源支撑</w:t>
      </w:r>
    </w:p>
    <w:p w14:paraId="64F09216">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时限承诺的兑现依托组织与资源的双重保障：</w:t>
      </w:r>
    </w:p>
    <w:p w14:paraId="051B7EE9">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组织保障</w:t>
      </w:r>
      <w:r>
        <w:rPr>
          <w:rFonts w:hint="eastAsia"/>
          <w:color w:val="000000" w:themeColor="text1"/>
          <w14:textFill>
            <w14:solidFill>
              <w14:schemeClr w14:val="tx1"/>
            </w14:solidFill>
          </w14:textFill>
        </w:rPr>
        <w:t>：设立项目经理统筹进度、质量与风险，公司决策层提供资源保障与重大事项决策，形成”决策层—管理层—执行层”的责任链；</w:t>
      </w:r>
    </w:p>
    <w:p w14:paraId="12ED48EF">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人力保障</w:t>
      </w:r>
      <w:r>
        <w:rPr>
          <w:rFonts w:hint="eastAsia"/>
          <w:color w:val="000000" w:themeColor="text1"/>
          <w14:textFill>
            <w14:solidFill>
              <w14:schemeClr w14:val="tx1"/>
            </w14:solidFill>
          </w14:textFill>
        </w:rPr>
        <w:t>：开发期核心岗位满员并行，运维期常态驻场，关键岗位设</w:t>
      </w:r>
      <w:r>
        <w:rPr>
          <w:color w:val="000000" w:themeColor="text1"/>
          <w14:textFill>
            <w14:solidFill>
              <w14:schemeClr w14:val="tx1"/>
            </w14:solidFill>
          </w14:textFill>
        </w:rPr>
        <w:t xml:space="preserve"> AB </w:t>
      </w:r>
      <w:r>
        <w:rPr>
          <w:rFonts w:hint="eastAsia"/>
          <w:color w:val="000000" w:themeColor="text1"/>
          <w14:textFill>
            <w14:solidFill>
              <w14:schemeClr w14:val="tx1"/>
            </w14:solidFill>
          </w14:textFill>
        </w:rPr>
        <w:t>角，必要时公司增派人力保节点；</w:t>
      </w:r>
    </w:p>
    <w:p w14:paraId="513FF1A1">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技术保障</w:t>
      </w:r>
      <w:r>
        <w:rPr>
          <w:rFonts w:hint="eastAsia"/>
          <w:color w:val="000000" w:themeColor="text1"/>
          <w14:textFill>
            <w14:solidFill>
              <w14:schemeClr w14:val="tx1"/>
            </w14:solidFill>
          </w14:textFill>
        </w:rPr>
        <w:t>：成熟稳定的技术栈与工程化工具链（CI、监控、备份、发布回滚）降低不确定性；</w:t>
      </w:r>
    </w:p>
    <w:p w14:paraId="777EF228">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后方支撑</w:t>
      </w:r>
      <w:r>
        <w:rPr>
          <w:rFonts w:hint="eastAsia"/>
          <w:color w:val="000000" w:themeColor="text1"/>
          <w14:textFill>
            <w14:solidFill>
              <w14:schemeClr w14:val="tx1"/>
            </w14:solidFill>
          </w14:textFill>
        </w:rPr>
        <w:t>：公司架构师、数据库与安全专家作为二线支撑，随时支援疑难问题；</w:t>
      </w:r>
    </w:p>
    <w:p w14:paraId="6C8F378C">
      <w:pPr>
        <w:pStyle w:val="24"/>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机制保障</w:t>
      </w:r>
      <w:r>
        <w:rPr>
          <w:rFonts w:hint="eastAsia"/>
          <w:color w:val="000000" w:themeColor="text1"/>
          <w14:textFill>
            <w14:solidFill>
              <w14:schemeClr w14:val="tx1"/>
            </w14:solidFill>
          </w14:textFill>
        </w:rPr>
        <w:t>：周跟踪、里程碑基线、风险登记册、关键节点缓冲，保证进度可见、偏差可纠、风险可控。</w:t>
      </w:r>
    </w:p>
    <w:p w14:paraId="0BA54FE7">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凭借上述保障，我方有充分把握在约定期限内高质量完成开发部署，并以稳定连续的服务保障系统运行六年，实现”建得好、交得出、用得久”。</w:t>
      </w:r>
    </w:p>
    <w:p w14:paraId="25B8D3EF">
      <w:pPr>
        <w:rPr>
          <w:color w:val="000000" w:themeColor="text1"/>
          <w14:textFill>
            <w14:solidFill>
              <w14:schemeClr w14:val="tx1"/>
            </w14:solidFill>
          </w14:textFill>
        </w:rPr>
      </w:pPr>
      <w:r>
        <w:rPr>
          <w:color w:val="000000" w:themeColor="text1"/>
          <w14:textFill>
            <w14:solidFill>
              <w14:schemeClr w14:val="tx1"/>
            </w14:solidFill>
          </w14:textFill>
        </w:rPr>
        <w:br w:type="page"/>
      </w:r>
    </w:p>
    <w:bookmarkEnd w:id="250"/>
    <w:bookmarkEnd w:id="26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FA5E0AB"/>
    <w:rsid w:val="473B1C3A"/>
    <w:rsid w:val="DBB73D1A"/>
    <w:rsid w:val="DFBFD2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100</Pages>
  <Words>83</Words>
  <Characters>475</Characters>
  <Lines>12</Lines>
  <Paragraphs>8</Paragraphs>
  <TotalTime>8</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2026-07-29T22:05:00Z</dcterms:created>
  <dc:creator>典藏记忆</dc:creator>
  <cp:lastModifiedBy>典藏记忆</cp:lastModifiedBy>
  <dcterms:modified xsi:type="dcterms:W3CDTF">2026-07-30T11:44:08Z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A695D6E4CFD8C3B65DC76A6AEC549A3B_42</vt:lpwstr>
  </property>
</Properties>
</file>