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881B3">
      <w:pPr>
        <w:pStyle w:val="2"/>
        <w:jc w:val="center"/>
        <w:rPr>
          <w:rFonts w:hint="eastAsia" w:ascii="黑体" w:hAnsi="黑体" w:eastAsia="黑体" w:cs="黑体"/>
          <w:color w:val="000000" w:themeColor="text1"/>
          <w14:textFill>
            <w14:solidFill>
              <w14:schemeClr w14:val="tx1"/>
            </w14:solidFill>
          </w14:textFill>
        </w:rPr>
      </w:pPr>
      <w:bookmarkStart w:id="0" w:name="技术偏离表"/>
      <w:r>
        <w:rPr>
          <w:rFonts w:hint="eastAsia" w:ascii="黑体" w:hAnsi="黑体" w:eastAsia="黑体" w:cs="黑体"/>
          <w:color w:val="000000" w:themeColor="text1"/>
          <w14:textFill>
            <w14:solidFill>
              <w14:schemeClr w14:val="tx1"/>
            </w14:solidFill>
          </w14:textFill>
        </w:rPr>
        <w:t>技术偏离表</w:t>
      </w:r>
    </w:p>
    <w:p w14:paraId="5785FE74">
      <w:pPr>
        <w:pStyle w:val="23"/>
        <w:rPr>
          <w:color w:val="000000" w:themeColor="text1"/>
          <w14:textFill>
            <w14:solidFill>
              <w14:schemeClr w14:val="tx1"/>
            </w14:solidFill>
          </w14:textFill>
        </w:rPr>
      </w:pPr>
      <w:r>
        <w:rPr>
          <w:rFonts w:hint="eastAsia"/>
          <w:b/>
          <w:bCs/>
          <w:color w:val="000000" w:themeColor="text1"/>
          <w14:textFill>
            <w14:solidFill>
              <w14:schemeClr w14:val="tx1"/>
            </w14:solidFill>
          </w14:textFill>
        </w:rPr>
        <w:t>项目名称</w:t>
      </w:r>
      <w:r>
        <w:rPr>
          <w:rFonts w:hint="eastAsia"/>
          <w:color w:val="000000" w:themeColor="text1"/>
          <w14:textFill>
            <w14:solidFill>
              <w14:schemeClr w14:val="tx1"/>
            </w14:solidFill>
          </w14:textFill>
        </w:rPr>
        <w:t>：郑州数据集团有限公司房屋管理系统人力服务采购项目</w:t>
      </w:r>
    </w:p>
    <w:p w14:paraId="52B4C1CB">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投标人</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 xml:space="preserve">                </w:t>
      </w:r>
      <w:r>
        <w:rPr>
          <w:rFonts w:hint="eastAsia"/>
          <w:color w:val="000000" w:themeColor="text1"/>
          <w14:textFill>
            <w14:solidFill>
              <w14:schemeClr w14:val="tx1"/>
            </w14:solidFill>
          </w14:textFill>
        </w:rPr>
        <w:t>（盖单位公章）</w:t>
      </w:r>
    </w:p>
    <w:p w14:paraId="136D8F9D">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填写说明</w:t>
      </w:r>
      <w:r>
        <w:rPr>
          <w:rFonts w:hint="eastAsia"/>
          <w:color w:val="000000" w:themeColor="text1"/>
          <w14:textFill>
            <w14:solidFill>
              <w14:schemeClr w14:val="tx1"/>
            </w14:solidFill>
          </w14:textFill>
        </w:rPr>
        <w:t>：本表依据招标文件第五章”采购需求”、第四章”合同条款及格式”（含专用条款及附件3运维服务内容及标准）逐条对照编制，并对应本投标技术方案相关章节。偏离情况分为：</w:t>
      </w:r>
      <w:r>
        <w:rPr>
          <w:rFonts w:hint="eastAsia"/>
          <w:b/>
          <w:bCs/>
          <w:color w:val="000000" w:themeColor="text1"/>
          <w14:textFill>
            <w14:solidFill>
              <w14:schemeClr w14:val="tx1"/>
            </w14:solidFill>
          </w14:textFill>
        </w:rPr>
        <w:t>无偏离</w:t>
      </w:r>
      <w:r>
        <w:rPr>
          <w:rFonts w:hint="eastAsia"/>
          <w:color w:val="000000" w:themeColor="text1"/>
          <w14:textFill>
            <w14:solidFill>
              <w14:schemeClr w14:val="tx1"/>
            </w14:solidFill>
          </w14:textFill>
        </w:rPr>
        <w:t>（完全响应）、</w:t>
      </w:r>
      <w:r>
        <w:rPr>
          <w:rFonts w:hint="eastAsia"/>
          <w:b/>
          <w:bCs/>
          <w:color w:val="000000" w:themeColor="text1"/>
          <w14:textFill>
            <w14:solidFill>
              <w14:schemeClr w14:val="tx1"/>
            </w14:solidFill>
          </w14:textFill>
        </w:rPr>
        <w:t>正偏离</w:t>
      </w:r>
      <w:r>
        <w:rPr>
          <w:rFonts w:hint="eastAsia"/>
          <w:color w:val="000000" w:themeColor="text1"/>
          <w14:textFill>
            <w14:solidFill>
              <w14:schemeClr w14:val="tx1"/>
            </w14:solidFill>
          </w14:textFill>
        </w:rPr>
        <w:t>（响应优于招标要求）、</w:t>
      </w:r>
      <w:r>
        <w:rPr>
          <w:rFonts w:hint="eastAsia"/>
          <w:b/>
          <w:bCs/>
          <w:color w:val="000000" w:themeColor="text1"/>
          <w14:textFill>
            <w14:solidFill>
              <w14:schemeClr w14:val="tx1"/>
            </w14:solidFill>
          </w14:textFill>
        </w:rPr>
        <w:t>负偏离</w:t>
      </w:r>
      <w:r>
        <w:rPr>
          <w:rFonts w:hint="eastAsia"/>
          <w:color w:val="000000" w:themeColor="text1"/>
          <w14:textFill>
            <w14:solidFill>
              <w14:schemeClr w14:val="tx1"/>
            </w14:solidFill>
          </w14:textFill>
        </w:rPr>
        <w:t>（未能满足要求）。</w:t>
      </w:r>
    </w:p>
    <w:p w14:paraId="1016FFB0">
      <w:pPr>
        <w:pStyle w:val="4"/>
        <w:rPr>
          <w:color w:val="000000" w:themeColor="text1"/>
          <w14:textFill>
            <w14:solidFill>
              <w14:schemeClr w14:val="tx1"/>
            </w14:solidFill>
          </w14:textFill>
        </w:rPr>
      </w:pPr>
      <w:bookmarkStart w:id="1" w:name="一采购内容与范围"/>
      <w:r>
        <w:rPr>
          <w:rFonts w:hint="eastAsia"/>
          <w:color w:val="000000" w:themeColor="text1"/>
          <w14:textFill>
            <w14:solidFill>
              <w14:schemeClr w14:val="tx1"/>
            </w14:solidFill>
          </w14:textFill>
        </w:rPr>
        <w:t>一、采购内容与范围</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1771"/>
        <w:gridCol w:w="1771"/>
        <w:gridCol w:w="1771"/>
        <w:gridCol w:w="1771"/>
      </w:tblGrid>
      <w:tr w14:paraId="2F0DC769">
        <w:trPr>
          <w:tblHeader/>
        </w:trPr>
        <w:tc>
          <w:p w14:paraId="39E7BB52">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01964B12">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招标文件要求（条款出处）</w:t>
            </w:r>
          </w:p>
        </w:tc>
        <w:tc>
          <w:p w14:paraId="60A10907">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招标要求内容</w:t>
            </w:r>
          </w:p>
        </w:tc>
        <w:tc>
          <w:p w14:paraId="53FEC9C3">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投标响应内容（对应技术方案章节）</w:t>
            </w:r>
          </w:p>
        </w:tc>
        <w:tc>
          <w:p w14:paraId="38980F2E">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偏离情况</w:t>
            </w:r>
          </w:p>
        </w:tc>
      </w:tr>
      <w:tr w14:paraId="1034A49D">
        <w:tc>
          <w:p w14:paraId="492108A3">
            <w:pPr>
              <w:pStyle w:val="24"/>
              <w:rPr>
                <w:color w:val="000000" w:themeColor="text1"/>
                <w14:textFill>
                  <w14:solidFill>
                    <w14:schemeClr w14:val="tx1"/>
                  </w14:solidFill>
                </w14:textFill>
              </w:rPr>
            </w:pPr>
            <w:r>
              <w:rPr>
                <w:color w:val="000000" w:themeColor="text1"/>
                <w14:textFill>
                  <w14:solidFill>
                    <w14:schemeClr w14:val="tx1"/>
                  </w14:solidFill>
                </w14:textFill>
              </w:rPr>
              <w:t>1</w:t>
            </w:r>
          </w:p>
        </w:tc>
        <w:tc>
          <w:p w14:paraId="766BC4E0">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第五章1.采购内容</w:t>
            </w:r>
          </w:p>
        </w:tc>
        <w:tc>
          <w:p w14:paraId="66C326B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构建含房源管理、合同管理、优惠券管理、消息管理、个人中心、运营中心、支付管理、数据看板等业务的房屋管理系统（含移动端、小程序端、公众号端）</w:t>
            </w:r>
          </w:p>
        </w:tc>
        <w:tc>
          <w:p w14:paraId="6B30DEB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完全响应。第二章按八大业务域完成系统功能设计，群众端基于</w:t>
            </w:r>
            <w:r>
              <w:rPr>
                <w:color w:val="000000" w:themeColor="text1"/>
                <w14:textFill>
                  <w14:solidFill>
                    <w14:schemeClr w14:val="tx1"/>
                  </w14:solidFill>
                </w14:textFill>
              </w:rPr>
              <w:t xml:space="preserve"> uni-app </w:t>
            </w:r>
            <w:r>
              <w:rPr>
                <w:rFonts w:hint="eastAsia"/>
                <w:color w:val="000000" w:themeColor="text1"/>
                <w14:textFill>
                  <w14:solidFill>
                    <w14:schemeClr w14:val="tx1"/>
                  </w14:solidFill>
                </w14:textFill>
              </w:rPr>
              <w:t>一套代码统一交付</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H5、小程序、公众号三端</w:t>
            </w:r>
          </w:p>
        </w:tc>
        <w:tc>
          <w:p w14:paraId="51C0CE88">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515ED686">
        <w:tc>
          <w:p w14:paraId="168925B7">
            <w:pPr>
              <w:pStyle w:val="24"/>
              <w:rPr>
                <w:color w:val="000000" w:themeColor="text1"/>
                <w14:textFill>
                  <w14:solidFill>
                    <w14:schemeClr w14:val="tx1"/>
                  </w14:solidFill>
                </w14:textFill>
              </w:rPr>
            </w:pPr>
            <w:r>
              <w:rPr>
                <w:color w:val="000000" w:themeColor="text1"/>
                <w14:textFill>
                  <w14:solidFill>
                    <w14:schemeClr w14:val="tx1"/>
                  </w14:solidFill>
                </w14:textFill>
              </w:rPr>
              <w:t>2</w:t>
            </w:r>
          </w:p>
        </w:tc>
        <w:tc>
          <w:p w14:paraId="42C7FC37">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第五章1.采购内容</w:t>
            </w:r>
          </w:p>
        </w:tc>
        <w:tc>
          <w:p w14:paraId="097EBD0E">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驻场工作含软件定制化开发、系统集成调试、试运行、验收、交付、运维、技术培训及相关工作</w:t>
            </w:r>
          </w:p>
        </w:tc>
        <w:tc>
          <w:p w14:paraId="408D1F1F">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完全响应。第三章明确驻场团队承担上述全部工作，服从甲方安排</w:t>
            </w:r>
          </w:p>
        </w:tc>
        <w:tc>
          <w:p w14:paraId="414BBEF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46A78AB8">
        <w:tc>
          <w:p w14:paraId="5FAA89D0">
            <w:pPr>
              <w:pStyle w:val="24"/>
              <w:rPr>
                <w:color w:val="000000" w:themeColor="text1"/>
                <w14:textFill>
                  <w14:solidFill>
                    <w14:schemeClr w14:val="tx1"/>
                  </w14:solidFill>
                </w14:textFill>
              </w:rPr>
            </w:pPr>
            <w:r>
              <w:rPr>
                <w:color w:val="000000" w:themeColor="text1"/>
                <w14:textFill>
                  <w14:solidFill>
                    <w14:schemeClr w14:val="tx1"/>
                  </w14:solidFill>
                </w14:textFill>
              </w:rPr>
              <w:t>3</w:t>
            </w:r>
          </w:p>
        </w:tc>
        <w:tc>
          <w:p w14:paraId="6F65CE68">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第五章1.采购内容</w:t>
            </w:r>
          </w:p>
        </w:tc>
        <w:tc>
          <w:p w14:paraId="2FE5E5C2">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驻场人员按甲方通常工作时间执行；人月数内未完成交付的应继续安排人员确保如期交付</w:t>
            </w:r>
          </w:p>
        </w:tc>
        <w:tc>
          <w:p w14:paraId="590F63B1">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完全响应。驻场人员遵守甲方考勤；人月数内未完成的，我方自担费用继续投入直至交付（见第三章、第六章）</w:t>
            </w:r>
          </w:p>
        </w:tc>
        <w:tc>
          <w:p w14:paraId="63342D43">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1860E896">
        <w:tc>
          <w:p w14:paraId="23946FB7">
            <w:pPr>
              <w:pStyle w:val="24"/>
              <w:rPr>
                <w:color w:val="000000" w:themeColor="text1"/>
                <w14:textFill>
                  <w14:solidFill>
                    <w14:schemeClr w14:val="tx1"/>
                  </w14:solidFill>
                </w14:textFill>
              </w:rPr>
            </w:pPr>
            <w:r>
              <w:rPr>
                <w:color w:val="000000" w:themeColor="text1"/>
                <w14:textFill>
                  <w14:solidFill>
                    <w14:schemeClr w14:val="tx1"/>
                  </w14:solidFill>
                </w14:textFill>
              </w:rPr>
              <w:t>4</w:t>
            </w:r>
          </w:p>
        </w:tc>
        <w:tc>
          <w:p w14:paraId="43C194B6">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第五章5.软件开发清单及功能明细</w:t>
            </w:r>
          </w:p>
        </w:tc>
        <w:tc>
          <w:p w14:paraId="3AFDF787">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功能明细序号1—211全部功能（各端功能、数据迁移、培训及各项对接）</w:t>
            </w:r>
          </w:p>
        </w:tc>
        <w:tc>
          <w:p w14:paraId="6DCD490B">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完全响应。第二章</w:t>
            </w:r>
            <w:r>
              <w:rPr>
                <w:color w:val="000000" w:themeColor="text1"/>
                <w14:textFill>
                  <w14:solidFill>
                    <w14:schemeClr w14:val="tx1"/>
                  </w14:solidFill>
                </w14:textFill>
              </w:rPr>
              <w:t xml:space="preserve"> 2.5 </w:t>
            </w:r>
            <w:r>
              <w:rPr>
                <w:rFonts w:hint="eastAsia"/>
                <w:color w:val="000000" w:themeColor="text1"/>
                <w14:textFill>
                  <w14:solidFill>
                    <w14:schemeClr w14:val="tx1"/>
                  </w14:solidFill>
                </w14:textFill>
              </w:rPr>
              <w:t>节按八大业务域覆盖功能明细全部条目，无遗漏、无合并省略</w:t>
            </w:r>
          </w:p>
        </w:tc>
        <w:tc>
          <w:p w14:paraId="3B603F91">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bookmarkEnd w:id="1"/>
    </w:tbl>
    <w:p w14:paraId="6212CDF4">
      <w:pPr>
        <w:pStyle w:val="4"/>
        <w:rPr>
          <w:color w:val="000000" w:themeColor="text1"/>
          <w14:textFill>
            <w14:solidFill>
              <w14:schemeClr w14:val="tx1"/>
            </w14:solidFill>
          </w14:textFill>
        </w:rPr>
      </w:pPr>
      <w:bookmarkStart w:id="2" w:name="二质量标准与验收标准"/>
      <w:r>
        <w:rPr>
          <w:rFonts w:hint="eastAsia"/>
          <w:color w:val="000000" w:themeColor="text1"/>
          <w14:textFill>
            <w14:solidFill>
              <w14:schemeClr w14:val="tx1"/>
            </w14:solidFill>
          </w14:textFill>
        </w:rPr>
        <w:t>二、质量标准与验收标准</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1771"/>
        <w:gridCol w:w="1771"/>
        <w:gridCol w:w="1771"/>
        <w:gridCol w:w="1771"/>
      </w:tblGrid>
      <w:tr w14:paraId="52B285C9">
        <w:trPr>
          <w:tblHeader/>
        </w:trPr>
        <w:tc>
          <w:p w14:paraId="2A758E27">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42A6292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招标文件要求（条款出处）</w:t>
            </w:r>
          </w:p>
        </w:tc>
        <w:tc>
          <w:p w14:paraId="72A37DDB">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招标要求内容</w:t>
            </w:r>
          </w:p>
        </w:tc>
        <w:tc>
          <w:p w14:paraId="469F954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投标响应内容（对应技术方案章节）</w:t>
            </w:r>
          </w:p>
        </w:tc>
        <w:tc>
          <w:p w14:paraId="03911765">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偏离情况</w:t>
            </w:r>
          </w:p>
        </w:tc>
      </w:tr>
      <w:tr w14:paraId="1EAF73AB">
        <w:tc>
          <w:p w14:paraId="67691D74">
            <w:pPr>
              <w:pStyle w:val="24"/>
              <w:rPr>
                <w:color w:val="000000" w:themeColor="text1"/>
                <w14:textFill>
                  <w14:solidFill>
                    <w14:schemeClr w14:val="tx1"/>
                  </w14:solidFill>
                </w14:textFill>
              </w:rPr>
            </w:pPr>
            <w:r>
              <w:rPr>
                <w:color w:val="000000" w:themeColor="text1"/>
                <w14:textFill>
                  <w14:solidFill>
                    <w14:schemeClr w14:val="tx1"/>
                  </w14:solidFill>
                </w14:textFill>
              </w:rPr>
              <w:t>5</w:t>
            </w:r>
          </w:p>
        </w:tc>
        <w:tc>
          <w:p w14:paraId="095E8711">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第五章2.质量标准</w:t>
            </w:r>
          </w:p>
        </w:tc>
        <w:tc>
          <w:p w14:paraId="425518F0">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合格，符合国家、行业相关合格质量标准及招标人要求</w:t>
            </w:r>
          </w:p>
        </w:tc>
        <w:tc>
          <w:p w14:paraId="02804876">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完全响应。第二章</w:t>
            </w:r>
            <w:r>
              <w:rPr>
                <w:color w:val="000000" w:themeColor="text1"/>
                <w14:textFill>
                  <w14:solidFill>
                    <w14:schemeClr w14:val="tx1"/>
                  </w14:solidFill>
                </w14:textFill>
              </w:rPr>
              <w:t xml:space="preserve"> 2.1 </w:t>
            </w:r>
            <w:r>
              <w:rPr>
                <w:rFonts w:hint="eastAsia"/>
                <w:color w:val="000000" w:themeColor="text1"/>
                <w14:textFill>
                  <w14:solidFill>
                    <w14:schemeClr w14:val="tx1"/>
                  </w14:solidFill>
                </w14:textFill>
              </w:rPr>
              <w:t>明确执行标准，第三章建立需求评审、代码评审、多层测试、阶段验收的全过程质量体系</w:t>
            </w:r>
          </w:p>
        </w:tc>
        <w:tc>
          <w:p w14:paraId="295078C5">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7C5EAAC6">
        <w:tc>
          <w:p w14:paraId="7D2EFAAD">
            <w:pPr>
              <w:pStyle w:val="24"/>
              <w:rPr>
                <w:color w:val="000000" w:themeColor="text1"/>
                <w14:textFill>
                  <w14:solidFill>
                    <w14:schemeClr w14:val="tx1"/>
                  </w14:solidFill>
                </w14:textFill>
              </w:rPr>
            </w:pPr>
            <w:r>
              <w:rPr>
                <w:color w:val="000000" w:themeColor="text1"/>
                <w14:textFill>
                  <w14:solidFill>
                    <w14:schemeClr w14:val="tx1"/>
                  </w14:solidFill>
                </w14:textFill>
              </w:rPr>
              <w:t>6</w:t>
            </w:r>
          </w:p>
        </w:tc>
        <w:tc>
          <w:p w14:paraId="00339A72">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合同专用条款（验收）</w:t>
            </w:r>
          </w:p>
        </w:tc>
        <w:tc>
          <w:p w14:paraId="1DC58A0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最终验收须完成全部功能开发、通过试运行、通过等保二级测评并配合源代码接收校验</w:t>
            </w:r>
          </w:p>
        </w:tc>
        <w:tc>
          <w:p w14:paraId="6E87A179">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完全响应。承诺配合等保二级测评与源代码接收校验；第四章按等保二级逐控制点落实安全措施</w:t>
            </w:r>
          </w:p>
        </w:tc>
        <w:tc>
          <w:p w14:paraId="60B7B52F">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4B33F813">
        <w:tc>
          <w:p w14:paraId="49EFA922">
            <w:pPr>
              <w:pStyle w:val="24"/>
              <w:rPr>
                <w:color w:val="000000" w:themeColor="text1"/>
                <w14:textFill>
                  <w14:solidFill>
                    <w14:schemeClr w14:val="tx1"/>
                  </w14:solidFill>
                </w14:textFill>
              </w:rPr>
            </w:pPr>
            <w:r>
              <w:rPr>
                <w:color w:val="000000" w:themeColor="text1"/>
                <w14:textFill>
                  <w14:solidFill>
                    <w14:schemeClr w14:val="tx1"/>
                  </w14:solidFill>
                </w14:textFill>
              </w:rPr>
              <w:t>7</w:t>
            </w:r>
          </w:p>
        </w:tc>
        <w:tc>
          <w:p w14:paraId="062F4368">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合同专用条款（试运行）</w:t>
            </w:r>
          </w:p>
        </w:tc>
        <w:tc>
          <w:p w14:paraId="4D621167">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试运行期内因乙方原因故障由乙方解决并担费，期限顺延；重大缺陷自修复起重算试运行</w:t>
            </w:r>
          </w:p>
        </w:tc>
        <w:tc>
          <w:p w14:paraId="358194B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完全响应。接受试运行期顺延与重算规则</w:t>
            </w:r>
          </w:p>
        </w:tc>
        <w:tc>
          <w:p w14:paraId="301D7906">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bookmarkEnd w:id="2"/>
    </w:tbl>
    <w:p w14:paraId="66147E32">
      <w:pPr>
        <w:pStyle w:val="4"/>
        <w:rPr>
          <w:color w:val="000000" w:themeColor="text1"/>
          <w14:textFill>
            <w14:solidFill>
              <w14:schemeClr w14:val="tx1"/>
            </w14:solidFill>
          </w14:textFill>
        </w:rPr>
      </w:pPr>
      <w:bookmarkStart w:id="3" w:name="三服务期限与人力投入"/>
      <w:r>
        <w:rPr>
          <w:rFonts w:hint="eastAsia"/>
          <w:color w:val="000000" w:themeColor="text1"/>
          <w14:textFill>
            <w14:solidFill>
              <w14:schemeClr w14:val="tx1"/>
            </w14:solidFill>
          </w14:textFill>
        </w:rPr>
        <w:t>三、服务期限与人力投入</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1771"/>
        <w:gridCol w:w="1771"/>
        <w:gridCol w:w="1771"/>
        <w:gridCol w:w="1771"/>
      </w:tblGrid>
      <w:tr w14:paraId="06F9C75C">
        <w:trPr>
          <w:tblHeader/>
        </w:trPr>
        <w:tc>
          <w:p w14:paraId="13276C25">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6BFC5940">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招标文件要求（条款出处）</w:t>
            </w:r>
          </w:p>
        </w:tc>
        <w:tc>
          <w:p w14:paraId="4147077F">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招标要求内容</w:t>
            </w:r>
          </w:p>
        </w:tc>
        <w:tc>
          <w:p w14:paraId="010ACED8">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投标响应内容（对应技术方案章节）</w:t>
            </w:r>
          </w:p>
        </w:tc>
        <w:tc>
          <w:p w14:paraId="62C8E91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偏离情况</w:t>
            </w:r>
          </w:p>
        </w:tc>
      </w:tr>
      <w:tr w14:paraId="096AE26E">
        <w:tc>
          <w:p w14:paraId="12A44B50">
            <w:pPr>
              <w:pStyle w:val="24"/>
              <w:rPr>
                <w:color w:val="000000" w:themeColor="text1"/>
                <w14:textFill>
                  <w14:solidFill>
                    <w14:schemeClr w14:val="tx1"/>
                  </w14:solidFill>
                </w14:textFill>
              </w:rPr>
            </w:pPr>
            <w:r>
              <w:rPr>
                <w:color w:val="000000" w:themeColor="text1"/>
                <w14:textFill>
                  <w14:solidFill>
                    <w14:schemeClr w14:val="tx1"/>
                  </w14:solidFill>
                </w14:textFill>
              </w:rPr>
              <w:t>8</w:t>
            </w:r>
          </w:p>
        </w:tc>
        <w:tc>
          <w:p w14:paraId="4C79B63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合同第三条</w:t>
            </w:r>
          </w:p>
        </w:tc>
        <w:tc>
          <w:p w14:paraId="009E09D2">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开发期60日历天，自书面开工通知起算，收到通知后24小时内书面确认</w:t>
            </w:r>
          </w:p>
        </w:tc>
        <w:tc>
          <w:p w14:paraId="5A2C964E">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完全响应。第六章承诺60日历天内完成开发部署并具备上线条件，收到通知后24小时内书面确认</w:t>
            </w:r>
          </w:p>
        </w:tc>
        <w:tc>
          <w:p w14:paraId="73876E30">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268A99EA">
        <w:tc>
          <w:p w14:paraId="569FD3AD">
            <w:pPr>
              <w:pStyle w:val="24"/>
              <w:rPr>
                <w:color w:val="000000" w:themeColor="text1"/>
                <w14:textFill>
                  <w14:solidFill>
                    <w14:schemeClr w14:val="tx1"/>
                  </w14:solidFill>
                </w14:textFill>
              </w:rPr>
            </w:pPr>
            <w:r>
              <w:rPr>
                <w:color w:val="000000" w:themeColor="text1"/>
                <w14:textFill>
                  <w14:solidFill>
                    <w14:schemeClr w14:val="tx1"/>
                  </w14:solidFill>
                </w14:textFill>
              </w:rPr>
              <w:t>9</w:t>
            </w:r>
          </w:p>
        </w:tc>
        <w:tc>
          <w:p w14:paraId="76C4842F">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合同第三条</w:t>
            </w:r>
          </w:p>
        </w:tc>
        <w:tc>
          <w:p w14:paraId="15455170">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研发服务总人月数不少于37人月</w:t>
            </w:r>
          </w:p>
        </w:tc>
        <w:tc>
          <w:p w14:paraId="6A10103B">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完全响应。投入不少于37人月，第三章</w:t>
            </w:r>
            <w:r>
              <w:rPr>
                <w:color w:val="000000" w:themeColor="text1"/>
                <w14:textFill>
                  <w14:solidFill>
                    <w14:schemeClr w14:val="tx1"/>
                  </w14:solidFill>
                </w14:textFill>
              </w:rPr>
              <w:t xml:space="preserve"> 3.2 </w:t>
            </w:r>
            <w:r>
              <w:rPr>
                <w:rFonts w:hint="eastAsia"/>
                <w:color w:val="000000" w:themeColor="text1"/>
                <w14:textFill>
                  <w14:solidFill>
                    <w14:schemeClr w14:val="tx1"/>
                  </w14:solidFill>
                </w14:textFill>
              </w:rPr>
              <w:t>给出人员配置与各阶段人力分布</w:t>
            </w:r>
          </w:p>
        </w:tc>
        <w:tc>
          <w:p w14:paraId="03BCDE7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58420181">
        <w:tc>
          <w:p w14:paraId="01ADEC2A">
            <w:pPr>
              <w:pStyle w:val="24"/>
              <w:rPr>
                <w:color w:val="000000" w:themeColor="text1"/>
                <w14:textFill>
                  <w14:solidFill>
                    <w14:schemeClr w14:val="tx1"/>
                  </w14:solidFill>
                </w14:textFill>
              </w:rPr>
            </w:pPr>
            <w:r>
              <w:rPr>
                <w:color w:val="000000" w:themeColor="text1"/>
                <w14:textFill>
                  <w14:solidFill>
                    <w14:schemeClr w14:val="tx1"/>
                  </w14:solidFill>
                </w14:textFill>
              </w:rPr>
              <w:t>10</w:t>
            </w:r>
          </w:p>
        </w:tc>
        <w:tc>
          <w:p w14:paraId="781CF2D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投标函附录/须知前附表</w:t>
            </w:r>
          </w:p>
        </w:tc>
        <w:tc>
          <w:p w14:paraId="1F76FD8E">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软件免费运维期6年，自最终验收合格之日起算</w:t>
            </w:r>
          </w:p>
        </w:tc>
        <w:tc>
          <w:p w14:paraId="0F08268D">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完全响应，并额外承诺六年期内每年提供不少于约定次数的专项巡检与优化（见第五、六章）</w:t>
            </w:r>
          </w:p>
        </w:tc>
        <w:tc>
          <w:p w14:paraId="3EC6BC38">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正偏离</w:t>
            </w:r>
          </w:p>
        </w:tc>
      </w:tr>
      <w:tr w14:paraId="6B296EB1">
        <w:tc>
          <w:p w14:paraId="23D0E5C3">
            <w:pPr>
              <w:pStyle w:val="24"/>
              <w:rPr>
                <w:color w:val="000000" w:themeColor="text1"/>
                <w14:textFill>
                  <w14:solidFill>
                    <w14:schemeClr w14:val="tx1"/>
                  </w14:solidFill>
                </w14:textFill>
              </w:rPr>
            </w:pPr>
            <w:r>
              <w:rPr>
                <w:color w:val="000000" w:themeColor="text1"/>
                <w14:textFill>
                  <w14:solidFill>
                    <w14:schemeClr w14:val="tx1"/>
                  </w14:solidFill>
                </w14:textFill>
              </w:rPr>
              <w:t>11</w:t>
            </w:r>
          </w:p>
        </w:tc>
        <w:tc>
          <w:p w14:paraId="01EF16D7">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投标函附录</w:t>
            </w:r>
          </w:p>
        </w:tc>
        <w:tc>
          <w:p w14:paraId="5837045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服务期限：自合同签订生效之日起至运维服务期结束</w:t>
            </w:r>
          </w:p>
        </w:tc>
        <w:tc>
          <w:p w14:paraId="026CE3C0">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w:t>
            </w:r>
          </w:p>
        </w:tc>
        <w:tc>
          <w:p w14:paraId="41188EAE">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bookmarkEnd w:id="3"/>
    </w:tbl>
    <w:p w14:paraId="3449ED91">
      <w:pPr>
        <w:pStyle w:val="4"/>
        <w:rPr>
          <w:color w:val="000000" w:themeColor="text1"/>
          <w14:textFill>
            <w14:solidFill>
              <w14:schemeClr w14:val="tx1"/>
            </w14:solidFill>
          </w14:textFill>
        </w:rPr>
      </w:pPr>
      <w:bookmarkStart w:id="4" w:name="四服务要求与运维服务标准"/>
      <w:r>
        <w:rPr>
          <w:rFonts w:hint="eastAsia"/>
          <w:color w:val="000000" w:themeColor="text1"/>
          <w14:textFill>
            <w14:solidFill>
              <w14:schemeClr w14:val="tx1"/>
            </w14:solidFill>
          </w14:textFill>
        </w:rPr>
        <w:t>四、服务要求与运维服务标准</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1771"/>
        <w:gridCol w:w="1771"/>
        <w:gridCol w:w="1771"/>
        <w:gridCol w:w="1771"/>
      </w:tblGrid>
      <w:tr w14:paraId="1C4D4E3B">
        <w:trPr>
          <w:tblHeader/>
        </w:trPr>
        <w:tc>
          <w:p w14:paraId="0B163BD1">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0777868B">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招标文件要求（条款出处）</w:t>
            </w:r>
          </w:p>
        </w:tc>
        <w:tc>
          <w:p w14:paraId="7DFBAC6E">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招标要求内容</w:t>
            </w:r>
          </w:p>
        </w:tc>
        <w:tc>
          <w:p w14:paraId="0E166491">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投标响应内容（对应技术方案章节）</w:t>
            </w:r>
          </w:p>
        </w:tc>
        <w:tc>
          <w:p w14:paraId="0CAE069D">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偏离情况</w:t>
            </w:r>
          </w:p>
        </w:tc>
      </w:tr>
      <w:tr w14:paraId="7AB81879">
        <w:tc>
          <w:p w14:paraId="03B1ED4C">
            <w:pPr>
              <w:pStyle w:val="24"/>
              <w:rPr>
                <w:color w:val="000000" w:themeColor="text1"/>
                <w14:textFill>
                  <w14:solidFill>
                    <w14:schemeClr w14:val="tx1"/>
                  </w14:solidFill>
                </w14:textFill>
              </w:rPr>
            </w:pPr>
            <w:r>
              <w:rPr>
                <w:color w:val="000000" w:themeColor="text1"/>
                <w14:textFill>
                  <w14:solidFill>
                    <w14:schemeClr w14:val="tx1"/>
                  </w14:solidFill>
                </w14:textFill>
              </w:rPr>
              <w:t>12</w:t>
            </w:r>
          </w:p>
        </w:tc>
        <w:tc>
          <w:p w14:paraId="30E39F58">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第五章3.服务要求（1）</w:t>
            </w:r>
          </w:p>
        </w:tc>
        <w:tc>
          <w:p w14:paraId="34869225">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在甲方指定地点办公，工作时间按甲方要求</w:t>
            </w:r>
          </w:p>
        </w:tc>
        <w:tc>
          <w:p w14:paraId="4D52D289">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完全响应（见第三、五章）</w:t>
            </w:r>
          </w:p>
        </w:tc>
        <w:tc>
          <w:p w14:paraId="6FCE26A9">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4F29C181">
        <w:tc>
          <w:p w14:paraId="1330F249">
            <w:pPr>
              <w:pStyle w:val="24"/>
              <w:rPr>
                <w:color w:val="000000" w:themeColor="text1"/>
                <w14:textFill>
                  <w14:solidFill>
                    <w14:schemeClr w14:val="tx1"/>
                  </w14:solidFill>
                </w14:textFill>
              </w:rPr>
            </w:pPr>
            <w:r>
              <w:rPr>
                <w:color w:val="000000" w:themeColor="text1"/>
                <w14:textFill>
                  <w14:solidFill>
                    <w14:schemeClr w14:val="tx1"/>
                  </w14:solidFill>
                </w14:textFill>
              </w:rPr>
              <w:t>13</w:t>
            </w:r>
          </w:p>
        </w:tc>
        <w:tc>
          <w:p w14:paraId="2DCACFC3">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第五章3.服务要求（2）/附件3</w:t>
            </w:r>
          </w:p>
        </w:tc>
        <w:tc>
          <w:p w14:paraId="35A7EA2D">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远程服务：热线电话、网络支持、邮件报送，7×24小时响应</w:t>
            </w:r>
          </w:p>
        </w:tc>
        <w:tc>
          <w:p w14:paraId="13AD2787">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完全响应，并额外提供公司后方专家（架构、数据库、安全）远程二线支撑（见第五章</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5.5、5.11）</w:t>
            </w:r>
          </w:p>
        </w:tc>
        <w:tc>
          <w:p w14:paraId="5651225A">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正偏离</w:t>
            </w:r>
          </w:p>
        </w:tc>
      </w:tr>
      <w:tr w14:paraId="46CAD819">
        <w:tc>
          <w:p w14:paraId="6C5A9AFE">
            <w:pPr>
              <w:pStyle w:val="24"/>
              <w:rPr>
                <w:color w:val="000000" w:themeColor="text1"/>
                <w14:textFill>
                  <w14:solidFill>
                    <w14:schemeClr w14:val="tx1"/>
                  </w14:solidFill>
                </w14:textFill>
              </w:rPr>
            </w:pPr>
            <w:r>
              <w:rPr>
                <w:color w:val="000000" w:themeColor="text1"/>
                <w14:textFill>
                  <w14:solidFill>
                    <w14:schemeClr w14:val="tx1"/>
                  </w14:solidFill>
                </w14:textFill>
              </w:rPr>
              <w:t>14</w:t>
            </w:r>
          </w:p>
        </w:tc>
        <w:tc>
          <w:p w14:paraId="0B45474E">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第五章3.服务要求（3）</w:t>
            </w:r>
          </w:p>
        </w:tc>
        <w:tc>
          <w:p w14:paraId="71E78529">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配备经甲方认可的技术人员，未经书面同意不得擅自更换</w:t>
            </w:r>
          </w:p>
        </w:tc>
        <w:tc>
          <w:p w14:paraId="6A2FFC4F">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完全响应。人员更换须经甲方书面同意，替换人员资历不低于原人员（见第三章</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3.2.6）</w:t>
            </w:r>
          </w:p>
        </w:tc>
        <w:tc>
          <w:p w14:paraId="18D13F5F">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7578138C">
        <w:tc>
          <w:p w14:paraId="7B3ECDEA">
            <w:pPr>
              <w:pStyle w:val="24"/>
              <w:rPr>
                <w:color w:val="000000" w:themeColor="text1"/>
                <w14:textFill>
                  <w14:solidFill>
                    <w14:schemeClr w14:val="tx1"/>
                  </w14:solidFill>
                </w14:textFill>
              </w:rPr>
            </w:pPr>
            <w:r>
              <w:rPr>
                <w:color w:val="000000" w:themeColor="text1"/>
                <w14:textFill>
                  <w14:solidFill>
                    <w14:schemeClr w14:val="tx1"/>
                  </w14:solidFill>
                </w14:textFill>
              </w:rPr>
              <w:t>15</w:t>
            </w:r>
          </w:p>
        </w:tc>
        <w:tc>
          <w:p w14:paraId="0242A4A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附件3三、服务质量标准</w:t>
            </w:r>
          </w:p>
        </w:tc>
        <w:tc>
          <w:p w14:paraId="17C53D6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紧急故障10分钟内响应</w:t>
            </w:r>
          </w:p>
        </w:tc>
        <w:tc>
          <w:p w14:paraId="26F75C4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完全响应。第五章建立四类故障场景处置卡（应用宕机、数据库、支付渠道、政务核验中断），紧急故障10分钟内响应</w:t>
            </w:r>
          </w:p>
        </w:tc>
        <w:tc>
          <w:p w14:paraId="58972D45">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5AC52E28">
        <w:tc>
          <w:p w14:paraId="792C7BA1">
            <w:pPr>
              <w:pStyle w:val="24"/>
              <w:rPr>
                <w:color w:val="000000" w:themeColor="text1"/>
                <w14:textFill>
                  <w14:solidFill>
                    <w14:schemeClr w14:val="tx1"/>
                  </w14:solidFill>
                </w14:textFill>
              </w:rPr>
            </w:pPr>
            <w:r>
              <w:rPr>
                <w:color w:val="000000" w:themeColor="text1"/>
                <w14:textFill>
                  <w14:solidFill>
                    <w14:schemeClr w14:val="tx1"/>
                  </w14:solidFill>
                </w14:textFill>
              </w:rPr>
              <w:t>16</w:t>
            </w:r>
          </w:p>
        </w:tc>
        <w:tc>
          <w:p w14:paraId="6BD39119">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附件3三、服务质量标准</w:t>
            </w:r>
          </w:p>
        </w:tc>
        <w:tc>
          <w:p w14:paraId="6DCF7B9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一般故障2小时内响应</w:t>
            </w:r>
          </w:p>
        </w:tc>
        <w:tc>
          <w:p w14:paraId="5D5B3FA1">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完全响应。一般故障2小时内响应并提供处置策略（见第五章</w:t>
            </w:r>
            <w:r>
              <w:rPr>
                <w:color w:val="000000" w:themeColor="text1"/>
                <w14:textFill>
                  <w14:solidFill>
                    <w14:schemeClr w14:val="tx1"/>
                  </w14:solidFill>
                </w14:textFill>
              </w:rPr>
              <w:t xml:space="preserve"> 5.5.4 </w:t>
            </w:r>
            <w:r>
              <w:rPr>
                <w:rFonts w:hint="eastAsia"/>
                <w:color w:val="000000" w:themeColor="text1"/>
                <w14:textFill>
                  <w14:solidFill>
                    <w14:schemeClr w14:val="tx1"/>
                  </w14:solidFill>
                </w14:textFill>
              </w:rPr>
              <w:t>SLA矩阵）</w:t>
            </w:r>
          </w:p>
        </w:tc>
        <w:tc>
          <w:p w14:paraId="0086EB83">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252215AF">
        <w:tc>
          <w:p w14:paraId="17F2D7DF">
            <w:pPr>
              <w:pStyle w:val="24"/>
              <w:rPr>
                <w:color w:val="000000" w:themeColor="text1"/>
                <w14:textFill>
                  <w14:solidFill>
                    <w14:schemeClr w14:val="tx1"/>
                  </w14:solidFill>
                </w14:textFill>
              </w:rPr>
            </w:pPr>
            <w:r>
              <w:rPr>
                <w:color w:val="000000" w:themeColor="text1"/>
                <w14:textFill>
                  <w14:solidFill>
                    <w14:schemeClr w14:val="tx1"/>
                  </w14:solidFill>
                </w14:textFill>
              </w:rPr>
              <w:t>17</w:t>
            </w:r>
          </w:p>
        </w:tc>
        <w:tc>
          <w:p w14:paraId="25CCCD1F">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附件3二、故障等级划分</w:t>
            </w:r>
          </w:p>
        </w:tc>
        <w:tc>
          <w:p w14:paraId="30A1391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按四级划分故障</w:t>
            </w:r>
          </w:p>
        </w:tc>
        <w:tc>
          <w:p w14:paraId="42ED317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完全响应。运维按故障分级响应、分级上报（见第五章</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5.5.5）</w:t>
            </w:r>
          </w:p>
        </w:tc>
        <w:tc>
          <w:p w14:paraId="217194D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3B5F5413">
        <w:tc>
          <w:p w14:paraId="11C15C66">
            <w:pPr>
              <w:pStyle w:val="24"/>
              <w:rPr>
                <w:color w:val="000000" w:themeColor="text1"/>
                <w14:textFill>
                  <w14:solidFill>
                    <w14:schemeClr w14:val="tx1"/>
                  </w14:solidFill>
                </w14:textFill>
              </w:rPr>
            </w:pPr>
            <w:r>
              <w:rPr>
                <w:color w:val="000000" w:themeColor="text1"/>
                <w14:textFill>
                  <w14:solidFill>
                    <w14:schemeClr w14:val="tx1"/>
                  </w14:solidFill>
                </w14:textFill>
              </w:rPr>
              <w:t>18</w:t>
            </w:r>
          </w:p>
        </w:tc>
        <w:tc>
          <w:p w14:paraId="523DB7DD">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附件3四、日常报送</w:t>
            </w:r>
          </w:p>
        </w:tc>
        <w:tc>
          <w:p w14:paraId="15ECB1AB">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完成故障处理后填写故障处理记录台账；建立周运维报送机制</w:t>
            </w:r>
          </w:p>
        </w:tc>
        <w:tc>
          <w:p w14:paraId="2939BAF6">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完全响应。第五章提供故障处理记录台账模板与周报机制，重大故障/安全事件先行口头通报后出具专报</w:t>
            </w:r>
          </w:p>
        </w:tc>
        <w:tc>
          <w:p w14:paraId="717CA981">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正偏离</w:t>
            </w:r>
          </w:p>
        </w:tc>
      </w:tr>
      <w:tr w14:paraId="6EE3F8D0">
        <w:tc>
          <w:p w14:paraId="59CB8315">
            <w:pPr>
              <w:pStyle w:val="24"/>
              <w:rPr>
                <w:color w:val="000000" w:themeColor="text1"/>
                <w14:textFill>
                  <w14:solidFill>
                    <w14:schemeClr w14:val="tx1"/>
                  </w14:solidFill>
                </w14:textFill>
              </w:rPr>
            </w:pPr>
            <w:r>
              <w:rPr>
                <w:color w:val="000000" w:themeColor="text1"/>
                <w14:textFill>
                  <w14:solidFill>
                    <w14:schemeClr w14:val="tx1"/>
                  </w14:solidFill>
                </w14:textFill>
              </w:rPr>
              <w:t>19</w:t>
            </w:r>
          </w:p>
        </w:tc>
        <w:tc>
          <w:p w14:paraId="632C15F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附件3四、日常报送</w:t>
            </w:r>
          </w:p>
        </w:tc>
        <w:tc>
          <w:p w14:paraId="4D43B6A7">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每月末前两个工作日填写月度运维报告，邮件报送备案</w:t>
            </w:r>
          </w:p>
        </w:tc>
        <w:tc>
          <w:p w14:paraId="36C9B37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完全响应。月度运维报告按期报送，并增加恢复演练报告与年度服务总结（见第五章</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5.14）</w:t>
            </w:r>
          </w:p>
        </w:tc>
        <w:tc>
          <w:p w14:paraId="2A0B78C5">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正偏离</w:t>
            </w:r>
          </w:p>
        </w:tc>
      </w:tr>
      <w:tr w14:paraId="7D12ACA2">
        <w:tc>
          <w:p w14:paraId="61A6480F">
            <w:pPr>
              <w:pStyle w:val="24"/>
              <w:rPr>
                <w:color w:val="000000" w:themeColor="text1"/>
                <w14:textFill>
                  <w14:solidFill>
                    <w14:schemeClr w14:val="tx1"/>
                  </w14:solidFill>
                </w14:textFill>
              </w:rPr>
            </w:pPr>
            <w:r>
              <w:rPr>
                <w:color w:val="000000" w:themeColor="text1"/>
                <w14:textFill>
                  <w14:solidFill>
                    <w14:schemeClr w14:val="tx1"/>
                  </w14:solidFill>
                </w14:textFill>
              </w:rPr>
              <w:t>20</w:t>
            </w:r>
          </w:p>
        </w:tc>
        <w:tc>
          <w:p w14:paraId="0E13E589">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附件3五、驻场人员要求</w:t>
            </w:r>
          </w:p>
        </w:tc>
        <w:tc>
          <w:p w14:paraId="55809BF6">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驻场人员满足考勤要求并接受月度考核；不满足甲方有权要求更换</w:t>
            </w:r>
          </w:p>
        </w:tc>
        <w:tc>
          <w:p w14:paraId="7BA70CD3">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完全响应。接受甲方考勤与月度考核（见第五章</w:t>
            </w:r>
            <w:r>
              <w:rPr>
                <w:color w:val="000000" w:themeColor="text1"/>
                <w14:textFill>
                  <w14:solidFill>
                    <w14:schemeClr w14:val="tx1"/>
                  </w14:solidFill>
                </w14:textFill>
              </w:rPr>
              <w:t xml:space="preserve"> 5.7 </w:t>
            </w:r>
            <w:r>
              <w:rPr>
                <w:rFonts w:hint="eastAsia"/>
                <w:color w:val="000000" w:themeColor="text1"/>
                <w14:textFill>
                  <w14:solidFill>
                    <w14:schemeClr w14:val="tx1"/>
                  </w14:solidFill>
                </w14:textFill>
              </w:rPr>
              <w:t>指标考核）</w:t>
            </w:r>
          </w:p>
        </w:tc>
        <w:tc>
          <w:p w14:paraId="179427A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63CF533E">
        <w:tc>
          <w:p w14:paraId="1480C39E">
            <w:pPr>
              <w:pStyle w:val="24"/>
              <w:rPr>
                <w:color w:val="000000" w:themeColor="text1"/>
                <w14:textFill>
                  <w14:solidFill>
                    <w14:schemeClr w14:val="tx1"/>
                  </w14:solidFill>
                </w14:textFill>
              </w:rPr>
            </w:pPr>
            <w:r>
              <w:rPr>
                <w:color w:val="000000" w:themeColor="text1"/>
                <w14:textFill>
                  <w14:solidFill>
                    <w14:schemeClr w14:val="tx1"/>
                  </w14:solidFill>
                </w14:textFill>
              </w:rPr>
              <w:t>21</w:t>
            </w:r>
          </w:p>
        </w:tc>
        <w:tc>
          <w:p w14:paraId="7CC9A308">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附件3五、驻场人员要求</w:t>
            </w:r>
          </w:p>
        </w:tc>
        <w:tc>
          <w:p w14:paraId="3A0D3F91">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驻场时间与免费运维期一致，自初步验收合格起至免费运维期届满</w:t>
            </w:r>
          </w:p>
        </w:tc>
        <w:tc>
          <w:p w14:paraId="5EA05BD0">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w:t>
            </w:r>
          </w:p>
        </w:tc>
        <w:tc>
          <w:p w14:paraId="6C516A8F">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7C4FB8E7">
        <w:tc>
          <w:p w14:paraId="53E3E7E5">
            <w:pPr>
              <w:pStyle w:val="24"/>
              <w:rPr>
                <w:color w:val="000000" w:themeColor="text1"/>
                <w14:textFill>
                  <w14:solidFill>
                    <w14:schemeClr w14:val="tx1"/>
                  </w14:solidFill>
                </w14:textFill>
              </w:rPr>
            </w:pPr>
            <w:r>
              <w:rPr>
                <w:color w:val="000000" w:themeColor="text1"/>
                <w14:textFill>
                  <w14:solidFill>
                    <w14:schemeClr w14:val="tx1"/>
                  </w14:solidFill>
                </w14:textFill>
              </w:rPr>
              <w:t>22</w:t>
            </w:r>
          </w:p>
        </w:tc>
        <w:tc>
          <w:p w14:paraId="41970AC2">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附件3五、工作要求</w:t>
            </w:r>
          </w:p>
        </w:tc>
        <w:tc>
          <w:p w14:paraId="5071B3F5">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常态化培训、基础信息维护、日常巡检、编制巡检/故障报表及其他工作</w:t>
            </w:r>
          </w:p>
        </w:tc>
        <w:tc>
          <w:p w14:paraId="62625042">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完全响应。第五章制定常态化培训计划、日/周/月巡检清单与报表模板</w:t>
            </w:r>
          </w:p>
        </w:tc>
        <w:tc>
          <w:p w14:paraId="6AB62AB7">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18368692">
        <w:tc>
          <w:p w14:paraId="3852415F">
            <w:pPr>
              <w:pStyle w:val="24"/>
              <w:rPr>
                <w:color w:val="000000" w:themeColor="text1"/>
                <w14:textFill>
                  <w14:solidFill>
                    <w14:schemeClr w14:val="tx1"/>
                  </w14:solidFill>
                </w14:textFill>
              </w:rPr>
            </w:pPr>
            <w:r>
              <w:rPr>
                <w:color w:val="000000" w:themeColor="text1"/>
                <w14:textFill>
                  <w14:solidFill>
                    <w14:schemeClr w14:val="tx1"/>
                  </w14:solidFill>
                </w14:textFill>
              </w:rPr>
              <w:t>23</w:t>
            </w:r>
          </w:p>
        </w:tc>
        <w:tc>
          <w:p w14:paraId="11781E0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附件3五、技术要求</w:t>
            </w:r>
          </w:p>
        </w:tc>
        <w:tc>
          <w:p w14:paraId="113EF3D5">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三年以上系统运维及管理经验；独立承担任务与进度把控；良好沟通与服务意识</w:t>
            </w:r>
          </w:p>
        </w:tc>
        <w:tc>
          <w:p w14:paraId="6CC75AE1">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完全响应。拟派驻场人员满足全部技术要求，证明材料见商务部分</w:t>
            </w:r>
          </w:p>
        </w:tc>
        <w:tc>
          <w:p w14:paraId="434D9941">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75C8BC28">
        <w:tc>
          <w:p w14:paraId="35CC47F2">
            <w:pPr>
              <w:pStyle w:val="24"/>
              <w:rPr>
                <w:color w:val="000000" w:themeColor="text1"/>
                <w14:textFill>
                  <w14:solidFill>
                    <w14:schemeClr w14:val="tx1"/>
                  </w14:solidFill>
                </w14:textFill>
              </w:rPr>
            </w:pPr>
            <w:r>
              <w:rPr>
                <w:color w:val="000000" w:themeColor="text1"/>
                <w14:textFill>
                  <w14:solidFill>
                    <w14:schemeClr w14:val="tx1"/>
                  </w14:solidFill>
                </w14:textFill>
              </w:rPr>
              <w:t>24</w:t>
            </w:r>
          </w:p>
        </w:tc>
        <w:tc>
          <w:p w14:paraId="2D81DD35">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合同通用条款</w:t>
            </w:r>
          </w:p>
        </w:tc>
        <w:tc>
          <w:p w14:paraId="3439D6C0">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建立服务台账，记录文件、方案、进展、汇报，配合监督检查与绩效评价</w:t>
            </w:r>
          </w:p>
        </w:tc>
        <w:tc>
          <w:p w14:paraId="62105CB3">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完全响应。第五章建立完整运维台账并接受甲方检查</w:t>
            </w:r>
          </w:p>
        </w:tc>
        <w:tc>
          <w:p w14:paraId="5CA0CE4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35682AE8">
        <w:tc>
          <w:p w14:paraId="495764F6">
            <w:pPr>
              <w:pStyle w:val="24"/>
              <w:rPr>
                <w:color w:val="000000" w:themeColor="text1"/>
                <w14:textFill>
                  <w14:solidFill>
                    <w14:schemeClr w14:val="tx1"/>
                  </w14:solidFill>
                </w14:textFill>
              </w:rPr>
            </w:pPr>
            <w:r>
              <w:rPr>
                <w:color w:val="000000" w:themeColor="text1"/>
                <w14:textFill>
                  <w14:solidFill>
                    <w14:schemeClr w14:val="tx1"/>
                  </w14:solidFill>
                </w14:textFill>
              </w:rPr>
              <w:t>25</w:t>
            </w:r>
          </w:p>
        </w:tc>
        <w:tc>
          <w:p w14:paraId="316DDCC0">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合同专用条款</w:t>
            </w:r>
          </w:p>
        </w:tc>
        <w:tc>
          <w:p w14:paraId="0785552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运维含软件正常运行、问题处理、软件升级、数据服务、安全服务等</w:t>
            </w:r>
          </w:p>
        </w:tc>
        <w:tc>
          <w:p w14:paraId="0C39F80F">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完全响应。第五章按11个子项建立完整运维体系</w:t>
            </w:r>
          </w:p>
        </w:tc>
        <w:tc>
          <w:p w14:paraId="36E1CE5E">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0011754E">
        <w:tc>
          <w:p w14:paraId="1353954F">
            <w:pPr>
              <w:pStyle w:val="24"/>
              <w:rPr>
                <w:color w:val="000000" w:themeColor="text1"/>
                <w14:textFill>
                  <w14:solidFill>
                    <w14:schemeClr w14:val="tx1"/>
                  </w14:solidFill>
                </w14:textFill>
              </w:rPr>
            </w:pPr>
            <w:r>
              <w:rPr>
                <w:color w:val="000000" w:themeColor="text1"/>
                <w14:textFill>
                  <w14:solidFill>
                    <w14:schemeClr w14:val="tx1"/>
                  </w14:solidFill>
                </w14:textFill>
              </w:rPr>
              <w:t>26</w:t>
            </w:r>
          </w:p>
        </w:tc>
        <w:tc>
          <w:p w14:paraId="5F3743A6">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附件3一、软件运维内容</w:t>
            </w:r>
          </w:p>
        </w:tc>
        <w:tc>
          <w:p w14:paraId="0338CF37">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软件功能完善、优化升级、性能调优、例行检查、状态监控、响应支持</w:t>
            </w:r>
          </w:p>
        </w:tc>
        <w:tc>
          <w:p w14:paraId="38FBC07F">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完全响应，并额外承诺定期备份校验与恢复演练、高危漏洞限时修复、日志留存达标（见第五章</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5.10、5.12）</w:t>
            </w:r>
          </w:p>
        </w:tc>
        <w:tc>
          <w:p w14:paraId="60DF26D7">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正偏离</w:t>
            </w:r>
          </w:p>
        </w:tc>
      </w:tr>
      <w:bookmarkEnd w:id="4"/>
    </w:tbl>
    <w:p w14:paraId="5DF14EDC">
      <w:pPr>
        <w:pStyle w:val="4"/>
        <w:rPr>
          <w:color w:val="000000" w:themeColor="text1"/>
          <w14:textFill>
            <w14:solidFill>
              <w14:schemeClr w14:val="tx1"/>
            </w14:solidFill>
          </w14:textFill>
        </w:rPr>
      </w:pPr>
      <w:bookmarkStart w:id="5" w:name="五源代码交付与知识产权"/>
      <w:r>
        <w:rPr>
          <w:rFonts w:hint="eastAsia"/>
          <w:color w:val="000000" w:themeColor="text1"/>
          <w14:textFill>
            <w14:solidFill>
              <w14:schemeClr w14:val="tx1"/>
            </w14:solidFill>
          </w14:textFill>
        </w:rPr>
        <w:t>五、源代码交付与知识产权</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1771"/>
        <w:gridCol w:w="1771"/>
        <w:gridCol w:w="1771"/>
        <w:gridCol w:w="1771"/>
      </w:tblGrid>
      <w:tr w14:paraId="4245D9C7">
        <w:trPr>
          <w:tblHeader/>
        </w:trPr>
        <w:tc>
          <w:p w14:paraId="0F51864E">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5B034B10">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招标文件要求（条款出处）</w:t>
            </w:r>
          </w:p>
        </w:tc>
        <w:tc>
          <w:p w14:paraId="7252CC8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招标要求内容</w:t>
            </w:r>
          </w:p>
        </w:tc>
        <w:tc>
          <w:p w14:paraId="01FFF6D0">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投标响应内容（对应技术方案章节）</w:t>
            </w:r>
          </w:p>
        </w:tc>
        <w:tc>
          <w:p w14:paraId="0EC94D7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偏离情况</w:t>
            </w:r>
          </w:p>
        </w:tc>
      </w:tr>
      <w:tr w14:paraId="7DC096B9">
        <w:tc>
          <w:p w14:paraId="35BB43C3">
            <w:pPr>
              <w:pStyle w:val="24"/>
              <w:rPr>
                <w:color w:val="000000" w:themeColor="text1"/>
                <w14:textFill>
                  <w14:solidFill>
                    <w14:schemeClr w14:val="tx1"/>
                  </w14:solidFill>
                </w14:textFill>
              </w:rPr>
            </w:pPr>
            <w:r>
              <w:rPr>
                <w:color w:val="000000" w:themeColor="text1"/>
                <w14:textFill>
                  <w14:solidFill>
                    <w14:schemeClr w14:val="tx1"/>
                  </w14:solidFill>
                </w14:textFill>
              </w:rPr>
              <w:t>27</w:t>
            </w:r>
          </w:p>
        </w:tc>
        <w:tc>
          <w:p w14:paraId="0E083BAD">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合同专用条款2</w:t>
            </w:r>
          </w:p>
        </w:tc>
        <w:tc>
          <w:p w14:paraId="49AD68C9">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验收完整交付全部源代码，可独立编译、部署，与生产环境一致</w:t>
            </w:r>
          </w:p>
        </w:tc>
        <w:tc>
          <w:p w14:paraId="64C4AEE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完全响应。交付全部源代码及编译部署脚本与说明，保证可独立编译生成与生产一致的可执行文件（见第六章交付物清单）</w:t>
            </w:r>
          </w:p>
        </w:tc>
        <w:tc>
          <w:p w14:paraId="04BD591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04D49D25">
        <w:tc>
          <w:p w14:paraId="1D7D96E9">
            <w:pPr>
              <w:pStyle w:val="24"/>
              <w:rPr>
                <w:color w:val="000000" w:themeColor="text1"/>
                <w14:textFill>
                  <w14:solidFill>
                    <w14:schemeClr w14:val="tx1"/>
                  </w14:solidFill>
                </w14:textFill>
              </w:rPr>
            </w:pPr>
            <w:r>
              <w:rPr>
                <w:color w:val="000000" w:themeColor="text1"/>
                <w14:textFill>
                  <w14:solidFill>
                    <w14:schemeClr w14:val="tx1"/>
                  </w14:solidFill>
                </w14:textFill>
              </w:rPr>
              <w:t>28</w:t>
            </w:r>
          </w:p>
        </w:tc>
        <w:tc>
          <w:p w14:paraId="63B0445D">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合同专用条款5</w:t>
            </w:r>
          </w:p>
        </w:tc>
        <w:tc>
          <w:p w14:paraId="2C044C9B">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甲方有权功能性验证与代码质量审查；结构清晰、注释完整；不合格无条件修改</w:t>
            </w:r>
          </w:p>
        </w:tc>
        <w:tc>
          <w:p w14:paraId="5F9F016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完全响应。执行统一编码规范与代码评审（第三章</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3.6），接受甲方验证审查</w:t>
            </w:r>
          </w:p>
        </w:tc>
        <w:tc>
          <w:p w14:paraId="29561402">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54CA52EC">
        <w:tc>
          <w:p w14:paraId="591556F5">
            <w:pPr>
              <w:pStyle w:val="24"/>
              <w:rPr>
                <w:color w:val="000000" w:themeColor="text1"/>
                <w14:textFill>
                  <w14:solidFill>
                    <w14:schemeClr w14:val="tx1"/>
                  </w14:solidFill>
                </w14:textFill>
              </w:rPr>
            </w:pPr>
            <w:r>
              <w:rPr>
                <w:color w:val="000000" w:themeColor="text1"/>
                <w14:textFill>
                  <w14:solidFill>
                    <w14:schemeClr w14:val="tx1"/>
                  </w14:solidFill>
                </w14:textFill>
              </w:rPr>
              <w:t>29</w:t>
            </w:r>
          </w:p>
        </w:tc>
        <w:tc>
          <w:p w14:paraId="3573EF3D">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合同专用条款4</w:t>
            </w:r>
          </w:p>
        </w:tc>
        <w:tc>
          <w:p w14:paraId="5EA61FEB">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定制开发成果知识产权归甲方，无保留限制甲方使用、修改、再发布</w:t>
            </w:r>
          </w:p>
        </w:tc>
        <w:tc>
          <w:p w14:paraId="192ECF1D">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完全响应。知识产权全部归甲方，不设使用限制</w:t>
            </w:r>
          </w:p>
        </w:tc>
        <w:tc>
          <w:p w14:paraId="68272109">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73ADAD87">
        <w:tc>
          <w:p w14:paraId="66FEB2DE">
            <w:pPr>
              <w:pStyle w:val="24"/>
              <w:rPr>
                <w:color w:val="000000" w:themeColor="text1"/>
                <w14:textFill>
                  <w14:solidFill>
                    <w14:schemeClr w14:val="tx1"/>
                  </w14:solidFill>
                </w14:textFill>
              </w:rPr>
            </w:pPr>
            <w:r>
              <w:rPr>
                <w:color w:val="000000" w:themeColor="text1"/>
                <w14:textFill>
                  <w14:solidFill>
                    <w14:schemeClr w14:val="tx1"/>
                  </w14:solidFill>
                </w14:textFill>
              </w:rPr>
              <w:t>30</w:t>
            </w:r>
          </w:p>
        </w:tc>
        <w:tc>
          <w:p w14:paraId="117B0266">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合同专用条款4</w:t>
            </w:r>
          </w:p>
        </w:tc>
        <w:tc>
          <w:p w14:paraId="6151C07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开源组件书面完整披露，保证不导致甲方专属源代码被要求开源</w:t>
            </w:r>
          </w:p>
        </w:tc>
        <w:tc>
          <w:p w14:paraId="30606E0B">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完全响应。交付开源组件清单及许可证合规说明，所用组件均为宽松许可证，不产生传染性开源义务</w:t>
            </w:r>
          </w:p>
        </w:tc>
        <w:tc>
          <w:p w14:paraId="57F37449">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6227AA4C">
        <w:tc>
          <w:p w14:paraId="5AEDAE2B">
            <w:pPr>
              <w:pStyle w:val="24"/>
              <w:rPr>
                <w:color w:val="000000" w:themeColor="text1"/>
                <w14:textFill>
                  <w14:solidFill>
                    <w14:schemeClr w14:val="tx1"/>
                  </w14:solidFill>
                </w14:textFill>
              </w:rPr>
            </w:pPr>
            <w:r>
              <w:rPr>
                <w:color w:val="000000" w:themeColor="text1"/>
                <w14:textFill>
                  <w14:solidFill>
                    <w14:schemeClr w14:val="tx1"/>
                  </w14:solidFill>
                </w14:textFill>
              </w:rPr>
              <w:t>31</w:t>
            </w:r>
          </w:p>
        </w:tc>
        <w:tc>
          <w:p w14:paraId="3BCBE811">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合同专用条款</w:t>
            </w:r>
          </w:p>
        </w:tc>
        <w:tc>
          <w:p w14:paraId="5B37DA51">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具备对第三方平台的数据共享支撑能力，按需提供开放接口及文档</w:t>
            </w:r>
          </w:p>
        </w:tc>
        <w:tc>
          <w:p w14:paraId="6E907942">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完全响应。系统预留标准化开放接口能力，接口文档随系统交付（见第二章</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2.6）</w:t>
            </w:r>
          </w:p>
        </w:tc>
        <w:tc>
          <w:p w14:paraId="50CF86B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36AAD5BF">
        <w:tc>
          <w:p w14:paraId="2C85AE99">
            <w:pPr>
              <w:pStyle w:val="24"/>
              <w:rPr>
                <w:color w:val="000000" w:themeColor="text1"/>
                <w14:textFill>
                  <w14:solidFill>
                    <w14:schemeClr w14:val="tx1"/>
                  </w14:solidFill>
                </w14:textFill>
              </w:rPr>
            </w:pPr>
            <w:r>
              <w:rPr>
                <w:color w:val="000000" w:themeColor="text1"/>
                <w14:textFill>
                  <w14:solidFill>
                    <w14:schemeClr w14:val="tx1"/>
                  </w14:solidFill>
                </w14:textFill>
              </w:rPr>
              <w:t>32</w:t>
            </w:r>
          </w:p>
        </w:tc>
        <w:tc>
          <w:p w14:paraId="27352B39">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合同通用条款3</w:t>
            </w:r>
          </w:p>
        </w:tc>
        <w:tc>
          <w:p w14:paraId="5DC55533">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提供技术资料壹式贰套，不完整或丢失免费另寄</w:t>
            </w:r>
          </w:p>
        </w:tc>
        <w:tc>
          <w:p w14:paraId="4E2CDC55">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完全响应。交付操作/部署/运维等全套文档壹式贰套</w:t>
            </w:r>
          </w:p>
        </w:tc>
        <w:tc>
          <w:p w14:paraId="0EBF59A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bookmarkEnd w:id="5"/>
    </w:tbl>
    <w:p w14:paraId="6C9A6DF5">
      <w:pPr>
        <w:pStyle w:val="4"/>
        <w:rPr>
          <w:color w:val="000000" w:themeColor="text1"/>
          <w14:textFill>
            <w14:solidFill>
              <w14:schemeClr w14:val="tx1"/>
            </w14:solidFill>
          </w14:textFill>
        </w:rPr>
      </w:pPr>
      <w:bookmarkStart w:id="6" w:name="六信创要求"/>
      <w:r>
        <w:rPr>
          <w:rFonts w:hint="eastAsia"/>
          <w:color w:val="000000" w:themeColor="text1"/>
          <w14:textFill>
            <w14:solidFill>
              <w14:schemeClr w14:val="tx1"/>
            </w14:solidFill>
          </w14:textFill>
        </w:rPr>
        <w:t>六、信创要求</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1771"/>
        <w:gridCol w:w="1771"/>
        <w:gridCol w:w="1771"/>
        <w:gridCol w:w="1771"/>
      </w:tblGrid>
      <w:tr w14:paraId="18565FBB">
        <w:trPr>
          <w:tblHeader/>
        </w:trPr>
        <w:tc>
          <w:p w14:paraId="24459B7E">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7DF73977">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招标文件要求（条款出处）</w:t>
            </w:r>
          </w:p>
        </w:tc>
        <w:tc>
          <w:p w14:paraId="7E2E8E82">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招标要求内容</w:t>
            </w:r>
          </w:p>
        </w:tc>
        <w:tc>
          <w:p w14:paraId="722EA19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投标响应内容（对应技术方案章节）</w:t>
            </w:r>
          </w:p>
        </w:tc>
        <w:tc>
          <w:p w14:paraId="4AE4249F">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偏离情况</w:t>
            </w:r>
          </w:p>
        </w:tc>
      </w:tr>
      <w:tr w14:paraId="788F7A62">
        <w:tc>
          <w:p w14:paraId="3AE53E6A">
            <w:pPr>
              <w:pStyle w:val="24"/>
              <w:rPr>
                <w:color w:val="000000" w:themeColor="text1"/>
                <w14:textFill>
                  <w14:solidFill>
                    <w14:schemeClr w14:val="tx1"/>
                  </w14:solidFill>
                </w14:textFill>
              </w:rPr>
            </w:pPr>
            <w:r>
              <w:rPr>
                <w:color w:val="000000" w:themeColor="text1"/>
                <w14:textFill>
                  <w14:solidFill>
                    <w14:schemeClr w14:val="tx1"/>
                  </w14:solidFill>
                </w14:textFill>
              </w:rPr>
              <w:t>33</w:t>
            </w:r>
          </w:p>
        </w:tc>
        <w:tc>
          <w:p w14:paraId="40711FF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合同信创条款1-2</w:t>
            </w:r>
          </w:p>
        </w:tc>
        <w:tc>
          <w:p w14:paraId="266FACF8">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符合国家信创政策与技术标准；优先采用国产化软硬件平台</w:t>
            </w:r>
          </w:p>
        </w:tc>
        <w:tc>
          <w:p w14:paraId="30A3972B">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完全响应。技术栈具备信创适配能力，承诺履约期内免费完成信创环境适配，支持国产操作系统、国产数据库环境部署运行</w:t>
            </w:r>
          </w:p>
        </w:tc>
        <w:tc>
          <w:p w14:paraId="6EF7C73F">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58A3A09D">
        <w:tc>
          <w:p w14:paraId="77620734">
            <w:pPr>
              <w:pStyle w:val="24"/>
              <w:rPr>
                <w:color w:val="000000" w:themeColor="text1"/>
                <w14:textFill>
                  <w14:solidFill>
                    <w14:schemeClr w14:val="tx1"/>
                  </w14:solidFill>
                </w14:textFill>
              </w:rPr>
            </w:pPr>
            <w:r>
              <w:rPr>
                <w:color w:val="000000" w:themeColor="text1"/>
                <w14:textFill>
                  <w14:solidFill>
                    <w14:schemeClr w14:val="tx1"/>
                  </w14:solidFill>
                </w14:textFill>
              </w:rPr>
              <w:t>34</w:t>
            </w:r>
          </w:p>
        </w:tc>
        <w:tc>
          <w:p w14:paraId="1A3D6266">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合同信创条款3</w:t>
            </w:r>
          </w:p>
        </w:tc>
        <w:tc>
          <w:p w14:paraId="1F9EF01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提供信创兼容性测试报告或第三方认证；未取得的按约定时间免费适配</w:t>
            </w:r>
          </w:p>
        </w:tc>
        <w:tc>
          <w:p w14:paraId="435F8846">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完全响应。按约定时间免费完成信创适配并提供兼容性测试报告</w:t>
            </w:r>
          </w:p>
        </w:tc>
        <w:tc>
          <w:p w14:paraId="52209E95">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59BB8347">
        <w:tc>
          <w:p w14:paraId="46203EC3">
            <w:pPr>
              <w:pStyle w:val="24"/>
              <w:rPr>
                <w:color w:val="000000" w:themeColor="text1"/>
                <w14:textFill>
                  <w14:solidFill>
                    <w14:schemeClr w14:val="tx1"/>
                  </w14:solidFill>
                </w14:textFill>
              </w:rPr>
            </w:pPr>
            <w:r>
              <w:rPr>
                <w:color w:val="000000" w:themeColor="text1"/>
                <w14:textFill>
                  <w14:solidFill>
                    <w14:schemeClr w14:val="tx1"/>
                  </w14:solidFill>
                </w14:textFill>
              </w:rPr>
              <w:t>35</w:t>
            </w:r>
          </w:p>
        </w:tc>
        <w:tc>
          <w:p w14:paraId="53928255">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合同信创条款4</w:t>
            </w:r>
          </w:p>
        </w:tc>
        <w:tc>
          <w:p w14:paraId="0C512582">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配合甲方完成信创适配、联调测试、验收，提供技术支持</w:t>
            </w:r>
          </w:p>
        </w:tc>
        <w:tc>
          <w:p w14:paraId="0A94E786">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w:t>
            </w:r>
          </w:p>
        </w:tc>
        <w:tc>
          <w:p w14:paraId="39F775FD">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bookmarkEnd w:id="6"/>
    </w:tbl>
    <w:p w14:paraId="56084AB6">
      <w:pPr>
        <w:pStyle w:val="4"/>
        <w:rPr>
          <w:color w:val="000000" w:themeColor="text1"/>
          <w14:textFill>
            <w14:solidFill>
              <w14:schemeClr w14:val="tx1"/>
            </w14:solidFill>
          </w14:textFill>
        </w:rPr>
      </w:pPr>
      <w:bookmarkStart w:id="7" w:name="七进度与其他要求"/>
      <w:r>
        <w:rPr>
          <w:rFonts w:hint="eastAsia"/>
          <w:color w:val="000000" w:themeColor="text1"/>
          <w14:textFill>
            <w14:solidFill>
              <w14:schemeClr w14:val="tx1"/>
            </w14:solidFill>
          </w14:textFill>
        </w:rPr>
        <w:t>七、进度与其他要求</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1771"/>
        <w:gridCol w:w="1771"/>
        <w:gridCol w:w="1771"/>
        <w:gridCol w:w="1771"/>
      </w:tblGrid>
      <w:tr w14:paraId="52304EA3">
        <w:trPr>
          <w:tblHeader/>
        </w:trPr>
        <w:tc>
          <w:p w14:paraId="5E9CCF0E">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36F56CDF">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招标文件要求（条款出处）</w:t>
            </w:r>
          </w:p>
        </w:tc>
        <w:tc>
          <w:p w14:paraId="032909D9">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招标要求内容</w:t>
            </w:r>
          </w:p>
        </w:tc>
        <w:tc>
          <w:p w14:paraId="601A841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投标响应内容（对应技术方案章节）</w:t>
            </w:r>
          </w:p>
        </w:tc>
        <w:tc>
          <w:p w14:paraId="1E8F5273">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偏离情况</w:t>
            </w:r>
          </w:p>
        </w:tc>
      </w:tr>
      <w:tr w14:paraId="08949CC8">
        <w:tc>
          <w:p w14:paraId="2AF2F7FB">
            <w:pPr>
              <w:pStyle w:val="24"/>
              <w:rPr>
                <w:color w:val="000000" w:themeColor="text1"/>
                <w14:textFill>
                  <w14:solidFill>
                    <w14:schemeClr w14:val="tx1"/>
                  </w14:solidFill>
                </w14:textFill>
              </w:rPr>
            </w:pPr>
            <w:r>
              <w:rPr>
                <w:color w:val="000000" w:themeColor="text1"/>
                <w14:textFill>
                  <w14:solidFill>
                    <w14:schemeClr w14:val="tx1"/>
                  </w14:solidFill>
                </w14:textFill>
              </w:rPr>
              <w:t>36</w:t>
            </w:r>
          </w:p>
        </w:tc>
        <w:tc>
          <w:p w14:paraId="6835709B">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第六章投标函</w:t>
            </w:r>
          </w:p>
        </w:tc>
        <w:tc>
          <w:p w14:paraId="72D150E6">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投标有效期：自提交投标文件截止之日起90日历天</w:t>
            </w:r>
          </w:p>
        </w:tc>
        <w:tc>
          <w:p w14:paraId="6E9B1F79">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w:t>
            </w:r>
          </w:p>
        </w:tc>
        <w:tc>
          <w:p w14:paraId="78CF0298">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3D59EF58">
        <w:tc>
          <w:p w14:paraId="054AF006">
            <w:pPr>
              <w:pStyle w:val="24"/>
              <w:rPr>
                <w:color w:val="000000" w:themeColor="text1"/>
                <w14:textFill>
                  <w14:solidFill>
                    <w14:schemeClr w14:val="tx1"/>
                  </w14:solidFill>
                </w14:textFill>
              </w:rPr>
            </w:pPr>
            <w:r>
              <w:rPr>
                <w:color w:val="000000" w:themeColor="text1"/>
                <w14:textFill>
                  <w14:solidFill>
                    <w14:schemeClr w14:val="tx1"/>
                  </w14:solidFill>
                </w14:textFill>
              </w:rPr>
              <w:t>37</w:t>
            </w:r>
          </w:p>
        </w:tc>
        <w:tc>
          <w:p w14:paraId="3C88585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评标办法（技术方案要求）</w:t>
            </w:r>
          </w:p>
        </w:tc>
        <w:tc>
          <w:p w14:paraId="77577112">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技术方案涵盖项目需求分析、应用系统功能设计、项目实施管理、系统安全管理、系统运维管理、服务期限保证六部分</w:t>
            </w:r>
          </w:p>
        </w:tc>
        <w:tc>
          <w:p w14:paraId="0E228F2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完全响应。技术方案按六章编制，各评审点全覆盖</w:t>
            </w:r>
          </w:p>
        </w:tc>
        <w:tc>
          <w:p w14:paraId="01A64441">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3BB9DC11">
        <w:tc>
          <w:p w14:paraId="40948A85">
            <w:pPr>
              <w:pStyle w:val="24"/>
              <w:rPr>
                <w:color w:val="000000" w:themeColor="text1"/>
                <w14:textFill>
                  <w14:solidFill>
                    <w14:schemeClr w14:val="tx1"/>
                  </w14:solidFill>
                </w14:textFill>
              </w:rPr>
            </w:pPr>
            <w:r>
              <w:rPr>
                <w:color w:val="000000" w:themeColor="text1"/>
                <w14:textFill>
                  <w14:solidFill>
                    <w14:schemeClr w14:val="tx1"/>
                  </w14:solidFill>
                </w14:textFill>
              </w:rPr>
              <w:t>38</w:t>
            </w:r>
          </w:p>
        </w:tc>
        <w:tc>
          <w:p w14:paraId="3EB683D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合同专用条款（等保）</w:t>
            </w:r>
          </w:p>
        </w:tc>
        <w:tc>
          <w:p w14:paraId="21F81CE1">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通过等级保护二级测评</w:t>
            </w:r>
          </w:p>
        </w:tc>
        <w:tc>
          <w:p w14:paraId="17F61ECD">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完全响应。按等保二级建设，试运行期内配合完成测评，未通过前不申请最终验收（见第四章）</w:t>
            </w:r>
          </w:p>
        </w:tc>
        <w:tc>
          <w:p w14:paraId="19ADD724">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tr w14:paraId="78DAF191">
        <w:tc>
          <w:p w14:paraId="79C72253">
            <w:pPr>
              <w:pStyle w:val="24"/>
              <w:rPr>
                <w:color w:val="000000" w:themeColor="text1"/>
                <w14:textFill>
                  <w14:solidFill>
                    <w14:schemeClr w14:val="tx1"/>
                  </w14:solidFill>
                </w14:textFill>
              </w:rPr>
            </w:pPr>
            <w:r>
              <w:rPr>
                <w:color w:val="000000" w:themeColor="text1"/>
                <w14:textFill>
                  <w14:solidFill>
                    <w14:schemeClr w14:val="tx1"/>
                  </w14:solidFill>
                </w14:textFill>
              </w:rPr>
              <w:t>39</w:t>
            </w:r>
          </w:p>
        </w:tc>
        <w:tc>
          <w:p w14:paraId="6CF021C2">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商务部分（三）</w:t>
            </w:r>
          </w:p>
        </w:tc>
        <w:tc>
          <w:p w14:paraId="18860950">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项目驻场人员承诺</w:t>
            </w:r>
          </w:p>
        </w:tc>
        <w:tc>
          <w:p w14:paraId="46CB4442">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完全响应。承诺项目驻场，驻场承诺函见商务部分</w:t>
            </w:r>
          </w:p>
        </w:tc>
        <w:tc>
          <w:p w14:paraId="276EB0B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r>
      <w:bookmarkEnd w:id="7"/>
    </w:tbl>
    <w:p w14:paraId="4694BCD7">
      <w:pPr>
        <w:pStyle w:val="4"/>
        <w:rPr>
          <w:color w:val="000000" w:themeColor="text1"/>
          <w14:textFill>
            <w14:solidFill>
              <w14:schemeClr w14:val="tx1"/>
            </w14:solidFill>
          </w14:textFill>
        </w:rPr>
      </w:pPr>
      <w:bookmarkStart w:id="8" w:name="八偏离情况汇总"/>
      <w:r>
        <w:rPr>
          <w:rFonts w:hint="eastAsia"/>
          <w:color w:val="000000" w:themeColor="text1"/>
          <w14:textFill>
            <w14:solidFill>
              <w14:schemeClr w14:val="tx1"/>
            </w14:solidFill>
          </w14:textFill>
        </w:rPr>
        <w:t>八、偏离情况汇总</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2"/>
        <w:gridCol w:w="2952"/>
        <w:gridCol w:w="2952"/>
      </w:tblGrid>
      <w:tr w14:paraId="33E5565A">
        <w:trPr>
          <w:tblHeader/>
        </w:trPr>
        <w:tc>
          <w:p w14:paraId="175B5AA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统计项</w:t>
            </w:r>
          </w:p>
        </w:tc>
        <w:tc>
          <w:p w14:paraId="0F496791">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数量</w:t>
            </w:r>
          </w:p>
        </w:tc>
        <w:tc>
          <w:p w14:paraId="5A65FE86">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3F20864A">
        <w:tc>
          <w:p w14:paraId="245B4909">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响应条款合计</w:t>
            </w:r>
          </w:p>
        </w:tc>
        <w:tc>
          <w:p w14:paraId="14BE30AD">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39条</w:t>
            </w:r>
          </w:p>
        </w:tc>
        <w:tc>
          <w:p w14:paraId="7BAACD60">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覆盖采购内容、质量验收、服务期限、运维标准、源代码、信创、进度等全部技术与服务要求</w:t>
            </w:r>
          </w:p>
        </w:tc>
      </w:tr>
      <w:tr w14:paraId="6701F833">
        <w:tc>
          <w:p w14:paraId="578DA9CA">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无偏离</w:t>
            </w:r>
          </w:p>
        </w:tc>
        <w:tc>
          <w:p w14:paraId="0224E51E">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34条</w:t>
            </w:r>
          </w:p>
        </w:tc>
        <w:tc>
          <w:p w14:paraId="425427D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全部完全响应</w:t>
            </w:r>
          </w:p>
        </w:tc>
      </w:tr>
      <w:tr w14:paraId="1AAC64E9">
        <w:tc>
          <w:p w14:paraId="18F9BBF1">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正偏离</w:t>
            </w:r>
          </w:p>
        </w:tc>
        <w:tc>
          <w:p w14:paraId="2D75D8E4">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5条</w:t>
            </w:r>
          </w:p>
        </w:tc>
        <w:tc>
          <w:p w14:paraId="14DB2F49">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序号10（六年期内每年专项巡检优化）、13（后方专家二线7×24支撑）、18（重大事件先行口头通报后出专报）、19（增加恢复演练报告与年度总结）、26（定期恢复演练、高危漏洞限时修复、日志留存达标）</w:t>
            </w:r>
          </w:p>
        </w:tc>
      </w:tr>
      <w:tr w14:paraId="532AB1B1">
        <w:tc>
          <w:p w14:paraId="5D64708C">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负偏离</w:t>
            </w:r>
          </w:p>
        </w:tc>
        <w:tc>
          <w:p w14:paraId="0D312E7F">
            <w:pPr>
              <w:pStyle w:val="24"/>
              <w:rPr>
                <w:color w:val="000000" w:themeColor="text1"/>
                <w14:textFill>
                  <w14:solidFill>
                    <w14:schemeClr w14:val="tx1"/>
                  </w14:solidFill>
                </w14:textFill>
              </w:rPr>
            </w:pPr>
            <w:r>
              <w:rPr>
                <w:rFonts w:hint="eastAsia"/>
                <w:b/>
                <w:bCs/>
                <w:color w:val="000000" w:themeColor="text1"/>
                <w14:textFill>
                  <w14:solidFill>
                    <w14:schemeClr w14:val="tx1"/>
                  </w14:solidFill>
                </w14:textFill>
              </w:rPr>
              <w:t>0条</w:t>
            </w:r>
          </w:p>
        </w:tc>
        <w:tc>
          <w:p w14:paraId="678EE0F6">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无任何负偏离</w:t>
            </w:r>
          </w:p>
        </w:tc>
      </w:tr>
    </w:tbl>
    <w:p w14:paraId="6A0AFBAC">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声明</w:t>
      </w:r>
      <w:r>
        <w:rPr>
          <w:rFonts w:hint="eastAsia"/>
          <w:color w:val="000000" w:themeColor="text1"/>
          <w14:textFill>
            <w14:solidFill>
              <w14:schemeClr w14:val="tx1"/>
            </w14:solidFill>
          </w14:textFill>
        </w:rPr>
        <w:t>：我方对招标文件第五章”采购需求”、第四章”合同条款及格式”规定的全部实质性要求和条件</w:t>
      </w:r>
      <w:r>
        <w:rPr>
          <w:rFonts w:hint="eastAsia"/>
          <w:b/>
          <w:bCs/>
          <w:color w:val="000000" w:themeColor="text1"/>
          <w14:textFill>
            <w14:solidFill>
              <w14:schemeClr w14:val="tx1"/>
            </w14:solidFill>
          </w14:textFill>
        </w:rPr>
        <w:t>完全响应，无任何负偏离</w:t>
      </w:r>
      <w:r>
        <w:rPr>
          <w:rFonts w:hint="eastAsia"/>
          <w:color w:val="000000" w:themeColor="text1"/>
          <w14:textFill>
            <w14:solidFill>
              <w14:schemeClr w14:val="tx1"/>
            </w14:solidFill>
          </w14:textFill>
        </w:rPr>
        <w:t>；上述正偏离条款均为在满足招标要求基础上对招标人更有利的额外承诺，如中标愿写入合同并接受违约条款约束。</w:t>
      </w:r>
    </w:p>
    <w:p w14:paraId="470BB5D5">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投</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标</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人：</w:t>
      </w:r>
      <w:r>
        <w:rPr>
          <w:rFonts w:hint="eastAsia"/>
          <w:color w:val="000000" w:themeColor="text1"/>
          <w:lang w:val="en-US" w:eastAsia="zh-CN"/>
          <w14:textFill>
            <w14:solidFill>
              <w14:schemeClr w14:val="tx1"/>
            </w14:solidFill>
          </w14:textFill>
        </w:rPr>
        <w:t xml:space="preserve">                              </w:t>
      </w:r>
      <w:bookmarkStart w:id="9" w:name="_GoBack"/>
      <w:bookmarkEnd w:id="9"/>
      <w:r>
        <w:rPr>
          <w:rFonts w:hint="eastAsia"/>
          <w:color w:val="000000" w:themeColor="text1"/>
          <w14:textFill>
            <w14:solidFill>
              <w14:schemeClr w14:val="tx1"/>
            </w14:solidFill>
          </w14:textFill>
        </w:rPr>
        <w:t>（盖单位公章）</w:t>
      </w:r>
    </w:p>
    <w:p w14:paraId="2D8A8F3E">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法定代表人或其委托代理人：（签字或盖章）</w:t>
      </w:r>
    </w:p>
    <w:p w14:paraId="398EAD62">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年</w:t>
      </w:r>
      <w:r>
        <w:rPr>
          <w:color w:val="000000" w:themeColor="text1"/>
          <w14:textFill>
            <w14:solidFill>
              <w14:schemeClr w14:val="tx1"/>
            </w14:solidFill>
          </w14:textFill>
        </w:rPr>
        <w:t>    </w:t>
      </w:r>
      <w:r>
        <w:rPr>
          <w:rFonts w:hint="eastAsia"/>
          <w:color w:val="000000" w:themeColor="text1"/>
          <w14:textFill>
            <w14:solidFill>
              <w14:schemeClr w14:val="tx1"/>
            </w14:solidFill>
          </w14:textFill>
        </w:rPr>
        <w:t>月</w:t>
      </w:r>
      <w:r>
        <w:rPr>
          <w:color w:val="000000" w:themeColor="text1"/>
          <w14:textFill>
            <w14:solidFill>
              <w14:schemeClr w14:val="tx1"/>
            </w14:solidFill>
          </w14:textFill>
        </w:rPr>
        <w:t>    </w:t>
      </w:r>
      <w:r>
        <w:rPr>
          <w:rFonts w:hint="eastAsia"/>
          <w:color w:val="000000" w:themeColor="text1"/>
          <w14:textFill>
            <w14:solidFill>
              <w14:schemeClr w14:val="tx1"/>
            </w14:solidFill>
          </w14:textFill>
        </w:rPr>
        <w:t>日</w:t>
      </w:r>
    </w:p>
    <w:bookmarkEnd w:id="0"/>
    <w:bookmarkEnd w:id="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68FCC65"/>
    <w:rsid w:val="F3D77A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83</Words>
  <Characters>475</Characters>
  <Lines>12</Lines>
  <Paragraphs>8</Paragraphs>
  <TotalTime>6</TotalTime>
  <ScaleCrop>false</ScaleCrop>
  <LinksUpToDate>false</LinksUpToDate>
  <CharactersWithSpaces>583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2026-07-29T13:06:00Z</dcterms:created>
  <dc:creator>典藏记忆</dc:creator>
  <cp:lastModifiedBy>典藏记忆</cp:lastModifiedBy>
  <dcterms:modified xsi:type="dcterms:W3CDTF">2026-07-30T12:02:24Z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9075CCB318F72D469CCC6A6AE4F81E82_42</vt:lpwstr>
  </property>
</Properties>
</file>