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CCC4A">
      <w:pPr>
        <w:pStyle w:val="2"/>
        <w:rPr>
          <w:rFonts w:hint="eastAsia" w:ascii="黑体" w:hAnsi="黑体" w:eastAsia="黑体" w:cs="黑体"/>
          <w:sz w:val="44"/>
          <w:szCs w:val="44"/>
        </w:rPr>
      </w:pPr>
      <w:bookmarkStart w:id="0" w:name="技术偏离表"/>
      <w:r>
        <w:rPr>
          <w:rFonts w:hint="eastAsia" w:ascii="黑体" w:hAnsi="黑体" w:eastAsia="黑体" w:cs="黑体"/>
          <w:sz w:val="44"/>
          <w:szCs w:val="44"/>
        </w:rPr>
        <w:t>技术偏离表</w:t>
      </w:r>
    </w:p>
    <w:p w14:paraId="0F6CDB54">
      <w:pPr>
        <w:pStyle w:val="23"/>
      </w:pPr>
      <w:r>
        <w:rPr>
          <w:rFonts w:hint="eastAsia"/>
          <w:b/>
          <w:bCs/>
        </w:rPr>
        <w:t>项目名称</w:t>
      </w:r>
      <w:r>
        <w:rPr>
          <w:rFonts w:hint="eastAsia"/>
        </w:rPr>
        <w:t>：郑州数据集团有限公司房屋管理系统人力服务采购项目</w:t>
      </w:r>
    </w:p>
    <w:p w14:paraId="4C57D971">
      <w:pPr>
        <w:pStyle w:val="3"/>
      </w:pPr>
      <w:r>
        <w:rPr>
          <w:rFonts w:hint="eastAsia"/>
          <w:b/>
          <w:bCs/>
        </w:rPr>
        <w:t>投标人</w:t>
      </w:r>
      <w:r>
        <w:rPr>
          <w:rFonts w:hint="eastAsia"/>
        </w:rPr>
        <w:t>：</w:t>
      </w:r>
    </w:p>
    <w:p w14:paraId="432D6FDD">
      <w:pPr>
        <w:pStyle w:val="3"/>
      </w:pPr>
      <w:r>
        <w:rPr>
          <w:rFonts w:hint="eastAsia"/>
          <w:b/>
          <w:bCs/>
        </w:rPr>
        <w:t>填写说明</w:t>
      </w:r>
      <w:r>
        <w:rPr>
          <w:rFonts w:hint="eastAsia"/>
        </w:rPr>
        <w:t>：本表依据招标文件第五章”采购需求”、第四章”合同条款及格式”（含专用条款及附件3运维服务内容及标准）逐条对照编制，并对应本投标技术方案（C版）相关章节。偏离情况分为：</w:t>
      </w:r>
      <w:r>
        <w:rPr>
          <w:rFonts w:hint="eastAsia"/>
          <w:b/>
          <w:bCs/>
        </w:rPr>
        <w:t>无偏离</w:t>
      </w:r>
      <w:r>
        <w:rPr>
          <w:rFonts w:hint="eastAsia"/>
        </w:rPr>
        <w:t>（完全响应）、</w:t>
      </w:r>
      <w:r>
        <w:rPr>
          <w:rFonts w:hint="eastAsia"/>
          <w:b/>
          <w:bCs/>
        </w:rPr>
        <w:t>正偏离</w:t>
      </w:r>
      <w:r>
        <w:rPr>
          <w:rFonts w:hint="eastAsia"/>
        </w:rPr>
        <w:t>（响应优于招标要求）、</w:t>
      </w:r>
      <w:r>
        <w:rPr>
          <w:rFonts w:hint="eastAsia"/>
          <w:b/>
          <w:bCs/>
        </w:rPr>
        <w:t>负偏离</w:t>
      </w:r>
      <w:r>
        <w:rPr>
          <w:rFonts w:hint="eastAsia"/>
        </w:rPr>
        <w:t>（未能满足要求）。</w:t>
      </w:r>
    </w:p>
    <w:p w14:paraId="56B05B47">
      <w:pPr>
        <w:pStyle w:val="4"/>
      </w:pPr>
      <w:bookmarkStart w:id="1" w:name="一采购内容与范围"/>
      <w:r>
        <w:rPr>
          <w:rFonts w:hint="eastAsia"/>
        </w:rPr>
        <w:t>一、采购内容与范围</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1801"/>
        <w:gridCol w:w="1801"/>
        <w:gridCol w:w="1801"/>
        <w:gridCol w:w="1801"/>
      </w:tblGrid>
      <w:tr w14:paraId="5CDEF7AA">
        <w:trPr>
          <w:tblHeader/>
        </w:trPr>
        <w:tc>
          <w:p w14:paraId="348951D5">
            <w:pPr>
              <w:pStyle w:val="24"/>
            </w:pPr>
            <w:r>
              <w:rPr>
                <w:rFonts w:hint="eastAsia"/>
              </w:rPr>
              <w:t>序号</w:t>
            </w:r>
          </w:p>
        </w:tc>
        <w:tc>
          <w:p w14:paraId="3700FFA9">
            <w:pPr>
              <w:pStyle w:val="24"/>
            </w:pPr>
            <w:r>
              <w:rPr>
                <w:rFonts w:hint="eastAsia"/>
              </w:rPr>
              <w:t>招标文件要求（条款出处）</w:t>
            </w:r>
          </w:p>
        </w:tc>
        <w:tc>
          <w:p w14:paraId="16C4B438">
            <w:pPr>
              <w:pStyle w:val="24"/>
            </w:pPr>
            <w:r>
              <w:rPr>
                <w:rFonts w:hint="eastAsia"/>
              </w:rPr>
              <w:t>招标要求内容</w:t>
            </w:r>
          </w:p>
        </w:tc>
        <w:tc>
          <w:p w14:paraId="5963E45B">
            <w:pPr>
              <w:pStyle w:val="24"/>
            </w:pPr>
            <w:r>
              <w:rPr>
                <w:rFonts w:hint="eastAsia"/>
              </w:rPr>
              <w:t>投标响应内容（对应技术方案章节）</w:t>
            </w:r>
          </w:p>
        </w:tc>
        <w:tc>
          <w:p w14:paraId="16F8F860">
            <w:pPr>
              <w:pStyle w:val="24"/>
            </w:pPr>
            <w:r>
              <w:rPr>
                <w:rFonts w:hint="eastAsia"/>
              </w:rPr>
              <w:t>偏离情况</w:t>
            </w:r>
          </w:p>
        </w:tc>
      </w:tr>
      <w:tr w14:paraId="0ACEE660">
        <w:tc>
          <w:p w14:paraId="7CD90F64">
            <w:pPr>
              <w:pStyle w:val="24"/>
            </w:pPr>
            <w:r>
              <w:t>1</w:t>
            </w:r>
          </w:p>
        </w:tc>
        <w:tc>
          <w:p w14:paraId="221A8F07">
            <w:pPr>
              <w:pStyle w:val="24"/>
            </w:pPr>
            <w:r>
              <w:rPr>
                <w:rFonts w:hint="eastAsia"/>
              </w:rPr>
              <w:t>第五章1.采购内容</w:t>
            </w:r>
          </w:p>
        </w:tc>
        <w:tc>
          <w:p w14:paraId="5504B9A8">
            <w:pPr>
              <w:pStyle w:val="24"/>
            </w:pPr>
            <w:r>
              <w:rPr>
                <w:rFonts w:hint="eastAsia"/>
              </w:rPr>
              <w:t>构建含房源管理、合同管理、优惠券管理、消息管理、个人中心、运营中心、支付管理、数据看板等业务的房屋管理系统（含移动端、小程序端、公众号端）</w:t>
            </w:r>
          </w:p>
        </w:tc>
        <w:tc>
          <w:p w14:paraId="1E38DF7E">
            <w:pPr>
              <w:pStyle w:val="24"/>
            </w:pPr>
            <w:r>
              <w:rPr>
                <w:rFonts w:hint="eastAsia"/>
              </w:rPr>
              <w:t>完全响应。第二章以”四端+业务中台+数据底座”完成设计，功能按六大能力域归集全覆盖；群众端基于</w:t>
            </w:r>
            <w:r>
              <w:t xml:space="preserve"> uni-app </w:t>
            </w:r>
            <w:r>
              <w:rPr>
                <w:rFonts w:hint="eastAsia"/>
              </w:rPr>
              <w:t>一套代码统一交付</w:t>
            </w:r>
            <w:r>
              <w:t xml:space="preserve"> </w:t>
            </w:r>
            <w:r>
              <w:rPr>
                <w:rFonts w:hint="eastAsia"/>
              </w:rPr>
              <w:t>H5、小程序、公众号三端</w:t>
            </w:r>
          </w:p>
        </w:tc>
        <w:tc>
          <w:p w14:paraId="7CC39493">
            <w:pPr>
              <w:pStyle w:val="24"/>
            </w:pPr>
            <w:r>
              <w:rPr>
                <w:rFonts w:hint="eastAsia"/>
              </w:rPr>
              <w:t>无偏离</w:t>
            </w:r>
          </w:p>
        </w:tc>
      </w:tr>
      <w:tr w14:paraId="7CDA19F1">
        <w:tc>
          <w:p w14:paraId="2FAF8B51">
            <w:pPr>
              <w:pStyle w:val="24"/>
            </w:pPr>
            <w:r>
              <w:t>2</w:t>
            </w:r>
          </w:p>
        </w:tc>
        <w:tc>
          <w:p w14:paraId="1F0F021F">
            <w:pPr>
              <w:pStyle w:val="24"/>
            </w:pPr>
            <w:r>
              <w:rPr>
                <w:rFonts w:hint="eastAsia"/>
              </w:rPr>
              <w:t>第五章1.采购内容</w:t>
            </w:r>
          </w:p>
        </w:tc>
        <w:tc>
          <w:p w14:paraId="67E8AE8D">
            <w:pPr>
              <w:pStyle w:val="24"/>
            </w:pPr>
            <w:r>
              <w:rPr>
                <w:rFonts w:hint="eastAsia"/>
              </w:rPr>
              <w:t>驻场工作含软件定制化开发、系统集成调试、试运行、验收、交付、运维、技术培训及相关工作</w:t>
            </w:r>
          </w:p>
        </w:tc>
        <w:tc>
          <w:p w14:paraId="7CFCBD88">
            <w:pPr>
              <w:pStyle w:val="24"/>
            </w:pPr>
            <w:r>
              <w:rPr>
                <w:rFonts w:hint="eastAsia"/>
              </w:rPr>
              <w:t>完全响应。第三、五章明确团队承担上述全部工作，服从甲方安排</w:t>
            </w:r>
          </w:p>
        </w:tc>
        <w:tc>
          <w:p w14:paraId="5D24E110">
            <w:pPr>
              <w:pStyle w:val="24"/>
            </w:pPr>
            <w:r>
              <w:rPr>
                <w:rFonts w:hint="eastAsia"/>
              </w:rPr>
              <w:t>无偏离</w:t>
            </w:r>
          </w:p>
        </w:tc>
      </w:tr>
      <w:tr w14:paraId="435BBC69">
        <w:tc>
          <w:p w14:paraId="675B031A">
            <w:pPr>
              <w:pStyle w:val="24"/>
            </w:pPr>
            <w:r>
              <w:t>3</w:t>
            </w:r>
          </w:p>
        </w:tc>
        <w:tc>
          <w:p w14:paraId="610A5932">
            <w:pPr>
              <w:pStyle w:val="24"/>
            </w:pPr>
            <w:r>
              <w:rPr>
                <w:rFonts w:hint="eastAsia"/>
              </w:rPr>
              <w:t>第五章1.采购内容</w:t>
            </w:r>
          </w:p>
        </w:tc>
        <w:tc>
          <w:p w14:paraId="6813022C">
            <w:pPr>
              <w:pStyle w:val="24"/>
            </w:pPr>
            <w:r>
              <w:rPr>
                <w:rFonts w:hint="eastAsia"/>
              </w:rPr>
              <w:t>驻场人员按甲方通常工作时间执行；人月数内未完成交付的应继续安排人员确保如期交付</w:t>
            </w:r>
          </w:p>
        </w:tc>
        <w:tc>
          <w:p w14:paraId="3F103BB0">
            <w:pPr>
              <w:pStyle w:val="24"/>
            </w:pPr>
            <w:r>
              <w:rPr>
                <w:rFonts w:hint="eastAsia"/>
              </w:rPr>
              <w:t>完全响应。人员遵守甲方考勤；人月数内未完成的，我方自担费用继续投入直至交付（见第三、六章）</w:t>
            </w:r>
          </w:p>
        </w:tc>
        <w:tc>
          <w:p w14:paraId="20976188">
            <w:pPr>
              <w:pStyle w:val="24"/>
            </w:pPr>
            <w:r>
              <w:rPr>
                <w:rFonts w:hint="eastAsia"/>
              </w:rPr>
              <w:t>无偏离</w:t>
            </w:r>
          </w:p>
        </w:tc>
      </w:tr>
      <w:tr w14:paraId="63426EDC">
        <w:tc>
          <w:p w14:paraId="4FBD0EEE">
            <w:pPr>
              <w:pStyle w:val="24"/>
            </w:pPr>
            <w:r>
              <w:t>4</w:t>
            </w:r>
          </w:p>
        </w:tc>
        <w:tc>
          <w:p w14:paraId="02BF0C7E">
            <w:pPr>
              <w:pStyle w:val="24"/>
            </w:pPr>
            <w:r>
              <w:rPr>
                <w:rFonts w:hint="eastAsia"/>
              </w:rPr>
              <w:t>第五章5.软件开发清单及功能明细</w:t>
            </w:r>
          </w:p>
        </w:tc>
        <w:tc>
          <w:p w14:paraId="06798AD4">
            <w:pPr>
              <w:pStyle w:val="24"/>
            </w:pPr>
            <w:r>
              <w:rPr>
                <w:rFonts w:hint="eastAsia"/>
              </w:rPr>
              <w:t>功能明细序号1—211全部功能（各端功能、数据迁移、培训及各项对接）</w:t>
            </w:r>
          </w:p>
        </w:tc>
        <w:tc>
          <w:p w14:paraId="3CF0BEC3">
            <w:pPr>
              <w:pStyle w:val="24"/>
            </w:pPr>
            <w:r>
              <w:rPr>
                <w:rFonts w:hint="eastAsia"/>
              </w:rPr>
              <w:t>完全响应。第二章</w:t>
            </w:r>
            <w:r>
              <w:t xml:space="preserve"> 2.10 </w:t>
            </w:r>
            <w:r>
              <w:rPr>
                <w:rFonts w:hint="eastAsia"/>
              </w:rPr>
              <w:t>功能清单逐项对照表按六大能力域覆盖功能明细全部条目，无遗漏、无合并省略</w:t>
            </w:r>
          </w:p>
        </w:tc>
        <w:tc>
          <w:p w14:paraId="3A656DFA">
            <w:pPr>
              <w:pStyle w:val="24"/>
            </w:pPr>
            <w:r>
              <w:rPr>
                <w:rFonts w:hint="eastAsia"/>
              </w:rPr>
              <w:t>无偏离</w:t>
            </w:r>
          </w:p>
        </w:tc>
      </w:tr>
      <w:bookmarkEnd w:id="1"/>
    </w:tbl>
    <w:p w14:paraId="2B645E9B">
      <w:pPr>
        <w:pStyle w:val="4"/>
      </w:pPr>
      <w:bookmarkStart w:id="2" w:name="二质量标准与验收标准"/>
      <w:r>
        <w:rPr>
          <w:rFonts w:hint="eastAsia"/>
        </w:rPr>
        <w:t>二、质量标准与验收标准</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1801"/>
        <w:gridCol w:w="1801"/>
        <w:gridCol w:w="1801"/>
        <w:gridCol w:w="1801"/>
      </w:tblGrid>
      <w:tr w14:paraId="0EECF26A">
        <w:trPr>
          <w:tblHeader/>
        </w:trPr>
        <w:tc>
          <w:p w14:paraId="680642F5">
            <w:pPr>
              <w:pStyle w:val="24"/>
            </w:pPr>
            <w:r>
              <w:rPr>
                <w:rFonts w:hint="eastAsia"/>
              </w:rPr>
              <w:t>序号</w:t>
            </w:r>
          </w:p>
        </w:tc>
        <w:tc>
          <w:p w14:paraId="7B2D5883">
            <w:pPr>
              <w:pStyle w:val="24"/>
            </w:pPr>
            <w:r>
              <w:rPr>
                <w:rFonts w:hint="eastAsia"/>
              </w:rPr>
              <w:t>招标文件要求（条款出处）</w:t>
            </w:r>
          </w:p>
        </w:tc>
        <w:tc>
          <w:p w14:paraId="6F1A7BD5">
            <w:pPr>
              <w:pStyle w:val="24"/>
            </w:pPr>
            <w:r>
              <w:rPr>
                <w:rFonts w:hint="eastAsia"/>
              </w:rPr>
              <w:t>招标要求内容</w:t>
            </w:r>
          </w:p>
        </w:tc>
        <w:tc>
          <w:p w14:paraId="5C9321AD">
            <w:pPr>
              <w:pStyle w:val="24"/>
            </w:pPr>
            <w:r>
              <w:rPr>
                <w:rFonts w:hint="eastAsia"/>
              </w:rPr>
              <w:t>投标响应内容（对应技术方案章节）</w:t>
            </w:r>
          </w:p>
        </w:tc>
        <w:tc>
          <w:p w14:paraId="7DAE4FFD">
            <w:pPr>
              <w:pStyle w:val="24"/>
            </w:pPr>
            <w:r>
              <w:rPr>
                <w:rFonts w:hint="eastAsia"/>
              </w:rPr>
              <w:t>偏离情况</w:t>
            </w:r>
          </w:p>
        </w:tc>
      </w:tr>
      <w:tr w14:paraId="47D79501">
        <w:tc>
          <w:p w14:paraId="69547128">
            <w:pPr>
              <w:pStyle w:val="24"/>
            </w:pPr>
            <w:r>
              <w:t>5</w:t>
            </w:r>
          </w:p>
        </w:tc>
        <w:tc>
          <w:p w14:paraId="0D56FDAE">
            <w:pPr>
              <w:pStyle w:val="24"/>
            </w:pPr>
            <w:r>
              <w:rPr>
                <w:rFonts w:hint="eastAsia"/>
              </w:rPr>
              <w:t>第五章2.质量标准</w:t>
            </w:r>
          </w:p>
        </w:tc>
        <w:tc>
          <w:p w14:paraId="3774CE01">
            <w:pPr>
              <w:pStyle w:val="24"/>
            </w:pPr>
            <w:r>
              <w:rPr>
                <w:rFonts w:hint="eastAsia"/>
              </w:rPr>
              <w:t>合格，符合国家、行业相关合格质量标准及招标人要求</w:t>
            </w:r>
          </w:p>
        </w:tc>
        <w:tc>
          <w:p w14:paraId="707D9028">
            <w:pPr>
              <w:pStyle w:val="24"/>
            </w:pPr>
            <w:r>
              <w:rPr>
                <w:rFonts w:hint="eastAsia"/>
              </w:rPr>
              <w:t>完全响应。第二章</w:t>
            </w:r>
            <w:r>
              <w:t xml:space="preserve"> 2.1 </w:t>
            </w:r>
            <w:r>
              <w:rPr>
                <w:rFonts w:hint="eastAsia"/>
              </w:rPr>
              <w:t>明确执行标准，第三章</w:t>
            </w:r>
            <w:r>
              <w:t xml:space="preserve"> 3.8 </w:t>
            </w:r>
            <w:r>
              <w:rPr>
                <w:rFonts w:hint="eastAsia"/>
              </w:rPr>
              <w:t>建立过程质量与交付质量双控的全过程质量体系</w:t>
            </w:r>
          </w:p>
        </w:tc>
        <w:tc>
          <w:p w14:paraId="2E066D9C">
            <w:pPr>
              <w:pStyle w:val="24"/>
            </w:pPr>
            <w:r>
              <w:rPr>
                <w:rFonts w:hint="eastAsia"/>
              </w:rPr>
              <w:t>无偏离</w:t>
            </w:r>
          </w:p>
        </w:tc>
      </w:tr>
      <w:tr w14:paraId="057D09D8">
        <w:tc>
          <w:p w14:paraId="37AB029A">
            <w:pPr>
              <w:pStyle w:val="24"/>
            </w:pPr>
            <w:r>
              <w:t>6</w:t>
            </w:r>
          </w:p>
        </w:tc>
        <w:tc>
          <w:p w14:paraId="0A861CE4">
            <w:pPr>
              <w:pStyle w:val="24"/>
            </w:pPr>
            <w:r>
              <w:rPr>
                <w:rFonts w:hint="eastAsia"/>
              </w:rPr>
              <w:t>合同专用条款（验收）</w:t>
            </w:r>
          </w:p>
        </w:tc>
        <w:tc>
          <w:p w14:paraId="0EB3F572">
            <w:pPr>
              <w:pStyle w:val="24"/>
            </w:pPr>
            <w:r>
              <w:rPr>
                <w:rFonts w:hint="eastAsia"/>
              </w:rPr>
              <w:t>最终验收须完成全部功能开发、通过试运行、通过等保二级测评并配合源代码接收校验</w:t>
            </w:r>
          </w:p>
        </w:tc>
        <w:tc>
          <w:p w14:paraId="02CF4B22">
            <w:pPr>
              <w:pStyle w:val="24"/>
            </w:pPr>
            <w:r>
              <w:rPr>
                <w:rFonts w:hint="eastAsia"/>
              </w:rPr>
              <w:t>完全响应。承诺配合等保二级测评与源代码接收校验；第四章按等保二级逐控制点落实安全措施</w:t>
            </w:r>
          </w:p>
        </w:tc>
        <w:tc>
          <w:p w14:paraId="06F6A2A0">
            <w:pPr>
              <w:pStyle w:val="24"/>
            </w:pPr>
            <w:r>
              <w:rPr>
                <w:rFonts w:hint="eastAsia"/>
              </w:rPr>
              <w:t>无偏离</w:t>
            </w:r>
          </w:p>
        </w:tc>
      </w:tr>
      <w:tr w14:paraId="2A6C210B">
        <w:tc>
          <w:p w14:paraId="3805FAD9">
            <w:pPr>
              <w:pStyle w:val="24"/>
            </w:pPr>
            <w:r>
              <w:t>7</w:t>
            </w:r>
          </w:p>
        </w:tc>
        <w:tc>
          <w:p w14:paraId="38069D5F">
            <w:pPr>
              <w:pStyle w:val="24"/>
            </w:pPr>
            <w:r>
              <w:rPr>
                <w:rFonts w:hint="eastAsia"/>
              </w:rPr>
              <w:t>合同专用条款（试运行）</w:t>
            </w:r>
          </w:p>
        </w:tc>
        <w:tc>
          <w:p w14:paraId="7176C73A">
            <w:pPr>
              <w:pStyle w:val="24"/>
            </w:pPr>
            <w:r>
              <w:rPr>
                <w:rFonts w:hint="eastAsia"/>
              </w:rPr>
              <w:t>试运行期内因乙方原因故障由乙方解决并担费，期限顺延；重大缺陷自修复起重算试运行</w:t>
            </w:r>
          </w:p>
        </w:tc>
        <w:tc>
          <w:p w14:paraId="6446C0D6">
            <w:pPr>
              <w:pStyle w:val="24"/>
            </w:pPr>
            <w:r>
              <w:rPr>
                <w:rFonts w:hint="eastAsia"/>
              </w:rPr>
              <w:t>完全响应。接受试运行期顺延与重算规则</w:t>
            </w:r>
          </w:p>
        </w:tc>
        <w:tc>
          <w:p w14:paraId="14059330">
            <w:pPr>
              <w:pStyle w:val="24"/>
            </w:pPr>
            <w:r>
              <w:rPr>
                <w:rFonts w:hint="eastAsia"/>
              </w:rPr>
              <w:t>无偏离</w:t>
            </w:r>
          </w:p>
        </w:tc>
      </w:tr>
      <w:bookmarkEnd w:id="2"/>
    </w:tbl>
    <w:p w14:paraId="74F71519">
      <w:pPr>
        <w:pStyle w:val="4"/>
      </w:pPr>
      <w:bookmarkStart w:id="3" w:name="三服务期限与人力投入"/>
      <w:r>
        <w:rPr>
          <w:rFonts w:hint="eastAsia"/>
        </w:rPr>
        <w:t>三、服务期限与人力投入</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1801"/>
        <w:gridCol w:w="1801"/>
        <w:gridCol w:w="1801"/>
        <w:gridCol w:w="1801"/>
      </w:tblGrid>
      <w:tr w14:paraId="6515D670">
        <w:trPr>
          <w:tblHeader/>
        </w:trPr>
        <w:tc>
          <w:p w14:paraId="3AE9CB71">
            <w:pPr>
              <w:pStyle w:val="24"/>
            </w:pPr>
            <w:r>
              <w:rPr>
                <w:rFonts w:hint="eastAsia"/>
              </w:rPr>
              <w:t>序号</w:t>
            </w:r>
          </w:p>
        </w:tc>
        <w:tc>
          <w:p w14:paraId="5DAB9C15">
            <w:pPr>
              <w:pStyle w:val="24"/>
            </w:pPr>
            <w:r>
              <w:rPr>
                <w:rFonts w:hint="eastAsia"/>
              </w:rPr>
              <w:t>招标文件要求（条款出处）</w:t>
            </w:r>
          </w:p>
        </w:tc>
        <w:tc>
          <w:p w14:paraId="3BEB51A6">
            <w:pPr>
              <w:pStyle w:val="24"/>
            </w:pPr>
            <w:r>
              <w:rPr>
                <w:rFonts w:hint="eastAsia"/>
              </w:rPr>
              <w:t>招标要求内容</w:t>
            </w:r>
          </w:p>
        </w:tc>
        <w:tc>
          <w:p w14:paraId="7B0A5859">
            <w:pPr>
              <w:pStyle w:val="24"/>
            </w:pPr>
            <w:r>
              <w:rPr>
                <w:rFonts w:hint="eastAsia"/>
              </w:rPr>
              <w:t>投标响应内容（对应技术方案章节）</w:t>
            </w:r>
          </w:p>
        </w:tc>
        <w:tc>
          <w:p w14:paraId="1EEDB336">
            <w:pPr>
              <w:pStyle w:val="24"/>
            </w:pPr>
            <w:r>
              <w:rPr>
                <w:rFonts w:hint="eastAsia"/>
              </w:rPr>
              <w:t>偏离情况</w:t>
            </w:r>
          </w:p>
        </w:tc>
      </w:tr>
      <w:tr w14:paraId="17781C02">
        <w:tc>
          <w:p w14:paraId="5FB3BEBE">
            <w:pPr>
              <w:pStyle w:val="24"/>
            </w:pPr>
            <w:r>
              <w:t>8</w:t>
            </w:r>
          </w:p>
        </w:tc>
        <w:tc>
          <w:p w14:paraId="700CBBA9">
            <w:pPr>
              <w:pStyle w:val="24"/>
            </w:pPr>
            <w:r>
              <w:rPr>
                <w:rFonts w:hint="eastAsia"/>
              </w:rPr>
              <w:t>合同第三条</w:t>
            </w:r>
          </w:p>
        </w:tc>
        <w:tc>
          <w:p w14:paraId="261DD76F">
            <w:pPr>
              <w:pStyle w:val="24"/>
            </w:pPr>
            <w:r>
              <w:rPr>
                <w:rFonts w:hint="eastAsia"/>
              </w:rPr>
              <w:t>开发期60日历天，自书面开工通知起算，收到通知后24小时内书面确认</w:t>
            </w:r>
          </w:p>
        </w:tc>
        <w:tc>
          <w:p w14:paraId="2BC60DEC">
            <w:pPr>
              <w:pStyle w:val="24"/>
            </w:pPr>
            <w:r>
              <w:rPr>
                <w:rFonts w:hint="eastAsia"/>
              </w:rPr>
              <w:t>完全响应。第六章承诺60日历天内完成开发部署并具备上线条件，收到通知后24小时内书面确认</w:t>
            </w:r>
          </w:p>
        </w:tc>
        <w:tc>
          <w:p w14:paraId="51575F5A">
            <w:pPr>
              <w:pStyle w:val="24"/>
            </w:pPr>
            <w:r>
              <w:rPr>
                <w:rFonts w:hint="eastAsia"/>
              </w:rPr>
              <w:t>无偏离</w:t>
            </w:r>
          </w:p>
        </w:tc>
      </w:tr>
      <w:tr w14:paraId="047A2E25">
        <w:tc>
          <w:p w14:paraId="32102C12">
            <w:pPr>
              <w:pStyle w:val="24"/>
            </w:pPr>
            <w:r>
              <w:t>9</w:t>
            </w:r>
          </w:p>
        </w:tc>
        <w:tc>
          <w:p w14:paraId="6043BF53">
            <w:pPr>
              <w:pStyle w:val="24"/>
            </w:pPr>
            <w:r>
              <w:rPr>
                <w:rFonts w:hint="eastAsia"/>
              </w:rPr>
              <w:t>合同第三条</w:t>
            </w:r>
          </w:p>
        </w:tc>
        <w:tc>
          <w:p w14:paraId="70D1DB2C">
            <w:pPr>
              <w:pStyle w:val="24"/>
            </w:pPr>
            <w:r>
              <w:rPr>
                <w:rFonts w:hint="eastAsia"/>
              </w:rPr>
              <w:t>研发服务总人月数不少于37人月</w:t>
            </w:r>
          </w:p>
        </w:tc>
        <w:tc>
          <w:p w14:paraId="55A9BF76">
            <w:pPr>
              <w:pStyle w:val="24"/>
            </w:pPr>
            <w:r>
              <w:rPr>
                <w:rFonts w:hint="eastAsia"/>
              </w:rPr>
              <w:t>完全响应。投入不少于37人月，第三章</w:t>
            </w:r>
            <w:r>
              <w:t xml:space="preserve"> 3.2 </w:t>
            </w:r>
            <w:r>
              <w:rPr>
                <w:rFonts w:hint="eastAsia"/>
              </w:rPr>
              <w:t>给出人员配置与人月投入分解表</w:t>
            </w:r>
          </w:p>
        </w:tc>
        <w:tc>
          <w:p w14:paraId="22B77AEB">
            <w:pPr>
              <w:pStyle w:val="24"/>
            </w:pPr>
            <w:r>
              <w:rPr>
                <w:rFonts w:hint="eastAsia"/>
              </w:rPr>
              <w:t>无偏离</w:t>
            </w:r>
          </w:p>
        </w:tc>
      </w:tr>
      <w:tr w14:paraId="49E1F010">
        <w:tc>
          <w:p w14:paraId="6F74539C">
            <w:pPr>
              <w:pStyle w:val="24"/>
            </w:pPr>
            <w:r>
              <w:t>10</w:t>
            </w:r>
          </w:p>
        </w:tc>
        <w:tc>
          <w:p w14:paraId="1F1A3C9A">
            <w:pPr>
              <w:pStyle w:val="24"/>
            </w:pPr>
            <w:r>
              <w:rPr>
                <w:rFonts w:hint="eastAsia"/>
              </w:rPr>
              <w:t>投标函附录/须知前附表</w:t>
            </w:r>
          </w:p>
        </w:tc>
        <w:tc>
          <w:p w14:paraId="50D81961">
            <w:pPr>
              <w:pStyle w:val="24"/>
            </w:pPr>
            <w:r>
              <w:rPr>
                <w:rFonts w:hint="eastAsia"/>
              </w:rPr>
              <w:t>软件免费运维期6年，自最终验收合格之日起算</w:t>
            </w:r>
          </w:p>
        </w:tc>
        <w:tc>
          <w:p w14:paraId="20128EEF">
            <w:pPr>
              <w:pStyle w:val="24"/>
            </w:pPr>
            <w:r>
              <w:rPr>
                <w:rFonts w:hint="eastAsia"/>
              </w:rPr>
              <w:t>完全响应，并额外承诺六年期内每年提供不少于约定次数的专项巡检与优化（见第五、六章）</w:t>
            </w:r>
          </w:p>
        </w:tc>
        <w:tc>
          <w:p w14:paraId="1721A162">
            <w:pPr>
              <w:pStyle w:val="24"/>
            </w:pPr>
            <w:r>
              <w:rPr>
                <w:rFonts w:hint="eastAsia"/>
                <w:b/>
                <w:bCs/>
              </w:rPr>
              <w:t>正偏离</w:t>
            </w:r>
          </w:p>
        </w:tc>
      </w:tr>
      <w:tr w14:paraId="6D5BDF57">
        <w:tc>
          <w:p w14:paraId="1B0FC579">
            <w:pPr>
              <w:pStyle w:val="24"/>
            </w:pPr>
            <w:r>
              <w:t>11</w:t>
            </w:r>
          </w:p>
        </w:tc>
        <w:tc>
          <w:p w14:paraId="2FCF85A8">
            <w:pPr>
              <w:pStyle w:val="24"/>
            </w:pPr>
            <w:r>
              <w:rPr>
                <w:rFonts w:hint="eastAsia"/>
              </w:rPr>
              <w:t>投标函附录</w:t>
            </w:r>
          </w:p>
        </w:tc>
        <w:tc>
          <w:p w14:paraId="1DCEFB22">
            <w:pPr>
              <w:pStyle w:val="24"/>
            </w:pPr>
            <w:r>
              <w:rPr>
                <w:rFonts w:hint="eastAsia"/>
              </w:rPr>
              <w:t>服务期限：自合同签订生效之日起至运维服务期结束</w:t>
            </w:r>
          </w:p>
        </w:tc>
        <w:tc>
          <w:p w14:paraId="4BF067FE">
            <w:pPr>
              <w:pStyle w:val="24"/>
            </w:pPr>
            <w:r>
              <w:rPr>
                <w:rFonts w:hint="eastAsia"/>
              </w:rPr>
              <w:t>完全响应</w:t>
            </w:r>
          </w:p>
        </w:tc>
        <w:tc>
          <w:p w14:paraId="1BFC632B">
            <w:pPr>
              <w:pStyle w:val="24"/>
            </w:pPr>
            <w:r>
              <w:rPr>
                <w:rFonts w:hint="eastAsia"/>
              </w:rPr>
              <w:t>无偏离</w:t>
            </w:r>
          </w:p>
        </w:tc>
      </w:tr>
      <w:bookmarkEnd w:id="3"/>
    </w:tbl>
    <w:p w14:paraId="387A9201">
      <w:pPr>
        <w:pStyle w:val="4"/>
      </w:pPr>
      <w:bookmarkStart w:id="4" w:name="四服务要求与运维服务标准"/>
      <w:r>
        <w:rPr>
          <w:rFonts w:hint="eastAsia"/>
        </w:rPr>
        <w:t>四、服务要求与运维服务标准</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1801"/>
        <w:gridCol w:w="1801"/>
        <w:gridCol w:w="1801"/>
        <w:gridCol w:w="1801"/>
      </w:tblGrid>
      <w:tr w14:paraId="13E25311">
        <w:trPr>
          <w:tblHeader/>
        </w:trPr>
        <w:tc>
          <w:p w14:paraId="20C93958">
            <w:pPr>
              <w:pStyle w:val="24"/>
            </w:pPr>
            <w:r>
              <w:rPr>
                <w:rFonts w:hint="eastAsia"/>
              </w:rPr>
              <w:t>序号</w:t>
            </w:r>
          </w:p>
        </w:tc>
        <w:tc>
          <w:p w14:paraId="1291F36A">
            <w:pPr>
              <w:pStyle w:val="24"/>
            </w:pPr>
            <w:r>
              <w:rPr>
                <w:rFonts w:hint="eastAsia"/>
              </w:rPr>
              <w:t>招标文件要求（条款出处）</w:t>
            </w:r>
          </w:p>
        </w:tc>
        <w:tc>
          <w:p w14:paraId="028B6F4B">
            <w:pPr>
              <w:pStyle w:val="24"/>
            </w:pPr>
            <w:r>
              <w:rPr>
                <w:rFonts w:hint="eastAsia"/>
              </w:rPr>
              <w:t>招标要求内容</w:t>
            </w:r>
          </w:p>
        </w:tc>
        <w:tc>
          <w:p w14:paraId="2A7582CD">
            <w:pPr>
              <w:pStyle w:val="24"/>
            </w:pPr>
            <w:r>
              <w:rPr>
                <w:rFonts w:hint="eastAsia"/>
              </w:rPr>
              <w:t>投标响应内容（对应技术方案章节）</w:t>
            </w:r>
          </w:p>
        </w:tc>
        <w:tc>
          <w:p w14:paraId="0E4C2955">
            <w:pPr>
              <w:pStyle w:val="24"/>
            </w:pPr>
            <w:r>
              <w:rPr>
                <w:rFonts w:hint="eastAsia"/>
              </w:rPr>
              <w:t>偏离情况</w:t>
            </w:r>
          </w:p>
        </w:tc>
      </w:tr>
      <w:tr w14:paraId="04C8DADF">
        <w:tc>
          <w:p w14:paraId="17DA848D">
            <w:pPr>
              <w:pStyle w:val="24"/>
            </w:pPr>
            <w:r>
              <w:t>12</w:t>
            </w:r>
          </w:p>
        </w:tc>
        <w:tc>
          <w:p w14:paraId="207C9625">
            <w:pPr>
              <w:pStyle w:val="24"/>
            </w:pPr>
            <w:r>
              <w:rPr>
                <w:rFonts w:hint="eastAsia"/>
              </w:rPr>
              <w:t>第五章3.服务要求（1）</w:t>
            </w:r>
          </w:p>
        </w:tc>
        <w:tc>
          <w:p w14:paraId="6103BE89">
            <w:pPr>
              <w:pStyle w:val="24"/>
            </w:pPr>
            <w:r>
              <w:rPr>
                <w:rFonts w:hint="eastAsia"/>
              </w:rPr>
              <w:t>在甲方指定地点办公，工作时间按甲方要求</w:t>
            </w:r>
          </w:p>
        </w:tc>
        <w:tc>
          <w:p w14:paraId="0F6E9C29">
            <w:pPr>
              <w:pStyle w:val="24"/>
            </w:pPr>
            <w:r>
              <w:rPr>
                <w:rFonts w:hint="eastAsia"/>
              </w:rPr>
              <w:t>完全响应（见第三、五章）</w:t>
            </w:r>
          </w:p>
        </w:tc>
        <w:tc>
          <w:p w14:paraId="16116D1A">
            <w:pPr>
              <w:pStyle w:val="24"/>
            </w:pPr>
            <w:r>
              <w:rPr>
                <w:rFonts w:hint="eastAsia"/>
              </w:rPr>
              <w:t>无偏离</w:t>
            </w:r>
          </w:p>
        </w:tc>
      </w:tr>
      <w:tr w14:paraId="73C4496D">
        <w:tc>
          <w:p w14:paraId="3151B0C2">
            <w:pPr>
              <w:pStyle w:val="24"/>
            </w:pPr>
            <w:r>
              <w:t>13</w:t>
            </w:r>
          </w:p>
        </w:tc>
        <w:tc>
          <w:p w14:paraId="45CAE32B">
            <w:pPr>
              <w:pStyle w:val="24"/>
            </w:pPr>
            <w:r>
              <w:rPr>
                <w:rFonts w:hint="eastAsia"/>
              </w:rPr>
              <w:t>第五章3.服务要求（2）/附件3</w:t>
            </w:r>
          </w:p>
        </w:tc>
        <w:tc>
          <w:p w14:paraId="6F3EAEB6">
            <w:pPr>
              <w:pStyle w:val="24"/>
            </w:pPr>
            <w:r>
              <w:rPr>
                <w:rFonts w:hint="eastAsia"/>
              </w:rPr>
              <w:t>远程服务：热线电话、网络支持、邮件报送，7×24小时响应</w:t>
            </w:r>
          </w:p>
        </w:tc>
        <w:tc>
          <w:p w14:paraId="562C7A0D">
            <w:pPr>
              <w:pStyle w:val="24"/>
            </w:pPr>
            <w:r>
              <w:rPr>
                <w:rFonts w:hint="eastAsia"/>
              </w:rPr>
              <w:t>完全响应，并额外提供公司后方专家（架构、数据库、安全）远程二线支撑（见第五章</w:t>
            </w:r>
            <w:r>
              <w:t xml:space="preserve"> </w:t>
            </w:r>
            <w:r>
              <w:rPr>
                <w:rFonts w:hint="eastAsia"/>
              </w:rPr>
              <w:t>5.3、5.4）</w:t>
            </w:r>
          </w:p>
        </w:tc>
        <w:tc>
          <w:p w14:paraId="00EEDC7D">
            <w:pPr>
              <w:pStyle w:val="24"/>
            </w:pPr>
            <w:r>
              <w:rPr>
                <w:rFonts w:hint="eastAsia"/>
                <w:b/>
                <w:bCs/>
              </w:rPr>
              <w:t>正偏离</w:t>
            </w:r>
          </w:p>
        </w:tc>
      </w:tr>
      <w:tr w14:paraId="6CFBEE29">
        <w:tc>
          <w:p w14:paraId="44374E9E">
            <w:pPr>
              <w:pStyle w:val="24"/>
            </w:pPr>
            <w:r>
              <w:t>14</w:t>
            </w:r>
          </w:p>
        </w:tc>
        <w:tc>
          <w:p w14:paraId="06F74053">
            <w:pPr>
              <w:pStyle w:val="24"/>
            </w:pPr>
            <w:r>
              <w:rPr>
                <w:rFonts w:hint="eastAsia"/>
              </w:rPr>
              <w:t>第五章3.服务要求（3）</w:t>
            </w:r>
          </w:p>
        </w:tc>
        <w:tc>
          <w:p w14:paraId="20E5DD4E">
            <w:pPr>
              <w:pStyle w:val="24"/>
            </w:pPr>
            <w:r>
              <w:rPr>
                <w:rFonts w:hint="eastAsia"/>
              </w:rPr>
              <w:t>配备经甲方认可的技术人员，未经书面同意不得擅自更换</w:t>
            </w:r>
          </w:p>
        </w:tc>
        <w:tc>
          <w:p w14:paraId="2382EC60">
            <w:pPr>
              <w:pStyle w:val="24"/>
            </w:pPr>
            <w:r>
              <w:rPr>
                <w:rFonts w:hint="eastAsia"/>
              </w:rPr>
              <w:t>完全响应。人员更换须经甲方书面同意，替换人员资历不低于原人员（见第三章</w:t>
            </w:r>
            <w:r>
              <w:t xml:space="preserve"> </w:t>
            </w:r>
            <w:r>
              <w:rPr>
                <w:rFonts w:hint="eastAsia"/>
              </w:rPr>
              <w:t>3.2）</w:t>
            </w:r>
          </w:p>
        </w:tc>
        <w:tc>
          <w:p w14:paraId="34709E98">
            <w:pPr>
              <w:pStyle w:val="24"/>
            </w:pPr>
            <w:r>
              <w:rPr>
                <w:rFonts w:hint="eastAsia"/>
              </w:rPr>
              <w:t>无偏离</w:t>
            </w:r>
          </w:p>
        </w:tc>
      </w:tr>
      <w:tr w14:paraId="4B2B892B">
        <w:tc>
          <w:p w14:paraId="6048D7A2">
            <w:pPr>
              <w:pStyle w:val="24"/>
            </w:pPr>
            <w:r>
              <w:t>15</w:t>
            </w:r>
          </w:p>
        </w:tc>
        <w:tc>
          <w:p w14:paraId="02201F40">
            <w:pPr>
              <w:pStyle w:val="24"/>
            </w:pPr>
            <w:r>
              <w:rPr>
                <w:rFonts w:hint="eastAsia"/>
              </w:rPr>
              <w:t>附件3三、服务质量标准</w:t>
            </w:r>
          </w:p>
        </w:tc>
        <w:tc>
          <w:p w14:paraId="4F093453">
            <w:pPr>
              <w:pStyle w:val="24"/>
            </w:pPr>
            <w:r>
              <w:rPr>
                <w:rFonts w:hint="eastAsia"/>
              </w:rPr>
              <w:t>紧急故障10分钟内响应</w:t>
            </w:r>
          </w:p>
        </w:tc>
        <w:tc>
          <w:p w14:paraId="4AA556D2">
            <w:pPr>
              <w:pStyle w:val="24"/>
            </w:pPr>
            <w:r>
              <w:rPr>
                <w:rFonts w:hint="eastAsia"/>
              </w:rPr>
              <w:t>完全响应。第五章</w:t>
            </w:r>
            <w:r>
              <w:t xml:space="preserve"> 5.4 </w:t>
            </w:r>
            <w:r>
              <w:rPr>
                <w:rFonts w:hint="eastAsia"/>
              </w:rPr>
              <w:t>建立故障分级响应机制，紧急故障10分钟内响应</w:t>
            </w:r>
          </w:p>
        </w:tc>
        <w:tc>
          <w:p w14:paraId="4674B6F2">
            <w:pPr>
              <w:pStyle w:val="24"/>
            </w:pPr>
            <w:r>
              <w:rPr>
                <w:rFonts w:hint="eastAsia"/>
              </w:rPr>
              <w:t>无偏离</w:t>
            </w:r>
          </w:p>
        </w:tc>
      </w:tr>
      <w:tr w14:paraId="73A073B5">
        <w:tc>
          <w:p w14:paraId="78730C64">
            <w:pPr>
              <w:pStyle w:val="24"/>
            </w:pPr>
            <w:r>
              <w:t>16</w:t>
            </w:r>
          </w:p>
        </w:tc>
        <w:tc>
          <w:p w14:paraId="60125252">
            <w:pPr>
              <w:pStyle w:val="24"/>
            </w:pPr>
            <w:r>
              <w:rPr>
                <w:rFonts w:hint="eastAsia"/>
              </w:rPr>
              <w:t>附件3三、服务质量标准</w:t>
            </w:r>
          </w:p>
        </w:tc>
        <w:tc>
          <w:p w14:paraId="54A747C4">
            <w:pPr>
              <w:pStyle w:val="24"/>
            </w:pPr>
            <w:r>
              <w:rPr>
                <w:rFonts w:hint="eastAsia"/>
              </w:rPr>
              <w:t>一般故障2小时内响应</w:t>
            </w:r>
          </w:p>
        </w:tc>
        <w:tc>
          <w:p w14:paraId="2AC257A0">
            <w:pPr>
              <w:pStyle w:val="24"/>
            </w:pPr>
            <w:r>
              <w:rPr>
                <w:rFonts w:hint="eastAsia"/>
              </w:rPr>
              <w:t>完全响应。一般故障2小时内响应并提供处置流程（见第五章</w:t>
            </w:r>
            <w:r>
              <w:t xml:space="preserve"> </w:t>
            </w:r>
            <w:r>
              <w:rPr>
                <w:rFonts w:hint="eastAsia"/>
              </w:rPr>
              <w:t>5.4）</w:t>
            </w:r>
          </w:p>
        </w:tc>
        <w:tc>
          <w:p w14:paraId="014D049B">
            <w:pPr>
              <w:pStyle w:val="24"/>
            </w:pPr>
            <w:r>
              <w:rPr>
                <w:rFonts w:hint="eastAsia"/>
              </w:rPr>
              <w:t>无偏离</w:t>
            </w:r>
          </w:p>
        </w:tc>
      </w:tr>
      <w:tr w14:paraId="74B440DA">
        <w:tc>
          <w:p w14:paraId="79BEC05D">
            <w:pPr>
              <w:pStyle w:val="24"/>
            </w:pPr>
            <w:r>
              <w:t>17</w:t>
            </w:r>
          </w:p>
        </w:tc>
        <w:tc>
          <w:p w14:paraId="2C53FBD8">
            <w:pPr>
              <w:pStyle w:val="24"/>
            </w:pPr>
            <w:r>
              <w:rPr>
                <w:rFonts w:hint="eastAsia"/>
              </w:rPr>
              <w:t>附件3二、故障等级划分</w:t>
            </w:r>
          </w:p>
        </w:tc>
        <w:tc>
          <w:p w14:paraId="520496B4">
            <w:pPr>
              <w:pStyle w:val="24"/>
            </w:pPr>
            <w:r>
              <w:rPr>
                <w:rFonts w:hint="eastAsia"/>
              </w:rPr>
              <w:t>按级划分故障</w:t>
            </w:r>
          </w:p>
        </w:tc>
        <w:tc>
          <w:p w14:paraId="57841274">
            <w:pPr>
              <w:pStyle w:val="24"/>
            </w:pPr>
            <w:r>
              <w:rPr>
                <w:rFonts w:hint="eastAsia"/>
              </w:rPr>
              <w:t>完全响应。运维按故障分级响应、分级处置（见第五章</w:t>
            </w:r>
            <w:r>
              <w:t xml:space="preserve"> </w:t>
            </w:r>
            <w:r>
              <w:rPr>
                <w:rFonts w:hint="eastAsia"/>
              </w:rPr>
              <w:t>5.4）</w:t>
            </w:r>
          </w:p>
        </w:tc>
        <w:tc>
          <w:p w14:paraId="0FB6F52F">
            <w:pPr>
              <w:pStyle w:val="24"/>
            </w:pPr>
            <w:r>
              <w:rPr>
                <w:rFonts w:hint="eastAsia"/>
              </w:rPr>
              <w:t>无偏离</w:t>
            </w:r>
          </w:p>
        </w:tc>
      </w:tr>
      <w:tr w14:paraId="514EA1BF">
        <w:tc>
          <w:p w14:paraId="59E19836">
            <w:pPr>
              <w:pStyle w:val="24"/>
            </w:pPr>
            <w:r>
              <w:t>18</w:t>
            </w:r>
          </w:p>
        </w:tc>
        <w:tc>
          <w:p w14:paraId="5EF738DE">
            <w:pPr>
              <w:pStyle w:val="24"/>
            </w:pPr>
            <w:r>
              <w:rPr>
                <w:rFonts w:hint="eastAsia"/>
              </w:rPr>
              <w:t>附件3四、日常报送</w:t>
            </w:r>
          </w:p>
        </w:tc>
        <w:tc>
          <w:p w14:paraId="574A886E">
            <w:pPr>
              <w:pStyle w:val="24"/>
            </w:pPr>
            <w:r>
              <w:rPr>
                <w:rFonts w:hint="eastAsia"/>
              </w:rPr>
              <w:t>完成故障处理后填写故障处理记录台账；建立周运维报送机制</w:t>
            </w:r>
          </w:p>
        </w:tc>
        <w:tc>
          <w:p w14:paraId="17FB4FA5">
            <w:pPr>
              <w:pStyle w:val="24"/>
            </w:pPr>
            <w:r>
              <w:rPr>
                <w:rFonts w:hint="eastAsia"/>
              </w:rPr>
              <w:t>完全响应。第五章</w:t>
            </w:r>
            <w:r>
              <w:t xml:space="preserve"> 5.11 </w:t>
            </w:r>
            <w:r>
              <w:rPr>
                <w:rFonts w:hint="eastAsia"/>
              </w:rPr>
              <w:t>提供故障处理记录与日/周报机制，重大故障/安全事件先行口头通报后出具专报</w:t>
            </w:r>
          </w:p>
        </w:tc>
        <w:tc>
          <w:p w14:paraId="0D254760">
            <w:pPr>
              <w:pStyle w:val="24"/>
            </w:pPr>
            <w:r>
              <w:rPr>
                <w:rFonts w:hint="eastAsia"/>
                <w:b/>
                <w:bCs/>
              </w:rPr>
              <w:t>正偏离</w:t>
            </w:r>
          </w:p>
        </w:tc>
      </w:tr>
      <w:tr w14:paraId="291FF598">
        <w:tc>
          <w:p w14:paraId="0A62B64A">
            <w:pPr>
              <w:pStyle w:val="24"/>
            </w:pPr>
            <w:r>
              <w:t>19</w:t>
            </w:r>
          </w:p>
        </w:tc>
        <w:tc>
          <w:p w14:paraId="55F1D9B1">
            <w:pPr>
              <w:pStyle w:val="24"/>
            </w:pPr>
            <w:r>
              <w:rPr>
                <w:rFonts w:hint="eastAsia"/>
              </w:rPr>
              <w:t>附件3四、日常报送</w:t>
            </w:r>
          </w:p>
        </w:tc>
        <w:tc>
          <w:p w14:paraId="4C683285">
            <w:pPr>
              <w:pStyle w:val="24"/>
            </w:pPr>
            <w:r>
              <w:rPr>
                <w:rFonts w:hint="eastAsia"/>
              </w:rPr>
              <w:t>每月末前两个工作日填写月度运维报告，邮件报送备案</w:t>
            </w:r>
          </w:p>
        </w:tc>
        <w:tc>
          <w:p w14:paraId="61C88A84">
            <w:pPr>
              <w:pStyle w:val="24"/>
            </w:pPr>
            <w:r>
              <w:rPr>
                <w:rFonts w:hint="eastAsia"/>
              </w:rPr>
              <w:t>完全响应。月度运维报告按期报送，并增加恢复演练报告与年度服务总结（见第五章</w:t>
            </w:r>
            <w:r>
              <w:t xml:space="preserve"> </w:t>
            </w:r>
            <w:r>
              <w:rPr>
                <w:rFonts w:hint="eastAsia"/>
              </w:rPr>
              <w:t>5.11、5.12）</w:t>
            </w:r>
          </w:p>
        </w:tc>
        <w:tc>
          <w:p w14:paraId="2C12E4E0">
            <w:pPr>
              <w:pStyle w:val="24"/>
            </w:pPr>
            <w:r>
              <w:rPr>
                <w:rFonts w:hint="eastAsia"/>
                <w:b/>
                <w:bCs/>
              </w:rPr>
              <w:t>正偏离</w:t>
            </w:r>
          </w:p>
        </w:tc>
      </w:tr>
      <w:tr w14:paraId="6CE4D7DB">
        <w:tc>
          <w:p w14:paraId="21B057BC">
            <w:pPr>
              <w:pStyle w:val="24"/>
            </w:pPr>
            <w:r>
              <w:t>20</w:t>
            </w:r>
          </w:p>
        </w:tc>
        <w:tc>
          <w:p w14:paraId="4B8B989D">
            <w:pPr>
              <w:pStyle w:val="24"/>
            </w:pPr>
            <w:r>
              <w:rPr>
                <w:rFonts w:hint="eastAsia"/>
              </w:rPr>
              <w:t>附件3五、驻场人员要求</w:t>
            </w:r>
          </w:p>
        </w:tc>
        <w:tc>
          <w:p w14:paraId="3017CF65">
            <w:pPr>
              <w:pStyle w:val="24"/>
            </w:pPr>
            <w:r>
              <w:rPr>
                <w:rFonts w:hint="eastAsia"/>
              </w:rPr>
              <w:t>驻场人员满足考勤要求并接受月度考核；不满足甲方有权要求更换</w:t>
            </w:r>
          </w:p>
        </w:tc>
        <w:tc>
          <w:p w14:paraId="6C0723F4">
            <w:pPr>
              <w:pStyle w:val="24"/>
            </w:pPr>
            <w:r>
              <w:rPr>
                <w:rFonts w:hint="eastAsia"/>
              </w:rPr>
              <w:t>完全响应。接受甲方考勤与月度考核（见第五章</w:t>
            </w:r>
            <w:r>
              <w:t xml:space="preserve"> 5.10 </w:t>
            </w:r>
            <w:r>
              <w:rPr>
                <w:rFonts w:hint="eastAsia"/>
              </w:rPr>
              <w:t>指标考核）</w:t>
            </w:r>
          </w:p>
        </w:tc>
        <w:tc>
          <w:p w14:paraId="1E4D5202">
            <w:pPr>
              <w:pStyle w:val="24"/>
            </w:pPr>
            <w:r>
              <w:rPr>
                <w:rFonts w:hint="eastAsia"/>
              </w:rPr>
              <w:t>无偏离</w:t>
            </w:r>
          </w:p>
        </w:tc>
      </w:tr>
      <w:tr w14:paraId="23BD9C7C">
        <w:tc>
          <w:p w14:paraId="2A4815A4">
            <w:pPr>
              <w:pStyle w:val="24"/>
            </w:pPr>
            <w:r>
              <w:t>21</w:t>
            </w:r>
          </w:p>
        </w:tc>
        <w:tc>
          <w:p w14:paraId="613CB0CE">
            <w:pPr>
              <w:pStyle w:val="24"/>
            </w:pPr>
            <w:r>
              <w:rPr>
                <w:rFonts w:hint="eastAsia"/>
              </w:rPr>
              <w:t>附件3五、驻场人员要求</w:t>
            </w:r>
          </w:p>
        </w:tc>
        <w:tc>
          <w:p w14:paraId="74935431">
            <w:pPr>
              <w:pStyle w:val="24"/>
            </w:pPr>
            <w:r>
              <w:rPr>
                <w:rFonts w:hint="eastAsia"/>
              </w:rPr>
              <w:t>驻场时间与免费运维期一致，自初步验收合格起至免费运维期届满</w:t>
            </w:r>
          </w:p>
        </w:tc>
        <w:tc>
          <w:p w14:paraId="36A80A10">
            <w:pPr>
              <w:pStyle w:val="24"/>
            </w:pPr>
            <w:r>
              <w:rPr>
                <w:rFonts w:hint="eastAsia"/>
              </w:rPr>
              <w:t>完全响应</w:t>
            </w:r>
          </w:p>
        </w:tc>
        <w:tc>
          <w:p w14:paraId="72F04197">
            <w:pPr>
              <w:pStyle w:val="24"/>
            </w:pPr>
            <w:r>
              <w:rPr>
                <w:rFonts w:hint="eastAsia"/>
              </w:rPr>
              <w:t>无偏离</w:t>
            </w:r>
          </w:p>
        </w:tc>
      </w:tr>
      <w:tr w14:paraId="43367C7C">
        <w:tc>
          <w:p w14:paraId="4D926339">
            <w:pPr>
              <w:pStyle w:val="24"/>
            </w:pPr>
            <w:r>
              <w:t>22</w:t>
            </w:r>
          </w:p>
        </w:tc>
        <w:tc>
          <w:p w14:paraId="58EB88B7">
            <w:pPr>
              <w:pStyle w:val="24"/>
            </w:pPr>
            <w:r>
              <w:rPr>
                <w:rFonts w:hint="eastAsia"/>
              </w:rPr>
              <w:t>附件3五、工作要求</w:t>
            </w:r>
          </w:p>
        </w:tc>
        <w:tc>
          <w:p w14:paraId="29F5E8DD">
            <w:pPr>
              <w:pStyle w:val="24"/>
            </w:pPr>
            <w:r>
              <w:rPr>
                <w:rFonts w:hint="eastAsia"/>
              </w:rPr>
              <w:t>常态化培训、基础信息维护、日常巡检、编制巡检/故障报表及其他工作</w:t>
            </w:r>
          </w:p>
        </w:tc>
        <w:tc>
          <w:p w14:paraId="246BFA67">
            <w:pPr>
              <w:pStyle w:val="24"/>
            </w:pPr>
            <w:r>
              <w:rPr>
                <w:rFonts w:hint="eastAsia"/>
              </w:rPr>
              <w:t>完全响应。第五章制定常态化培训、日/周/月巡检清单与报表模板（5.5、5.11）</w:t>
            </w:r>
          </w:p>
        </w:tc>
        <w:tc>
          <w:p w14:paraId="226C00AF">
            <w:pPr>
              <w:pStyle w:val="24"/>
            </w:pPr>
            <w:r>
              <w:rPr>
                <w:rFonts w:hint="eastAsia"/>
              </w:rPr>
              <w:t>无偏离</w:t>
            </w:r>
          </w:p>
        </w:tc>
      </w:tr>
      <w:tr w14:paraId="63E57553">
        <w:tc>
          <w:p w14:paraId="1AABC0EE">
            <w:pPr>
              <w:pStyle w:val="24"/>
            </w:pPr>
            <w:r>
              <w:t>23</w:t>
            </w:r>
          </w:p>
        </w:tc>
        <w:tc>
          <w:p w14:paraId="1E459B23">
            <w:pPr>
              <w:pStyle w:val="24"/>
            </w:pPr>
            <w:r>
              <w:rPr>
                <w:rFonts w:hint="eastAsia"/>
              </w:rPr>
              <w:t>附件3五、技术要求</w:t>
            </w:r>
          </w:p>
        </w:tc>
        <w:tc>
          <w:p w14:paraId="01AA2506">
            <w:pPr>
              <w:pStyle w:val="24"/>
            </w:pPr>
            <w:r>
              <w:rPr>
                <w:rFonts w:hint="eastAsia"/>
              </w:rPr>
              <w:t>三年以上系统运维及管理经验；独立承担任务与进度把控；良好沟通与服务意识</w:t>
            </w:r>
          </w:p>
        </w:tc>
        <w:tc>
          <w:p w14:paraId="79041443">
            <w:pPr>
              <w:pStyle w:val="24"/>
            </w:pPr>
            <w:r>
              <w:rPr>
                <w:rFonts w:hint="eastAsia"/>
              </w:rPr>
              <w:t>完全响应。拟派人员满足全部技术要求，证明材料见商务部分</w:t>
            </w:r>
          </w:p>
        </w:tc>
        <w:tc>
          <w:p w14:paraId="0D6041FF">
            <w:pPr>
              <w:pStyle w:val="24"/>
            </w:pPr>
            <w:r>
              <w:rPr>
                <w:rFonts w:hint="eastAsia"/>
              </w:rPr>
              <w:t>无偏离</w:t>
            </w:r>
          </w:p>
        </w:tc>
      </w:tr>
      <w:tr w14:paraId="1152BA88">
        <w:tc>
          <w:p w14:paraId="45D7B00E">
            <w:pPr>
              <w:pStyle w:val="24"/>
            </w:pPr>
            <w:r>
              <w:t>24</w:t>
            </w:r>
          </w:p>
        </w:tc>
        <w:tc>
          <w:p w14:paraId="1CD835C0">
            <w:pPr>
              <w:pStyle w:val="24"/>
            </w:pPr>
            <w:r>
              <w:rPr>
                <w:rFonts w:hint="eastAsia"/>
              </w:rPr>
              <w:t>合同通用条款</w:t>
            </w:r>
          </w:p>
        </w:tc>
        <w:tc>
          <w:p w14:paraId="192795F7">
            <w:pPr>
              <w:pStyle w:val="24"/>
            </w:pPr>
            <w:r>
              <w:rPr>
                <w:rFonts w:hint="eastAsia"/>
              </w:rPr>
              <w:t>建立服务台账，记录文件、方案、进展、汇报，配合监督检查与绩效评价</w:t>
            </w:r>
          </w:p>
        </w:tc>
        <w:tc>
          <w:p w14:paraId="5BB5846C">
            <w:pPr>
              <w:pStyle w:val="24"/>
            </w:pPr>
            <w:r>
              <w:rPr>
                <w:rFonts w:hint="eastAsia"/>
              </w:rPr>
              <w:t>完全响应。第五章建立完整运维台账并接受甲方检查</w:t>
            </w:r>
          </w:p>
        </w:tc>
        <w:tc>
          <w:p w14:paraId="52D90236">
            <w:pPr>
              <w:pStyle w:val="24"/>
            </w:pPr>
            <w:r>
              <w:rPr>
                <w:rFonts w:hint="eastAsia"/>
              </w:rPr>
              <w:t>无偏离</w:t>
            </w:r>
          </w:p>
        </w:tc>
      </w:tr>
      <w:tr w14:paraId="67EC1F34">
        <w:tc>
          <w:p w14:paraId="30599E7E">
            <w:pPr>
              <w:pStyle w:val="24"/>
            </w:pPr>
            <w:r>
              <w:t>25</w:t>
            </w:r>
          </w:p>
        </w:tc>
        <w:tc>
          <w:p w14:paraId="40406260">
            <w:pPr>
              <w:pStyle w:val="24"/>
            </w:pPr>
            <w:r>
              <w:rPr>
                <w:rFonts w:hint="eastAsia"/>
              </w:rPr>
              <w:t>合同专用条款</w:t>
            </w:r>
          </w:p>
        </w:tc>
        <w:tc>
          <w:p w14:paraId="32F3C8BC">
            <w:pPr>
              <w:pStyle w:val="24"/>
            </w:pPr>
            <w:r>
              <w:rPr>
                <w:rFonts w:hint="eastAsia"/>
              </w:rPr>
              <w:t>运维含软件正常运行、问题处理、软件升级、数据服务、安全服务等</w:t>
            </w:r>
          </w:p>
        </w:tc>
        <w:tc>
          <w:p w14:paraId="1BE4F908">
            <w:pPr>
              <w:pStyle w:val="24"/>
            </w:pPr>
            <w:r>
              <w:rPr>
                <w:rFonts w:hint="eastAsia"/>
              </w:rPr>
              <w:t>完全响应。第五章建立涵盖巡检、监控、备份、升级、安全、应急的完整运维体系</w:t>
            </w:r>
          </w:p>
        </w:tc>
        <w:tc>
          <w:p w14:paraId="3921EF9B">
            <w:pPr>
              <w:pStyle w:val="24"/>
            </w:pPr>
            <w:r>
              <w:rPr>
                <w:rFonts w:hint="eastAsia"/>
              </w:rPr>
              <w:t>无偏离</w:t>
            </w:r>
          </w:p>
        </w:tc>
      </w:tr>
      <w:tr w14:paraId="01EBF075">
        <w:tc>
          <w:p w14:paraId="03A46D21">
            <w:pPr>
              <w:pStyle w:val="24"/>
            </w:pPr>
            <w:r>
              <w:t>26</w:t>
            </w:r>
          </w:p>
        </w:tc>
        <w:tc>
          <w:p w14:paraId="5DB1D92C">
            <w:pPr>
              <w:pStyle w:val="24"/>
            </w:pPr>
            <w:r>
              <w:rPr>
                <w:rFonts w:hint="eastAsia"/>
              </w:rPr>
              <w:t>附件3一、软件运维内容</w:t>
            </w:r>
          </w:p>
        </w:tc>
        <w:tc>
          <w:p w14:paraId="16E0CA2D">
            <w:pPr>
              <w:pStyle w:val="24"/>
            </w:pPr>
            <w:r>
              <w:rPr>
                <w:rFonts w:hint="eastAsia"/>
              </w:rPr>
              <w:t>软件功能完善、优化升级、性能调优、例行检查、状态监控、响应支持</w:t>
            </w:r>
          </w:p>
        </w:tc>
        <w:tc>
          <w:p w14:paraId="205908F1">
            <w:pPr>
              <w:pStyle w:val="24"/>
            </w:pPr>
            <w:r>
              <w:rPr>
                <w:rFonts w:hint="eastAsia"/>
              </w:rPr>
              <w:t>完全响应，并额外承诺定期备份校验与恢复演练、高危漏洞限时修复、日志留存达标（见第五章</w:t>
            </w:r>
            <w:r>
              <w:t xml:space="preserve"> </w:t>
            </w:r>
            <w:r>
              <w:rPr>
                <w:rFonts w:hint="eastAsia"/>
              </w:rPr>
              <w:t>5.7、5.9）</w:t>
            </w:r>
          </w:p>
        </w:tc>
        <w:tc>
          <w:p w14:paraId="3A9396C9">
            <w:pPr>
              <w:pStyle w:val="24"/>
            </w:pPr>
            <w:r>
              <w:rPr>
                <w:rFonts w:hint="eastAsia"/>
                <w:b/>
                <w:bCs/>
              </w:rPr>
              <w:t>正偏离</w:t>
            </w:r>
          </w:p>
        </w:tc>
      </w:tr>
      <w:bookmarkEnd w:id="4"/>
    </w:tbl>
    <w:p w14:paraId="5867BC37">
      <w:pPr>
        <w:pStyle w:val="4"/>
      </w:pPr>
      <w:bookmarkStart w:id="5" w:name="五源代码交付与知识产权"/>
      <w:r>
        <w:rPr>
          <w:rFonts w:hint="eastAsia"/>
        </w:rPr>
        <w:t>五、源代码交付与知识产权</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1801"/>
        <w:gridCol w:w="1801"/>
        <w:gridCol w:w="1801"/>
        <w:gridCol w:w="1801"/>
      </w:tblGrid>
      <w:tr w14:paraId="7907AA92">
        <w:trPr>
          <w:tblHeader/>
        </w:trPr>
        <w:tc>
          <w:p w14:paraId="1A014017">
            <w:pPr>
              <w:pStyle w:val="24"/>
            </w:pPr>
            <w:r>
              <w:rPr>
                <w:rFonts w:hint="eastAsia"/>
              </w:rPr>
              <w:t>序号</w:t>
            </w:r>
          </w:p>
        </w:tc>
        <w:tc>
          <w:p w14:paraId="1AFDB524">
            <w:pPr>
              <w:pStyle w:val="24"/>
            </w:pPr>
            <w:r>
              <w:rPr>
                <w:rFonts w:hint="eastAsia"/>
              </w:rPr>
              <w:t>招标文件要求（条款出处）</w:t>
            </w:r>
          </w:p>
        </w:tc>
        <w:tc>
          <w:p w14:paraId="5EB21F94">
            <w:pPr>
              <w:pStyle w:val="24"/>
            </w:pPr>
            <w:r>
              <w:rPr>
                <w:rFonts w:hint="eastAsia"/>
              </w:rPr>
              <w:t>招标要求内容</w:t>
            </w:r>
          </w:p>
        </w:tc>
        <w:tc>
          <w:p w14:paraId="68486314">
            <w:pPr>
              <w:pStyle w:val="24"/>
            </w:pPr>
            <w:r>
              <w:rPr>
                <w:rFonts w:hint="eastAsia"/>
              </w:rPr>
              <w:t>投标响应内容（对应技术方案章节）</w:t>
            </w:r>
          </w:p>
        </w:tc>
        <w:tc>
          <w:p w14:paraId="326A67E8">
            <w:pPr>
              <w:pStyle w:val="24"/>
            </w:pPr>
            <w:r>
              <w:rPr>
                <w:rFonts w:hint="eastAsia"/>
              </w:rPr>
              <w:t>偏离情况</w:t>
            </w:r>
          </w:p>
        </w:tc>
      </w:tr>
      <w:tr w14:paraId="0D7C68B6">
        <w:tc>
          <w:p w14:paraId="55DD0E23">
            <w:pPr>
              <w:pStyle w:val="24"/>
            </w:pPr>
            <w:r>
              <w:t>27</w:t>
            </w:r>
          </w:p>
        </w:tc>
        <w:tc>
          <w:p w14:paraId="76302B52">
            <w:pPr>
              <w:pStyle w:val="24"/>
            </w:pPr>
            <w:r>
              <w:rPr>
                <w:rFonts w:hint="eastAsia"/>
              </w:rPr>
              <w:t>合同专用条款2</w:t>
            </w:r>
          </w:p>
        </w:tc>
        <w:tc>
          <w:p w14:paraId="78EE942E">
            <w:pPr>
              <w:pStyle w:val="24"/>
            </w:pPr>
            <w:r>
              <w:rPr>
                <w:rFonts w:hint="eastAsia"/>
              </w:rPr>
              <w:t>验收完整交付全部源代码，可独立编译、部署，与生产环境一致</w:t>
            </w:r>
          </w:p>
        </w:tc>
        <w:tc>
          <w:p w14:paraId="313F2466">
            <w:pPr>
              <w:pStyle w:val="24"/>
            </w:pPr>
            <w:r>
              <w:rPr>
                <w:rFonts w:hint="eastAsia"/>
              </w:rPr>
              <w:t>完全响应。交付全部源代码及编译部署脚本与说明，保证可独立编译生成与生产一致的可执行文件（见第三章</w:t>
            </w:r>
            <w:r>
              <w:t xml:space="preserve"> 3.13 </w:t>
            </w:r>
            <w:r>
              <w:rPr>
                <w:rFonts w:hint="eastAsia"/>
              </w:rPr>
              <w:t>交付物清单）</w:t>
            </w:r>
          </w:p>
        </w:tc>
        <w:tc>
          <w:p w14:paraId="2A932BE3">
            <w:pPr>
              <w:pStyle w:val="24"/>
            </w:pPr>
            <w:r>
              <w:rPr>
                <w:rFonts w:hint="eastAsia"/>
              </w:rPr>
              <w:t>无偏离</w:t>
            </w:r>
          </w:p>
        </w:tc>
      </w:tr>
      <w:tr w14:paraId="7FC49454">
        <w:tc>
          <w:p w14:paraId="17A718FC">
            <w:pPr>
              <w:pStyle w:val="24"/>
            </w:pPr>
            <w:r>
              <w:t>28</w:t>
            </w:r>
          </w:p>
        </w:tc>
        <w:tc>
          <w:p w14:paraId="6A2B2C4F">
            <w:pPr>
              <w:pStyle w:val="24"/>
            </w:pPr>
            <w:r>
              <w:rPr>
                <w:rFonts w:hint="eastAsia"/>
              </w:rPr>
              <w:t>合同专用条款5</w:t>
            </w:r>
          </w:p>
        </w:tc>
        <w:tc>
          <w:p w14:paraId="04E5B9EB">
            <w:pPr>
              <w:pStyle w:val="24"/>
            </w:pPr>
            <w:r>
              <w:rPr>
                <w:rFonts w:hint="eastAsia"/>
              </w:rPr>
              <w:t>甲方有权功能性验证与代码质量审查；结构清晰、注释完整；不合格无条件修改</w:t>
            </w:r>
          </w:p>
        </w:tc>
        <w:tc>
          <w:p w14:paraId="45E13C6A">
            <w:pPr>
              <w:pStyle w:val="24"/>
            </w:pPr>
            <w:r>
              <w:rPr>
                <w:rFonts w:hint="eastAsia"/>
              </w:rPr>
              <w:t>完全响应。执行统一编码规范与代码评审（第三章</w:t>
            </w:r>
            <w:r>
              <w:t xml:space="preserve"> </w:t>
            </w:r>
            <w:r>
              <w:rPr>
                <w:rFonts w:hint="eastAsia"/>
              </w:rPr>
              <w:t>3.5），接受甲方验证审查</w:t>
            </w:r>
          </w:p>
        </w:tc>
        <w:tc>
          <w:p w14:paraId="4FFA7A73">
            <w:pPr>
              <w:pStyle w:val="24"/>
            </w:pPr>
            <w:r>
              <w:rPr>
                <w:rFonts w:hint="eastAsia"/>
              </w:rPr>
              <w:t>无偏离</w:t>
            </w:r>
          </w:p>
        </w:tc>
      </w:tr>
      <w:tr w14:paraId="2A6B05B2">
        <w:tc>
          <w:p w14:paraId="477EE80A">
            <w:pPr>
              <w:pStyle w:val="24"/>
            </w:pPr>
            <w:r>
              <w:t>29</w:t>
            </w:r>
          </w:p>
        </w:tc>
        <w:tc>
          <w:p w14:paraId="7E17AF9E">
            <w:pPr>
              <w:pStyle w:val="24"/>
            </w:pPr>
            <w:r>
              <w:rPr>
                <w:rFonts w:hint="eastAsia"/>
              </w:rPr>
              <w:t>合同专用条款4</w:t>
            </w:r>
          </w:p>
        </w:tc>
        <w:tc>
          <w:p w14:paraId="656F1073">
            <w:pPr>
              <w:pStyle w:val="24"/>
            </w:pPr>
            <w:r>
              <w:rPr>
                <w:rFonts w:hint="eastAsia"/>
              </w:rPr>
              <w:t>定制开发成果知识产权归甲方，无保留限制甲方使用、修改、再发布</w:t>
            </w:r>
          </w:p>
        </w:tc>
        <w:tc>
          <w:p w14:paraId="62A00B73">
            <w:pPr>
              <w:pStyle w:val="24"/>
            </w:pPr>
            <w:r>
              <w:rPr>
                <w:rFonts w:hint="eastAsia"/>
              </w:rPr>
              <w:t>完全响应。知识产权全部归甲方，不设使用限制</w:t>
            </w:r>
          </w:p>
        </w:tc>
        <w:tc>
          <w:p w14:paraId="436A0B4F">
            <w:pPr>
              <w:pStyle w:val="24"/>
            </w:pPr>
            <w:r>
              <w:rPr>
                <w:rFonts w:hint="eastAsia"/>
              </w:rPr>
              <w:t>无偏离</w:t>
            </w:r>
          </w:p>
        </w:tc>
      </w:tr>
      <w:tr w14:paraId="70D0EE00">
        <w:tc>
          <w:p w14:paraId="12B42A93">
            <w:pPr>
              <w:pStyle w:val="24"/>
            </w:pPr>
            <w:r>
              <w:t>30</w:t>
            </w:r>
          </w:p>
        </w:tc>
        <w:tc>
          <w:p w14:paraId="658BBF97">
            <w:pPr>
              <w:pStyle w:val="24"/>
            </w:pPr>
            <w:r>
              <w:rPr>
                <w:rFonts w:hint="eastAsia"/>
              </w:rPr>
              <w:t>合同专用条款4</w:t>
            </w:r>
          </w:p>
        </w:tc>
        <w:tc>
          <w:p w14:paraId="4C98F21E">
            <w:pPr>
              <w:pStyle w:val="24"/>
            </w:pPr>
            <w:r>
              <w:rPr>
                <w:rFonts w:hint="eastAsia"/>
              </w:rPr>
              <w:t>开源组件书面完整披露，保证不导致甲方专属源代码被要求开源</w:t>
            </w:r>
          </w:p>
        </w:tc>
        <w:tc>
          <w:p w14:paraId="4940C595">
            <w:pPr>
              <w:pStyle w:val="24"/>
            </w:pPr>
            <w:r>
              <w:rPr>
                <w:rFonts w:hint="eastAsia"/>
              </w:rPr>
              <w:t>完全响应。交付开源组件清单及许可证合规说明，所用组件均为宽松许可证，不产生传染性开源义务</w:t>
            </w:r>
          </w:p>
        </w:tc>
        <w:tc>
          <w:p w14:paraId="5B619F53">
            <w:pPr>
              <w:pStyle w:val="24"/>
            </w:pPr>
            <w:r>
              <w:rPr>
                <w:rFonts w:hint="eastAsia"/>
              </w:rPr>
              <w:t>无偏离</w:t>
            </w:r>
          </w:p>
        </w:tc>
      </w:tr>
      <w:tr w14:paraId="4C263D69">
        <w:tc>
          <w:p w14:paraId="3D5AB556">
            <w:pPr>
              <w:pStyle w:val="24"/>
            </w:pPr>
            <w:r>
              <w:t>31</w:t>
            </w:r>
          </w:p>
        </w:tc>
        <w:tc>
          <w:p w14:paraId="6BE5FE31">
            <w:pPr>
              <w:pStyle w:val="24"/>
            </w:pPr>
            <w:r>
              <w:rPr>
                <w:rFonts w:hint="eastAsia"/>
              </w:rPr>
              <w:t>合同专用条款</w:t>
            </w:r>
          </w:p>
        </w:tc>
        <w:tc>
          <w:p w14:paraId="050353CF">
            <w:pPr>
              <w:pStyle w:val="24"/>
            </w:pPr>
            <w:r>
              <w:rPr>
                <w:rFonts w:hint="eastAsia"/>
              </w:rPr>
              <w:t>具备对第三方平台的数据共享支撑能力，按需提供开放接口及文档</w:t>
            </w:r>
          </w:p>
        </w:tc>
        <w:tc>
          <w:p w14:paraId="780DE3D0">
            <w:pPr>
              <w:pStyle w:val="24"/>
            </w:pPr>
            <w:r>
              <w:rPr>
                <w:rFonts w:hint="eastAsia"/>
              </w:rPr>
              <w:t>完全响应。系统预留标准化开放接口能力，接口文档随系统交付（见第二章</w:t>
            </w:r>
            <w:r>
              <w:t xml:space="preserve"> </w:t>
            </w:r>
            <w:r>
              <w:rPr>
                <w:rFonts w:hint="eastAsia"/>
              </w:rPr>
              <w:t>2.8）</w:t>
            </w:r>
          </w:p>
        </w:tc>
        <w:tc>
          <w:p w14:paraId="16607686">
            <w:pPr>
              <w:pStyle w:val="24"/>
            </w:pPr>
            <w:r>
              <w:rPr>
                <w:rFonts w:hint="eastAsia"/>
              </w:rPr>
              <w:t>无偏离</w:t>
            </w:r>
          </w:p>
        </w:tc>
      </w:tr>
      <w:tr w14:paraId="12891429">
        <w:tc>
          <w:p w14:paraId="75E2F327">
            <w:pPr>
              <w:pStyle w:val="24"/>
            </w:pPr>
            <w:r>
              <w:t>32</w:t>
            </w:r>
          </w:p>
        </w:tc>
        <w:tc>
          <w:p w14:paraId="3EFFEF60">
            <w:pPr>
              <w:pStyle w:val="24"/>
            </w:pPr>
            <w:r>
              <w:rPr>
                <w:rFonts w:hint="eastAsia"/>
              </w:rPr>
              <w:t>合同通用条款3</w:t>
            </w:r>
          </w:p>
        </w:tc>
        <w:tc>
          <w:p w14:paraId="19FF33DF">
            <w:pPr>
              <w:pStyle w:val="24"/>
            </w:pPr>
            <w:r>
              <w:rPr>
                <w:rFonts w:hint="eastAsia"/>
              </w:rPr>
              <w:t>提供技术资料壹式贰套，不完整或丢失免费另寄</w:t>
            </w:r>
          </w:p>
        </w:tc>
        <w:tc>
          <w:p w14:paraId="36525309">
            <w:pPr>
              <w:pStyle w:val="24"/>
            </w:pPr>
            <w:r>
              <w:rPr>
                <w:rFonts w:hint="eastAsia"/>
              </w:rPr>
              <w:t>完全响应。交付操作/部署/运维等全套文档壹式贰套</w:t>
            </w:r>
          </w:p>
        </w:tc>
        <w:tc>
          <w:p w14:paraId="4D09CDD8">
            <w:pPr>
              <w:pStyle w:val="24"/>
            </w:pPr>
            <w:r>
              <w:rPr>
                <w:rFonts w:hint="eastAsia"/>
              </w:rPr>
              <w:t>无偏离</w:t>
            </w:r>
          </w:p>
        </w:tc>
      </w:tr>
      <w:bookmarkEnd w:id="5"/>
    </w:tbl>
    <w:tbl>
      <w:tblPr>
        <w:tblStyle w:val="41"/>
        <w:tblpPr w:leftFromText="180" w:rightFromText="180" w:vertAnchor="text" w:horzAnchor="page" w:tblpX="1695" w:tblpY="67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1801"/>
        <w:gridCol w:w="1801"/>
        <w:gridCol w:w="1801"/>
        <w:gridCol w:w="1801"/>
      </w:tblGrid>
      <w:tr w14:paraId="3D4E77B8">
        <w:trPr>
          <w:tblHeader/>
        </w:trPr>
        <w:tc>
          <w:p w14:paraId="6C3C2B52">
            <w:pPr>
              <w:pStyle w:val="24"/>
            </w:pPr>
            <w:bookmarkStart w:id="6" w:name="六信创要求"/>
            <w:r>
              <w:rPr>
                <w:rFonts w:hint="eastAsia"/>
              </w:rPr>
              <w:t>序号</w:t>
            </w:r>
          </w:p>
        </w:tc>
        <w:tc>
          <w:p w14:paraId="0580AD04">
            <w:pPr>
              <w:pStyle w:val="24"/>
            </w:pPr>
            <w:r>
              <w:rPr>
                <w:rFonts w:hint="eastAsia"/>
              </w:rPr>
              <w:t>招标文件要求（条款出处）</w:t>
            </w:r>
          </w:p>
        </w:tc>
        <w:tc>
          <w:p w14:paraId="27255334">
            <w:pPr>
              <w:pStyle w:val="24"/>
            </w:pPr>
            <w:r>
              <w:rPr>
                <w:rFonts w:hint="eastAsia"/>
              </w:rPr>
              <w:t>招标要求内容</w:t>
            </w:r>
          </w:p>
        </w:tc>
        <w:tc>
          <w:p w14:paraId="329FEF86">
            <w:pPr>
              <w:pStyle w:val="24"/>
            </w:pPr>
            <w:r>
              <w:rPr>
                <w:rFonts w:hint="eastAsia"/>
              </w:rPr>
              <w:t>投标响应内容（对应技术方案章节）</w:t>
            </w:r>
          </w:p>
        </w:tc>
        <w:tc>
          <w:p w14:paraId="5C22C308">
            <w:pPr>
              <w:pStyle w:val="24"/>
            </w:pPr>
            <w:r>
              <w:rPr>
                <w:rFonts w:hint="eastAsia"/>
              </w:rPr>
              <w:t>偏离情况</w:t>
            </w:r>
          </w:p>
        </w:tc>
      </w:tr>
      <w:tr w14:paraId="33EA96BD">
        <w:tc>
          <w:p w14:paraId="1A823C67">
            <w:pPr>
              <w:pStyle w:val="24"/>
            </w:pPr>
            <w:r>
              <w:t>33</w:t>
            </w:r>
          </w:p>
        </w:tc>
        <w:tc>
          <w:p w14:paraId="14B6A063">
            <w:pPr>
              <w:pStyle w:val="24"/>
            </w:pPr>
            <w:r>
              <w:rPr>
                <w:rFonts w:hint="eastAsia"/>
              </w:rPr>
              <w:t>合同信创条款1-2</w:t>
            </w:r>
          </w:p>
        </w:tc>
        <w:tc>
          <w:p w14:paraId="0F9448C4">
            <w:pPr>
              <w:pStyle w:val="24"/>
            </w:pPr>
            <w:r>
              <w:rPr>
                <w:rFonts w:hint="eastAsia"/>
              </w:rPr>
              <w:t>符合国家信创政策与技术标准；优先采用国产化软硬件平台</w:t>
            </w:r>
          </w:p>
        </w:tc>
        <w:tc>
          <w:p w14:paraId="5EEB0E5A">
            <w:pPr>
              <w:pStyle w:val="24"/>
            </w:pPr>
            <w:r>
              <w:rPr>
                <w:rFonts w:hint="eastAsia"/>
              </w:rPr>
              <w:t>完全响应。技术栈具备信创适配能力，承诺履约期内免费完成信创环境适配，支持国产操作系统、国产数据库环境部署运行</w:t>
            </w:r>
          </w:p>
        </w:tc>
        <w:tc>
          <w:p w14:paraId="439B8AD1">
            <w:pPr>
              <w:pStyle w:val="24"/>
            </w:pPr>
            <w:r>
              <w:rPr>
                <w:rFonts w:hint="eastAsia"/>
              </w:rPr>
              <w:t>无偏离</w:t>
            </w:r>
          </w:p>
        </w:tc>
      </w:tr>
      <w:tr w14:paraId="2940FB8D">
        <w:tc>
          <w:p w14:paraId="32948B29">
            <w:pPr>
              <w:pStyle w:val="24"/>
            </w:pPr>
            <w:r>
              <w:t>34</w:t>
            </w:r>
          </w:p>
        </w:tc>
        <w:tc>
          <w:p w14:paraId="55CB2C0C">
            <w:pPr>
              <w:pStyle w:val="24"/>
            </w:pPr>
            <w:r>
              <w:rPr>
                <w:rFonts w:hint="eastAsia"/>
              </w:rPr>
              <w:t>合同信创条款3</w:t>
            </w:r>
          </w:p>
        </w:tc>
        <w:tc>
          <w:p w14:paraId="3C511401">
            <w:pPr>
              <w:pStyle w:val="24"/>
            </w:pPr>
            <w:r>
              <w:rPr>
                <w:rFonts w:hint="eastAsia"/>
              </w:rPr>
              <w:t>提供信创兼容性测试报告或第三方认证；未取得的按约定时间免费适配</w:t>
            </w:r>
          </w:p>
        </w:tc>
        <w:tc>
          <w:p w14:paraId="2F9D1268">
            <w:pPr>
              <w:pStyle w:val="24"/>
            </w:pPr>
            <w:r>
              <w:rPr>
                <w:rFonts w:hint="eastAsia"/>
              </w:rPr>
              <w:t>完全响应。按约定时间免费完成信创适配并提供兼容性测试报告</w:t>
            </w:r>
          </w:p>
        </w:tc>
        <w:tc>
          <w:p w14:paraId="3DBFA948">
            <w:pPr>
              <w:pStyle w:val="24"/>
            </w:pPr>
            <w:r>
              <w:rPr>
                <w:rFonts w:hint="eastAsia"/>
              </w:rPr>
              <w:t>无偏离</w:t>
            </w:r>
          </w:p>
        </w:tc>
      </w:tr>
      <w:tr w14:paraId="5D0436AA">
        <w:tc>
          <w:p w14:paraId="0858EDBD">
            <w:pPr>
              <w:pStyle w:val="24"/>
            </w:pPr>
            <w:r>
              <w:t>35</w:t>
            </w:r>
          </w:p>
        </w:tc>
        <w:tc>
          <w:p w14:paraId="4AD807FF">
            <w:pPr>
              <w:pStyle w:val="24"/>
            </w:pPr>
            <w:r>
              <w:rPr>
                <w:rFonts w:hint="eastAsia"/>
              </w:rPr>
              <w:t>合同信创条款4</w:t>
            </w:r>
          </w:p>
        </w:tc>
        <w:tc>
          <w:p w14:paraId="5E3AD3FB">
            <w:pPr>
              <w:pStyle w:val="24"/>
            </w:pPr>
            <w:r>
              <w:rPr>
                <w:rFonts w:hint="eastAsia"/>
              </w:rPr>
              <w:t>配合甲方完成信创适配、联调测试、验收，提供技术支持</w:t>
            </w:r>
          </w:p>
        </w:tc>
        <w:tc>
          <w:p w14:paraId="5CA94C2D">
            <w:pPr>
              <w:pStyle w:val="24"/>
            </w:pPr>
            <w:r>
              <w:rPr>
                <w:rFonts w:hint="eastAsia"/>
              </w:rPr>
              <w:t>完全响应</w:t>
            </w:r>
          </w:p>
        </w:tc>
        <w:tc>
          <w:p w14:paraId="596635A8">
            <w:pPr>
              <w:pStyle w:val="24"/>
            </w:pPr>
            <w:r>
              <w:rPr>
                <w:rFonts w:hint="eastAsia"/>
              </w:rPr>
              <w:t>无偏离</w:t>
            </w:r>
          </w:p>
        </w:tc>
      </w:tr>
    </w:tbl>
    <w:p w14:paraId="435C9F82">
      <w:pPr>
        <w:pStyle w:val="4"/>
      </w:pPr>
      <w:r>
        <w:rPr>
          <w:rFonts w:hint="eastAsia"/>
        </w:rPr>
        <w:t>六、信创要求</w:t>
      </w:r>
    </w:p>
    <w:bookmarkEnd w:id="6"/>
    <w:p w14:paraId="5B13A8DC">
      <w:pPr>
        <w:pStyle w:val="4"/>
      </w:pPr>
      <w:bookmarkStart w:id="7" w:name="七进度与其他要求"/>
      <w:r>
        <w:rPr>
          <w:rFonts w:hint="eastAsia"/>
        </w:rPr>
        <w:t>七、进度与其他要求</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1801"/>
        <w:gridCol w:w="1801"/>
        <w:gridCol w:w="1801"/>
        <w:gridCol w:w="1801"/>
      </w:tblGrid>
      <w:tr w14:paraId="65E9DA83">
        <w:trPr>
          <w:tblHeader/>
        </w:trPr>
        <w:tc>
          <w:p w14:paraId="13952E74">
            <w:pPr>
              <w:pStyle w:val="24"/>
            </w:pPr>
            <w:r>
              <w:rPr>
                <w:rFonts w:hint="eastAsia"/>
              </w:rPr>
              <w:t>序号</w:t>
            </w:r>
          </w:p>
        </w:tc>
        <w:tc>
          <w:p w14:paraId="02502D97">
            <w:pPr>
              <w:pStyle w:val="24"/>
            </w:pPr>
            <w:r>
              <w:rPr>
                <w:rFonts w:hint="eastAsia"/>
              </w:rPr>
              <w:t>招标文件要求（条款出处）</w:t>
            </w:r>
          </w:p>
        </w:tc>
        <w:tc>
          <w:p w14:paraId="7758B7E2">
            <w:pPr>
              <w:pStyle w:val="24"/>
            </w:pPr>
            <w:r>
              <w:rPr>
                <w:rFonts w:hint="eastAsia"/>
              </w:rPr>
              <w:t>招标要求内容</w:t>
            </w:r>
          </w:p>
        </w:tc>
        <w:tc>
          <w:p w14:paraId="393D38DE">
            <w:pPr>
              <w:pStyle w:val="24"/>
            </w:pPr>
            <w:r>
              <w:rPr>
                <w:rFonts w:hint="eastAsia"/>
              </w:rPr>
              <w:t>投标响应内容（对应技术方案章节）</w:t>
            </w:r>
          </w:p>
        </w:tc>
        <w:tc>
          <w:p w14:paraId="65CD9703">
            <w:pPr>
              <w:pStyle w:val="24"/>
            </w:pPr>
            <w:r>
              <w:rPr>
                <w:rFonts w:hint="eastAsia"/>
              </w:rPr>
              <w:t>偏离情况</w:t>
            </w:r>
          </w:p>
        </w:tc>
      </w:tr>
      <w:tr w14:paraId="525E6F03">
        <w:tc>
          <w:p w14:paraId="630E65DC">
            <w:pPr>
              <w:pStyle w:val="24"/>
            </w:pPr>
            <w:r>
              <w:t>36</w:t>
            </w:r>
          </w:p>
        </w:tc>
        <w:tc>
          <w:p w14:paraId="5D49A7F5">
            <w:pPr>
              <w:pStyle w:val="24"/>
            </w:pPr>
            <w:r>
              <w:rPr>
                <w:rFonts w:hint="eastAsia"/>
              </w:rPr>
              <w:t>第六章投标函</w:t>
            </w:r>
          </w:p>
        </w:tc>
        <w:tc>
          <w:p w14:paraId="6F5D64CC">
            <w:pPr>
              <w:pStyle w:val="24"/>
            </w:pPr>
            <w:r>
              <w:rPr>
                <w:rFonts w:hint="eastAsia"/>
              </w:rPr>
              <w:t>投标有效期：自提交投标文件截止之日起90日历天</w:t>
            </w:r>
          </w:p>
        </w:tc>
        <w:tc>
          <w:p w14:paraId="7C5DBFE2">
            <w:pPr>
              <w:pStyle w:val="24"/>
            </w:pPr>
            <w:r>
              <w:rPr>
                <w:rFonts w:hint="eastAsia"/>
              </w:rPr>
              <w:t>完全响应</w:t>
            </w:r>
          </w:p>
        </w:tc>
        <w:tc>
          <w:p w14:paraId="376BB57C">
            <w:pPr>
              <w:pStyle w:val="24"/>
            </w:pPr>
            <w:r>
              <w:rPr>
                <w:rFonts w:hint="eastAsia"/>
              </w:rPr>
              <w:t>无偏离</w:t>
            </w:r>
          </w:p>
        </w:tc>
      </w:tr>
      <w:tr w14:paraId="487A37F9">
        <w:tc>
          <w:p w14:paraId="2F7673AD">
            <w:pPr>
              <w:pStyle w:val="24"/>
            </w:pPr>
            <w:r>
              <w:t>37</w:t>
            </w:r>
          </w:p>
        </w:tc>
        <w:tc>
          <w:p w14:paraId="1A446295">
            <w:pPr>
              <w:pStyle w:val="24"/>
            </w:pPr>
            <w:r>
              <w:rPr>
                <w:rFonts w:hint="eastAsia"/>
              </w:rPr>
              <w:t>评标办法（技术方案要求）</w:t>
            </w:r>
          </w:p>
        </w:tc>
        <w:tc>
          <w:p w14:paraId="1CB3C18E">
            <w:pPr>
              <w:pStyle w:val="24"/>
            </w:pPr>
            <w:r>
              <w:rPr>
                <w:rFonts w:hint="eastAsia"/>
              </w:rPr>
              <w:t>技术方案涵盖项目需求分析、应用系统功能设计、项目实施管理、系统安全管理、系统运维管理、服务期限保证六部分</w:t>
            </w:r>
          </w:p>
        </w:tc>
        <w:tc>
          <w:p w14:paraId="62BF56E8">
            <w:pPr>
              <w:pStyle w:val="24"/>
            </w:pPr>
            <w:r>
              <w:rPr>
                <w:rFonts w:hint="eastAsia"/>
              </w:rPr>
              <w:t>完全响应。技术方案按六章编制，各评审点全覆盖</w:t>
            </w:r>
          </w:p>
        </w:tc>
        <w:tc>
          <w:p w14:paraId="5B061908">
            <w:pPr>
              <w:pStyle w:val="24"/>
            </w:pPr>
            <w:r>
              <w:rPr>
                <w:rFonts w:hint="eastAsia"/>
              </w:rPr>
              <w:t>无偏离</w:t>
            </w:r>
          </w:p>
        </w:tc>
      </w:tr>
      <w:tr w14:paraId="3A34B469">
        <w:tc>
          <w:p w14:paraId="6ACF98CE">
            <w:pPr>
              <w:pStyle w:val="24"/>
            </w:pPr>
            <w:r>
              <w:t>38</w:t>
            </w:r>
          </w:p>
        </w:tc>
        <w:tc>
          <w:p w14:paraId="4830DDF1">
            <w:pPr>
              <w:pStyle w:val="24"/>
            </w:pPr>
            <w:r>
              <w:rPr>
                <w:rFonts w:hint="eastAsia"/>
              </w:rPr>
              <w:t>合同专用条款（等保）</w:t>
            </w:r>
          </w:p>
        </w:tc>
        <w:tc>
          <w:p w14:paraId="10E7C60C">
            <w:pPr>
              <w:pStyle w:val="24"/>
            </w:pPr>
            <w:r>
              <w:rPr>
                <w:rFonts w:hint="eastAsia"/>
              </w:rPr>
              <w:t>通过等级保护二级测评</w:t>
            </w:r>
          </w:p>
        </w:tc>
        <w:tc>
          <w:p w14:paraId="340E3BAB">
            <w:pPr>
              <w:pStyle w:val="24"/>
            </w:pPr>
            <w:r>
              <w:rPr>
                <w:rFonts w:hint="eastAsia"/>
              </w:rPr>
              <w:t>完全响应。按等保二级建设，试运行期内配合完成测评，未通过前不申请最终验收（见第四章）</w:t>
            </w:r>
          </w:p>
        </w:tc>
        <w:tc>
          <w:p w14:paraId="193D356C">
            <w:pPr>
              <w:pStyle w:val="24"/>
            </w:pPr>
            <w:r>
              <w:rPr>
                <w:rFonts w:hint="eastAsia"/>
              </w:rPr>
              <w:t>无偏离</w:t>
            </w:r>
          </w:p>
        </w:tc>
      </w:tr>
      <w:tr w14:paraId="43E5F703">
        <w:tc>
          <w:p w14:paraId="63C234E5">
            <w:pPr>
              <w:pStyle w:val="24"/>
            </w:pPr>
            <w:r>
              <w:t>39</w:t>
            </w:r>
          </w:p>
        </w:tc>
        <w:tc>
          <w:p w14:paraId="0014FF57">
            <w:pPr>
              <w:pStyle w:val="24"/>
            </w:pPr>
            <w:r>
              <w:rPr>
                <w:rFonts w:hint="eastAsia"/>
              </w:rPr>
              <w:t>商务部分（三）</w:t>
            </w:r>
          </w:p>
        </w:tc>
        <w:tc>
          <w:p w14:paraId="49AE3BBA">
            <w:pPr>
              <w:pStyle w:val="24"/>
            </w:pPr>
            <w:r>
              <w:rPr>
                <w:rFonts w:hint="eastAsia"/>
              </w:rPr>
              <w:t>项目驻场人员承诺</w:t>
            </w:r>
          </w:p>
        </w:tc>
        <w:tc>
          <w:p w14:paraId="146E00E0">
            <w:pPr>
              <w:pStyle w:val="24"/>
            </w:pPr>
            <w:r>
              <w:rPr>
                <w:rFonts w:hint="eastAsia"/>
              </w:rPr>
              <w:t>完全响应。承诺项目驻场，驻场承诺函见商务部分</w:t>
            </w:r>
          </w:p>
        </w:tc>
        <w:tc>
          <w:p w14:paraId="35C3F651">
            <w:pPr>
              <w:pStyle w:val="24"/>
            </w:pPr>
            <w:r>
              <w:rPr>
                <w:rFonts w:hint="eastAsia"/>
              </w:rPr>
              <w:t>无偏离</w:t>
            </w:r>
          </w:p>
        </w:tc>
      </w:tr>
      <w:bookmarkEnd w:id="7"/>
    </w:tbl>
    <w:p w14:paraId="79553C2D">
      <w:pPr>
        <w:pStyle w:val="4"/>
      </w:pPr>
      <w:bookmarkStart w:id="8" w:name="八偏离情况汇总"/>
      <w:r>
        <w:rPr>
          <w:rFonts w:hint="eastAsia"/>
        </w:rPr>
        <w:t>八、偏离情况汇总</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1"/>
        <w:gridCol w:w="3001"/>
        <w:gridCol w:w="3001"/>
      </w:tblGrid>
      <w:tr w14:paraId="33D37C2B">
        <w:trPr>
          <w:tblHeader/>
        </w:trPr>
        <w:tc>
          <w:p w14:paraId="6DC271A1">
            <w:pPr>
              <w:pStyle w:val="24"/>
            </w:pPr>
            <w:bookmarkStart w:id="9" w:name="_GoBack"/>
            <w:r>
              <w:rPr>
                <w:rFonts w:hint="eastAsia"/>
              </w:rPr>
              <w:t>统计项</w:t>
            </w:r>
          </w:p>
        </w:tc>
        <w:tc>
          <w:p w14:paraId="4C9CBE3C">
            <w:pPr>
              <w:pStyle w:val="24"/>
            </w:pPr>
            <w:r>
              <w:rPr>
                <w:rFonts w:hint="eastAsia"/>
              </w:rPr>
              <w:t>数量</w:t>
            </w:r>
          </w:p>
        </w:tc>
        <w:tc>
          <w:p w14:paraId="79301D16">
            <w:pPr>
              <w:pStyle w:val="24"/>
            </w:pPr>
            <w:r>
              <w:rPr>
                <w:rFonts w:hint="eastAsia"/>
              </w:rPr>
              <w:t>说明</w:t>
            </w:r>
          </w:p>
        </w:tc>
      </w:tr>
      <w:tr w14:paraId="0908254B">
        <w:tc>
          <w:p w14:paraId="70B328BA">
            <w:pPr>
              <w:pStyle w:val="24"/>
            </w:pPr>
            <w:r>
              <w:rPr>
                <w:rFonts w:hint="eastAsia"/>
              </w:rPr>
              <w:t>响应条款合计</w:t>
            </w:r>
          </w:p>
        </w:tc>
        <w:tc>
          <w:p w14:paraId="2220D3B7">
            <w:pPr>
              <w:pStyle w:val="24"/>
            </w:pPr>
            <w:r>
              <w:rPr>
                <w:rFonts w:hint="eastAsia"/>
              </w:rPr>
              <w:t>39条</w:t>
            </w:r>
          </w:p>
        </w:tc>
        <w:tc>
          <w:p w14:paraId="0F0FACC6">
            <w:pPr>
              <w:pStyle w:val="24"/>
            </w:pPr>
            <w:r>
              <w:rPr>
                <w:rFonts w:hint="eastAsia"/>
              </w:rPr>
              <w:t>覆盖采购内容、质量验收、服务期限、运维标准、源代码、信创、进度等全部技术与服务要求</w:t>
            </w:r>
          </w:p>
        </w:tc>
      </w:tr>
      <w:tr w14:paraId="4430C5E0">
        <w:tc>
          <w:p w14:paraId="46D5AFB4">
            <w:pPr>
              <w:pStyle w:val="24"/>
            </w:pPr>
            <w:r>
              <w:rPr>
                <w:rFonts w:hint="eastAsia"/>
              </w:rPr>
              <w:t>无偏离</w:t>
            </w:r>
          </w:p>
        </w:tc>
        <w:tc>
          <w:p w14:paraId="56564089">
            <w:pPr>
              <w:pStyle w:val="24"/>
            </w:pPr>
            <w:r>
              <w:rPr>
                <w:rFonts w:hint="eastAsia"/>
              </w:rPr>
              <w:t>34条</w:t>
            </w:r>
          </w:p>
        </w:tc>
        <w:tc>
          <w:p w14:paraId="43D11D2C">
            <w:pPr>
              <w:pStyle w:val="24"/>
            </w:pPr>
            <w:r>
              <w:rPr>
                <w:rFonts w:hint="eastAsia"/>
              </w:rPr>
              <w:t>全部完全响应</w:t>
            </w:r>
          </w:p>
        </w:tc>
      </w:tr>
      <w:tr w14:paraId="070AD8A6">
        <w:tc>
          <w:p w14:paraId="43ACAF84">
            <w:pPr>
              <w:pStyle w:val="24"/>
            </w:pPr>
            <w:r>
              <w:rPr>
                <w:rFonts w:hint="eastAsia"/>
                <w:b/>
                <w:bCs/>
              </w:rPr>
              <w:t>正偏离</w:t>
            </w:r>
          </w:p>
        </w:tc>
        <w:tc>
          <w:p w14:paraId="5F0C509E">
            <w:pPr>
              <w:pStyle w:val="24"/>
            </w:pPr>
            <w:r>
              <w:rPr>
                <w:rFonts w:hint="eastAsia"/>
                <w:b/>
                <w:bCs/>
              </w:rPr>
              <w:t>5条</w:t>
            </w:r>
          </w:p>
        </w:tc>
        <w:tc>
          <w:p w14:paraId="6594A4CB">
            <w:pPr>
              <w:pStyle w:val="24"/>
            </w:pPr>
            <w:r>
              <w:rPr>
                <w:rFonts w:hint="eastAsia"/>
              </w:rPr>
              <w:t>序号10、13、18、19、26</w:t>
            </w:r>
          </w:p>
        </w:tc>
      </w:tr>
      <w:tr w14:paraId="27A7EC59">
        <w:tc>
          <w:p w14:paraId="577926A3">
            <w:pPr>
              <w:pStyle w:val="24"/>
            </w:pPr>
            <w:r>
              <w:rPr>
                <w:rFonts w:hint="eastAsia"/>
              </w:rPr>
              <w:t>负偏离</w:t>
            </w:r>
          </w:p>
        </w:tc>
        <w:tc>
          <w:p w14:paraId="7A447EB2">
            <w:pPr>
              <w:pStyle w:val="24"/>
            </w:pPr>
            <w:r>
              <w:rPr>
                <w:rFonts w:hint="eastAsia"/>
                <w:b/>
                <w:bCs/>
              </w:rPr>
              <w:t>0条</w:t>
            </w:r>
          </w:p>
        </w:tc>
        <w:tc>
          <w:p w14:paraId="17EE5CD6">
            <w:pPr>
              <w:pStyle w:val="24"/>
            </w:pPr>
            <w:r>
              <w:rPr>
                <w:rFonts w:hint="eastAsia"/>
              </w:rPr>
              <w:t>无任何负偏离</w:t>
            </w:r>
          </w:p>
        </w:tc>
      </w:tr>
      <w:bookmarkEnd w:id="9"/>
    </w:tbl>
    <w:p w14:paraId="2E41F89E">
      <w:pPr>
        <w:pStyle w:val="3"/>
      </w:pPr>
      <w:r>
        <w:rPr>
          <w:rFonts w:hint="eastAsia"/>
          <w:b/>
          <w:bCs/>
        </w:rPr>
        <w:t>声明</w:t>
      </w:r>
      <w:r>
        <w:rPr>
          <w:rFonts w:hint="eastAsia"/>
        </w:rPr>
        <w:t>：我方对招标文件第五章”采购需求”、第四章”合同条款及格式”规定的全部实质性要求和条件</w:t>
      </w:r>
      <w:r>
        <w:rPr>
          <w:rFonts w:hint="eastAsia"/>
          <w:b/>
          <w:bCs/>
        </w:rPr>
        <w:t>完全响应，无任何负偏离</w:t>
      </w:r>
      <w:r>
        <w:rPr>
          <w:rFonts w:hint="eastAsia"/>
        </w:rPr>
        <w:t>；上述正偏离条款均为在满足招标要求基础上对招标人更有利的额外承诺，如中标愿写入合同并接受违约条款约束。</w:t>
      </w:r>
    </w:p>
    <w:p w14:paraId="37622992">
      <w:pPr>
        <w:pStyle w:val="3"/>
      </w:pPr>
      <w:r>
        <w:rPr>
          <w:rFonts w:hint="eastAsia"/>
        </w:rPr>
        <w:t>投</w:t>
      </w:r>
      <w:r>
        <w:t xml:space="preserve"> </w:t>
      </w:r>
      <w:r>
        <w:rPr>
          <w:rFonts w:hint="eastAsia"/>
        </w:rPr>
        <w:t>标</w:t>
      </w:r>
      <w:r>
        <w:t xml:space="preserve"> </w:t>
      </w:r>
      <w:r>
        <w:rPr>
          <w:rFonts w:hint="eastAsia"/>
        </w:rPr>
        <w:t>人：</w:t>
      </w:r>
      <w:r>
        <w:rPr>
          <w:rFonts w:hint="eastAsia"/>
          <w:lang w:val="en-US" w:eastAsia="zh-CN"/>
        </w:rPr>
        <w:t xml:space="preserve">    </w:t>
      </w:r>
      <w:r>
        <w:rPr>
          <w:rFonts w:hint="eastAsia"/>
        </w:rPr>
        <w:t>（盖单位公章）</w:t>
      </w:r>
    </w:p>
    <w:p w14:paraId="47511C73">
      <w:pPr>
        <w:pStyle w:val="3"/>
      </w:pPr>
      <w:r>
        <w:rPr>
          <w:rFonts w:hint="eastAsia"/>
        </w:rPr>
        <w:t>法定代表人或其委托代理人：（签字或盖章）</w:t>
      </w:r>
    </w:p>
    <w:p w14:paraId="0745DF1C">
      <w:pPr>
        <w:pStyle w:val="3"/>
      </w:pPr>
      <w:r>
        <w:rPr>
          <w:rFonts w:hint="eastAsia"/>
        </w:rPr>
        <w:t>年</w:t>
      </w:r>
      <w:r>
        <w:t>    </w:t>
      </w:r>
      <w:r>
        <w:rPr>
          <w:rFonts w:hint="eastAsia"/>
        </w:rPr>
        <w:t>月</w:t>
      </w:r>
      <w:r>
        <w:t>    </w:t>
      </w:r>
      <w:r>
        <w:rPr>
          <w:rFonts w:hint="eastAsia"/>
        </w:rPr>
        <w:t>日</w:t>
      </w:r>
    </w:p>
    <w:bookmarkEnd w:id="0"/>
    <w:bookmarkEnd w:id="8"/>
    <w:sectPr>
      <w:footerReference r:id="rId5" w:type="default"/>
      <w:footnotePr>
        <w:numRestart w:val="eachSect"/>
      </w:footnotePr>
      <w:pgSz w:w="11906" w:h="16838"/>
      <w:pgMar w:top="1440" w:right="1417" w:bottom="1440" w:left="1701" w:header="992"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D0FF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3BAD501E"/>
    <w:rsid w:val="DF3CF637"/>
    <w:rsid w:val="FC3CC3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40" w:lineRule="exact"/>
      <w:ind w:firstLine="480" w:firstLineChars="200"/>
      <w:jc w:val="both"/>
    </w:pPr>
    <w:rPr>
      <w:rFonts w:ascii="Times New Roman" w:hAnsi="Times New Roman" w:eastAsia="宋体" w:cs="Times New Roman"/>
      <w:color w:val="000000"/>
      <w:sz w:val="24"/>
      <w:szCs w:val="24"/>
      <w:lang w:val="en-US" w:eastAsia="zh-CN" w:bidi="ar-SA"/>
    </w:rPr>
  </w:style>
  <w:style w:type="paragraph" w:styleId="2">
    <w:name w:val="heading 1"/>
    <w:basedOn w:val="1"/>
    <w:next w:val="3"/>
    <w:link w:val="31"/>
    <w:qFormat/>
    <w:uiPriority w:val="9"/>
    <w:pPr>
      <w:keepNext/>
      <w:keepLines/>
      <w:spacing w:before="360" w:after="240" w:line="360" w:lineRule="auto"/>
      <w:jc w:val="center"/>
      <w:outlineLvl w:val="0"/>
    </w:pPr>
    <w:rPr>
      <w:rFonts w:asciiTheme="majorHAnsi" w:hAnsiTheme="majorHAnsi" w:eastAsiaTheme="majorEastAsia" w:cstheme="majorBidi"/>
      <w:b/>
      <w:color w:val="000000"/>
      <w:sz w:val="32"/>
      <w:szCs w:val="40"/>
    </w:rPr>
  </w:style>
  <w:style w:type="paragraph" w:styleId="4">
    <w:name w:val="heading 2"/>
    <w:basedOn w:val="1"/>
    <w:next w:val="3"/>
    <w:link w:val="32"/>
    <w:semiHidden/>
    <w:unhideWhenUsed/>
    <w:qFormat/>
    <w:uiPriority w:val="9"/>
    <w:pPr>
      <w:keepNext/>
      <w:keepLines/>
      <w:spacing w:before="240" w:after="120" w:line="360" w:lineRule="auto"/>
      <w:jc w:val="left"/>
      <w:outlineLvl w:val="1"/>
    </w:pPr>
    <w:rPr>
      <w:rFonts w:asciiTheme="majorHAnsi" w:hAnsiTheme="majorHAnsi" w:eastAsiaTheme="majorEastAsia" w:cstheme="majorBidi"/>
      <w:b/>
      <w:color w:val="000000"/>
      <w:sz w:val="28"/>
      <w:szCs w:val="32"/>
    </w:rPr>
  </w:style>
  <w:style w:type="paragraph" w:styleId="5">
    <w:name w:val="heading 3"/>
    <w:basedOn w:val="1"/>
    <w:next w:val="3"/>
    <w:link w:val="33"/>
    <w:semiHidden/>
    <w:unhideWhenUsed/>
    <w:qFormat/>
    <w:uiPriority w:val="9"/>
    <w:pPr>
      <w:keepNext/>
      <w:keepLines/>
      <w:spacing w:before="160" w:after="80" w:line="360" w:lineRule="auto"/>
      <w:jc w:val="left"/>
      <w:outlineLvl w:val="2"/>
    </w:pPr>
    <w:rPr>
      <w:rFonts w:ascii="Times New Roman" w:hAnsi="Times New Roman" w:eastAsiaTheme="majorEastAsia" w:cstheme="majorBidi"/>
      <w:b/>
      <w:color w:val="000000"/>
      <w:sz w:val="24"/>
      <w:szCs w:val="28"/>
    </w:rPr>
  </w:style>
  <w:style w:type="paragraph" w:styleId="6">
    <w:name w:val="heading 4"/>
    <w:basedOn w:val="1"/>
    <w:next w:val="3"/>
    <w:link w:val="34"/>
    <w:semiHidden/>
    <w:unhideWhenUsed/>
    <w:qFormat/>
    <w:uiPriority w:val="9"/>
    <w:pPr>
      <w:keepNext/>
      <w:keepLines/>
      <w:spacing w:before="120" w:after="40" w:line="360" w:lineRule="auto"/>
      <w:outlineLvl w:val="3"/>
    </w:pPr>
    <w:rPr>
      <w:rFonts w:ascii="Times New Roman" w:hAnsi="Times New Roman" w:eastAsiaTheme="majorEastAsia" w:cstheme="majorBidi"/>
      <w:b/>
      <w:i/>
      <w:iCs/>
      <w:color w:val="000000"/>
      <w:sz w:val="24"/>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0" w:after="0" w:line="440" w:lineRule="exact"/>
      <w:ind w:firstLine="480" w:firstLineChars="200"/>
      <w:jc w:val="both"/>
    </w:pPr>
    <w:rPr>
      <w:rFonts w:ascii="Times New Roman" w:hAnsi="Times New Roman" w:eastAsia="宋体" w:cs="Times New Roman"/>
      <w:color w:val="000000"/>
      <w:sz w:val="24"/>
    </w:rPr>
  </w:style>
  <w:style w:type="paragraph" w:styleId="12">
    <w:name w:val="caption"/>
    <w:basedOn w:val="1"/>
    <w:uiPriority w:val="0"/>
    <w:pPr>
      <w:spacing w:before="0" w:after="120" w:line="240" w:lineRule="auto"/>
      <w:jc w:val="center"/>
    </w:pPr>
    <w:rPr>
      <w:rFonts w:ascii="Times New Roman" w:hAnsi="Times New Roman" w:eastAsia="宋体" w:cs="Times New Roman"/>
      <w:i/>
      <w:color w:val="000000"/>
      <w:sz w:val="21"/>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pPr>
      <w:spacing w:before="0" w:after="0" w:line="440" w:lineRule="exact"/>
      <w:ind w:firstLine="480" w:firstLineChars="200"/>
      <w:jc w:val="both"/>
    </w:pPr>
    <w:rPr>
      <w:rFonts w:ascii="Times New Roman" w:hAnsi="Times New Roman" w:eastAsia="宋体" w:cs="Times New Roman"/>
      <w:color w:val="000000"/>
      <w:sz w:val="24"/>
    </w:rPr>
  </w:style>
  <w:style w:type="paragraph" w:customStyle="1" w:styleId="24">
    <w:name w:val="Compact"/>
    <w:basedOn w:val="3"/>
    <w:qFormat/>
    <w:uiPriority w:val="0"/>
    <w:pPr>
      <w:spacing w:before="20" w:after="20" w:line="240" w:lineRule="auto"/>
    </w:pPr>
    <w:rPr>
      <w:rFonts w:ascii="Times New Roman" w:hAnsi="Times New Roman" w:eastAsia="仿宋" w:cs="Times New Roman"/>
      <w:color w:val="000000"/>
      <w:sz w:val="21"/>
    </w:r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spacing w:line="240" w:lineRule="auto"/>
      <w:jc w:val="center"/>
    </w:pPr>
    <w:rPr>
      <w:rFonts w:ascii="Times New Roman" w:hAnsi="Times New Roman" w:eastAsia="宋体" w:cs="Times New Roman"/>
      <w:color w:val="000000"/>
      <w:sz w:val="21"/>
    </w:rPr>
  </w:style>
  <w:style w:type="paragraph" w:customStyle="1" w:styleId="45">
    <w:name w:val="Image Caption"/>
    <w:basedOn w:val="12"/>
    <w:uiPriority w:val="0"/>
    <w:pPr>
      <w:spacing w:line="240" w:lineRule="auto"/>
      <w:jc w:val="center"/>
    </w:pPr>
    <w:rPr>
      <w:rFonts w:ascii="Times New Roman" w:hAnsi="Times New Roman" w:eastAsia="宋体" w:cs="Times New Roman"/>
      <w:color w:val="000000"/>
      <w:sz w:val="21"/>
    </w:rPr>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83</Words>
  <Characters>475</Characters>
  <Lines>12</Lines>
  <Paragraphs>8</Paragraphs>
  <TotalTime>0</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2026-07-29T22:49:00Z</dcterms:created>
  <dc:creator>典藏记忆</dc:creator>
  <cp:lastModifiedBy>典藏记忆</cp:lastModifiedBy>
  <dcterms:modified xsi:type="dcterms:W3CDTF">2026-07-30T12:03:25Z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8C0F70CDCF50FBC278CC6A6AE0826D66_42</vt:lpwstr>
  </property>
</Properties>
</file>