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s-01-hoja-de-decisión-comercial"/>
    <w:p>
      <w:pPr>
        <w:pStyle w:val="Heading1"/>
      </w:pPr>
      <w:r>
        <w:t xml:space="preserve">CS-01 — Hoja de Decisión Comercial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al completar costos, validación técnica y revisión jurídica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(entrevista decisión institucional y aprobación de propuesta)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 </w:t>
      </w:r>
      <w:r>
        <w:t xml:space="preserve">para el mapeo de códigos PSEA / F-PSEA / I-PSEA / DG-PSEA tras la renumeración del 2026-06-14.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Fuente única de verdad para alcance, precio, condiciones y reclamos. Evita contradicciones entre folletos, cotizaciones, formularios de registro, términos y correos electrónicos de los clientes.</w:t>
      </w:r>
    </w:p>
    <w:bookmarkEnd w:id="9"/>
    <w:bookmarkStart w:id="11" w:name="identidad-del-servicio"/>
    <w:p>
      <w:pPr>
        <w:pStyle w:val="Heading2"/>
      </w:pPr>
      <w:r>
        <w:t xml:space="preserve">1. Identidad del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aprobado</w:t>
            </w:r>
          </w:p>
        </w:tc>
        <w:tc>
          <w:tcPr/>
          <w:p>
            <w:pPr>
              <w:pStyle w:val="Compact"/>
            </w:pPr>
            <w:r>
              <w:t xml:space="preserve">Pruebas/fuente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servicio</w:t>
            </w:r>
          </w:p>
        </w:tc>
        <w:tc>
          <w:tcPr/>
          <w:p>
            <w:pPr>
              <w:pStyle w:val="Compact"/>
            </w:pPr>
            <w:r>
              <w:t xml:space="preserve">Ensayos de Aptitud para Gases Contaminantes Criterio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 legal del proveedor</w:t>
            </w:r>
          </w:p>
        </w:tc>
        <w:tc>
          <w:tcPr/>
          <w:p>
            <w:pPr>
              <w:pStyle w:val="Compact"/>
            </w:pPr>
            <w:r>
              <w:t xml:space="preserve">Universidad Nacional de Colombia, NIT 899.999.063-3, Sede Medellín</w:t>
            </w:r>
          </w:p>
        </w:tc>
        <w:tc>
          <w:tcPr/>
          <w:p>
            <w:pPr>
              <w:pStyle w:val="Compact"/>
            </w:pPr>
            <w:r>
              <w:t xml:space="preserve">confirmación institucional del 2026-07-14; documentos oficiales de contratación UNAL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ejecutora</w:t>
            </w:r>
          </w:p>
        </w:tc>
        <w:tc>
          <w:tcPr/>
          <w:p>
            <w:pPr>
              <w:pStyle w:val="Compact"/>
            </w:pPr>
            <w:r>
              <w:t xml:space="preserve">Facultad de Minas, Laboratorio CALAIRE</w:t>
            </w:r>
          </w:p>
        </w:tc>
        <w:tc>
          <w:tcPr/>
          <w:p>
            <w:pPr>
              <w:pStyle w:val="Compact"/>
            </w:pPr>
            <w:r>
              <w:t xml:space="preserve">confirmación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para quejas</w:t>
            </w:r>
          </w:p>
        </w:tc>
        <w:tc>
          <w:tcPr/>
          <w:p>
            <w:pPr>
              <w:pStyle w:val="Compact"/>
            </w:pPr>
            <w:r>
              <w:t xml:space="preserve">Profesional de proyectos —</w:t>
            </w:r>
            <w:r>
              <w:t xml:space="preserve"> </w:t>
            </w:r>
            <w:r>
              <w:rPr>
                <w:rStyle w:val="VerbatimChar"/>
              </w:rPr>
              <w:t xml:space="preserve">calaire_med@unal.edu.co</w:t>
            </w:r>
            <w:r>
              <w:t xml:space="preserve"> </w:t>
            </w:r>
            <w:r>
              <w:t xml:space="preserve">(recepción y registro); Profesional de calidad (clasificación y supervisión SGC)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de trabajo del servicio (interfaz comercial)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de publicación del servicio (catálogo, EoI, términos)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ver CS-02 sección 12 y CS-08 cláusula 18</w:t>
            </w:r>
          </w:p>
        </w:tc>
      </w:tr>
    </w:tbl>
    <w:bookmarkStart w:id="10" w:name="roles-del-equipo"/>
    <w:p>
      <w:pPr>
        <w:pStyle w:val="Heading3"/>
      </w:pPr>
      <w:r>
        <w:t xml:space="preserve">Roles del 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 de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 de infraestructura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Técnico instrumental especializado (respaldo técnico)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 de calidad</w:t>
            </w:r>
          </w:p>
        </w:tc>
      </w:tr>
    </w:tbl>
    <w:bookmarkEnd w:id="10"/>
    <w:bookmarkEnd w:id="11"/>
    <w:bookmarkStart w:id="12" w:name="alcance-y-paquetes-seleccionables"/>
    <w:p>
      <w:pPr>
        <w:pStyle w:val="Heading2"/>
      </w:pPr>
      <w:r>
        <w:t xml:space="preserve">2. Alcance y paquetes seleccionables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Unidades de reporte</w:t>
            </w:r>
          </w:p>
        </w:tc>
        <w:tc>
          <w:tcPr/>
          <w:p>
            <w:pPr>
              <w:pStyle w:val="Compact"/>
            </w:pPr>
            <w:r>
              <w:t xml:space="preserve">Capacidad por gas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µmol/mol</w:t>
            </w:r>
          </w:p>
        </w:tc>
        <w:tc>
          <w:tcPr/>
          <w:p>
            <w:pPr>
              <w:pStyle w:val="Compact"/>
            </w:pPr>
            <w:r>
              <w:t xml:space="preserve">4 analizadores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4 analizadores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4 analizadores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NO₂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4 analizadores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O₃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4 analizadores participantes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Definiciones de los paquetes</w:t>
      </w:r>
    </w:p>
    <w:p>
      <w:pPr>
        <w:pStyle w:val="Compact"/>
        <w:numPr>
          <w:ilvl w:val="0"/>
          <w:numId w:val="1001"/>
        </w:numPr>
      </w:pPr>
      <w:r>
        <w:t xml:space="preserve">Participación en un solo bloque: uno de CO, SO₂, O₃ o NO/NO₂.</w:t>
      </w:r>
    </w:p>
    <w:p>
      <w:pPr>
        <w:pStyle w:val="Compact"/>
        <w:numPr>
          <w:ilvl w:val="0"/>
          <w:numId w:val="1001"/>
        </w:numPr>
      </w:pPr>
      <w:r>
        <w:t xml:space="preserve">Participación multibloque: dos o tres bloques seleccionados.</w:t>
      </w:r>
    </w:p>
    <w:p>
      <w:pPr>
        <w:pStyle w:val="Compact"/>
        <w:numPr>
          <w:ilvl w:val="0"/>
          <w:numId w:val="1001"/>
        </w:numPr>
      </w:pPr>
      <w:r>
        <w:t xml:space="preserve">Participación completa: los cuatro bloques (CO, SO₂, O₃ y NO/NO₂).</w:t>
      </w:r>
    </w:p>
    <w:p>
      <w:pPr>
        <w:pStyle w:val="FirstParagraph"/>
      </w:pPr>
      <w:r>
        <w:rPr>
          <w:b/>
          <w:bCs/>
        </w:rPr>
        <w:t xml:space="preserve">Unidad estándar de participación:</w:t>
      </w:r>
      <w:r>
        <w:t xml:space="preserve"> </w:t>
      </w:r>
      <w:r>
        <w:t xml:space="preserve">una organización registrada bajo un código de</w:t>
      </w:r>
      <w:r>
        <w:t xml:space="preserve"> </w:t>
      </w:r>
      <w:r>
        <w:t xml:space="preserve">participante, con derecho a inscribir hasta un analizador por cada bloque</w:t>
      </w:r>
      <w:r>
        <w:t xml:space="preserve"> </w:t>
      </w:r>
      <w:r>
        <w:t xml:space="preserve">contratado. La participación completa puede comprender hasta cuatro</w:t>
      </w:r>
      <w:r>
        <w:t xml:space="preserve"> </w:t>
      </w:r>
      <w:r>
        <w:t xml:space="preserve">analizadores: uno para CO, uno para SO₂, uno para O₃ y uno para el bloque</w:t>
      </w:r>
      <w:r>
        <w:t xml:space="preserve"> </w:t>
      </w:r>
      <w:r>
        <w:t xml:space="preserve">NO/NO₂. Cada analizador consume un cupo operativo en su bloque, pero el precio</w:t>
      </w:r>
      <w:r>
        <w:t xml:space="preserve"> </w:t>
      </w:r>
      <w:r>
        <w:t xml:space="preserve">no se calcula por analizador.</w:t>
      </w:r>
    </w:p>
    <w:p>
      <w:pPr>
        <w:pStyle w:val="BodyText"/>
      </w:pPr>
      <w:r>
        <w:rPr>
          <w:b/>
          <w:bCs/>
        </w:rPr>
        <w:t xml:space="preserve">Analizador adicional en el mismo bloque:</w:t>
      </w:r>
      <w:r>
        <w:t xml:space="preserve"> </w:t>
      </w:r>
      <w:r>
        <w:t xml:space="preserve">puede admitirse si queda capacidad</w:t>
      </w:r>
      <w:r>
        <w:t xml:space="preserve"> </w:t>
      </w:r>
      <w:r>
        <w:t xml:space="preserve">residual después de asignar un cupo primario a cada organización elegible. No</w:t>
      </w:r>
      <w:r>
        <w:t xml:space="preserve"> </w:t>
      </w:r>
      <w:r>
        <w:t xml:space="preserve">es excluyente, pero requiere revisión de capacidad en CS-09 y no puede desplazar</w:t>
      </w:r>
      <w:r>
        <w:t xml:space="preserve"> </w:t>
      </w:r>
      <w:r>
        <w:t xml:space="preserve">a otra organización de su primer cupo en ese bloque. Su tratamiento de precio</w:t>
      </w:r>
      <w:r>
        <w:t xml:space="preserve"> </w:t>
      </w:r>
      <w:r>
        <w:t xml:space="preserve">es provisionalmente sin recargo durante la etapa de propuesta; puede revisarse</w:t>
      </w:r>
      <w:r>
        <w:t xml:space="preserve"> </w:t>
      </w:r>
      <w:r>
        <w:t xml:space="preserve">cuando CS-04 disponga de costos y evidencia operativa.</w:t>
      </w:r>
    </w:p>
    <w:bookmarkEnd w:id="12"/>
    <w:bookmarkStart w:id="13" w:name="ancla-de-precio-y-objetivo"/>
    <w:p>
      <w:pPr>
        <w:pStyle w:val="Heading2"/>
      </w:pPr>
      <w:r>
        <w:t xml:space="preserve">3. Ancla de precio y objetivo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Artículo</w:t>
            </w:r>
          </w:p>
        </w:tc>
        <w:tc>
          <w:tcPr/>
          <w:p>
            <w:pPr>
              <w:pStyle w:val="Compact"/>
            </w:pPr>
            <w:r>
              <w:t xml:space="preserve">Valor aprobado</w:t>
            </w:r>
          </w:p>
        </w:tc>
        <w:tc>
          <w:tcPr/>
          <w:p>
            <w:pPr>
              <w:pStyle w:val="Compact"/>
            </w:pPr>
            <w:r>
              <w:t xml:space="preserve">Pruebas/fuente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por ronda (sin impuestos)</w:t>
            </w:r>
          </w:p>
        </w:tc>
        <w:tc>
          <w:tcPr/>
          <w:p>
            <w:pPr>
              <w:pStyle w:val="Compact"/>
            </w:pPr>
            <w:r>
              <w:t xml:space="preserve">Aproximadamente COP 5.928.000 por organización participante, tanto para uno como para los cuatro bloques de gases; incluye hasta un analizador por bloque y no es un precio aprobado</w:t>
            </w:r>
          </w:p>
        </w:tc>
        <w:tc>
          <w:tcPr/>
          <w:p>
            <w:pPr>
              <w:pStyle w:val="Compact"/>
            </w:pPr>
            <w:r>
              <w:t xml:space="preserve">conversión indicativa de la referencia comparativa de EUR 1.600 al 2026-07-14: TRM COP 3.248,87/USD × referencia BCE 1,1404 USD/EUR; acumulación de costos en CS-04 antes de aprobar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de precios</w:t>
            </w:r>
          </w:p>
        </w:tc>
        <w:tc>
          <w:tcPr/>
          <w:p>
            <w:pPr>
              <w:pStyle w:val="Compact"/>
            </w:pPr>
            <w:r>
              <w:t xml:space="preserve">Propuesta para lanzamiento y validación comercial; sin meta de margen ni subsidio comprometido. Antes de emitir una oferta real, el precio no debe quedar por debajo del costo directo de ejecución calculado en CS-04.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referencia al apartado 8.6 del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 de facturación</w:t>
            </w:r>
          </w:p>
        </w:tc>
        <w:tc>
          <w:tcPr/>
          <w:p>
            <w:pPr>
              <w:pStyle w:val="Compact"/>
            </w:pPr>
            <w:r>
              <w:t xml:space="preserve">COP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tipo de cambio</w:t>
            </w:r>
          </w:p>
        </w:tc>
        <w:tc>
          <w:tcPr/>
          <w:p>
            <w:pPr>
              <w:pStyle w:val="Compact"/>
            </w:pPr>
            <w:r>
              <w:t xml:space="preserve">Para convertir referencias en EUR: tasa cruzada formada con la TRM USD/COP certificada por la Superintendencia Financiera y la referencia EUR/USD del BCE vigentes o más recientes disponibles en la fecha del cálculo.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monetaria (facturación ≠ cálculo de costos)</w:t>
            </w:r>
          </w:p>
        </w:tc>
        <w:tc>
          <w:tcPr/>
          <w:p>
            <w:pPr>
              <w:pStyle w:val="Compact"/>
            </w:pPr>
            <w:r>
              <w:t xml:space="preserve">Cotización y facturación únicamente en COP. El valor queda fijo en COP durante la vigencia de la cotización; referencias en moneda extranjera no constituyen precio ofrecido.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Impuestos</w:t>
            </w:r>
          </w:p>
        </w:tc>
        <w:tc>
          <w:tcPr/>
          <w:p>
            <w:pPr>
              <w:pStyle w:val="Compact"/>
            </w:pPr>
            <w:r>
              <w:t xml:space="preserve">Precio expresado antes de impuestos. Los impuestos y retenciones aplicables serán determinados por la Universidad Nacional de Colombia al emitir cada cotización. No se presume una tarifa hasta validación financiera institucional.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validación financiera requerida antes de cotizar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Validez de la cotización</w:t>
            </w:r>
          </w:p>
        </w:tc>
        <w:tc>
          <w:tcPr/>
          <w:p>
            <w:pPr>
              <w:pStyle w:val="Compact"/>
            </w:pPr>
            <w:r>
              <w:t xml:space="preserve">30 días calendario desde su emisión, sin exceder la fecha límite de inscripción ni permanecer vigente dentro de los 15 días anteriores al inicio de la ronda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ver CS-06 sección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de aceptación (después del cual se retira la oferta)</w:t>
            </w:r>
          </w:p>
        </w:tc>
        <w:tc>
          <w:tcPr/>
          <w:p>
            <w:pPr>
              <w:pStyle w:val="Compact"/>
            </w:pPr>
            <w:r>
              <w:t xml:space="preserve">La primera fecha entre: vencimiento de los 30 días, fecha límite de inscripción, 15 días antes del inicio de la ronda o agotamiento de la capacidad aplicable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 de precio del paquete</w:t>
            </w:r>
          </w:p>
        </w:tc>
        <w:tc>
          <w:tcPr/>
          <w:p>
            <w:pPr>
              <w:pStyle w:val="Compact"/>
            </w:pPr>
            <w:r>
              <w:t xml:space="preserve">Tarifa plana provisional por organización participante: el mismo valor para seleccionar entre uno y cuatro bloques. Los bloques son CO, SO₂, O₃ y NO/NO₂.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modelo de referencia UBA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Política monetaria</w:t>
      </w:r>
      <w:r>
        <w:t xml:space="preserve"> </w:t>
      </w:r>
      <w:r>
        <w:t xml:space="preserve">(subsección que se debe documentar antes de aprobar):</w:t>
      </w:r>
    </w:p>
    <w:p>
      <w:pPr>
        <w:pStyle w:val="Compact"/>
        <w:numPr>
          <w:ilvl w:val="0"/>
          <w:numId w:val="1002"/>
        </w:numPr>
      </w:pPr>
      <w:r>
        <w:t xml:space="preserve">Si la moneda de facturación es distinta a la moneda de costo, documentar: tipo de cambio de referencia, frecuencia de actualización, quién autoriza revaluaciones, y si el riesgo cambiario lo asume CALAIRE-EA o el cliente.</w:t>
      </w:r>
    </w:p>
    <w:p>
      <w:pPr>
        <w:pStyle w:val="Compact"/>
        <w:numPr>
          <w:ilvl w:val="0"/>
          <w:numId w:val="1002"/>
        </w:numPr>
      </w:pPr>
      <w:r>
        <w:t xml:space="preserve">La pestaña 1 de CS-04 (Supuestos) debe referenciar la misma política.</w:t>
      </w:r>
    </w:p>
    <w:p>
      <w:pPr>
        <w:pStyle w:val="FirstParagraph"/>
      </w:pPr>
      <w:r>
        <w:rPr>
          <w:b/>
          <w:bCs/>
        </w:rP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Precio del participante = tarifa fija por ronda y organización participante</w:t>
      </w:r>
      <w:r>
        <w:br/>
      </w:r>
      <w:r>
        <w:rPr>
          <w:rStyle w:val="VerbatimChar"/>
        </w:rPr>
        <w:t xml:space="preserve">                          para uno a cuatro bloques de gases seleccionados</w:t>
      </w:r>
    </w:p>
    <w:p>
      <w:pPr>
        <w:pStyle w:val="Compact"/>
        <w:numPr>
          <w:ilvl w:val="0"/>
          <w:numId w:val="1003"/>
        </w:numPr>
      </w:pPr>
      <w:r>
        <w:t xml:space="preserve">La tarifa provisional no cambia entre uno y cuatro bloques seleccionados.</w:t>
      </w:r>
    </w:p>
    <w:p>
      <w:pPr>
        <w:pStyle w:val="Compact"/>
        <w:numPr>
          <w:ilvl w:val="0"/>
          <w:numId w:val="1003"/>
        </w:numPr>
      </w:pPr>
      <w:r>
        <w:t xml:space="preserve">El bloque NO/NO₂ se contrata y opera como una sola unidad con un analizador NOx.</w:t>
      </w:r>
    </w:p>
    <w:p>
      <w:pPr>
        <w:pStyle w:val="Compact"/>
        <w:numPr>
          <w:ilvl w:val="0"/>
          <w:numId w:val="1003"/>
        </w:numPr>
      </w:pPr>
      <w:r>
        <w:t xml:space="preserve">La tarifa incluye hasta un analizador por bloque contratado.</w:t>
      </w:r>
    </w:p>
    <w:bookmarkEnd w:id="13"/>
    <w:bookmarkStart w:id="14" w:name="límites-de-capacidad"/>
    <w:p>
      <w:pPr>
        <w:pStyle w:val="Heading2"/>
      </w:pPr>
      <w:r>
        <w:t xml:space="preserve">4. Límites de capacidad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Límite de planificación comercial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operado individualmente</w:t>
            </w:r>
          </w:p>
        </w:tc>
        <w:tc>
          <w:tcPr/>
          <w:p>
            <w:pPr>
              <w:pStyle w:val="Compact"/>
            </w:pPr>
            <w:r>
              <w:t xml:space="preserve">4 participantes / analizadores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 y SO₂ funcionan simultáneamente</w:t>
            </w:r>
          </w:p>
        </w:tc>
        <w:tc>
          <w:tcPr/>
          <w:p>
            <w:pPr>
              <w:pStyle w:val="Compact"/>
            </w:pPr>
            <w:r>
              <w:t xml:space="preserve">3 participantes, hasta 2 analizadores cada uno; 6 analizadores participantes en total</w:t>
            </w:r>
          </w:p>
        </w:tc>
      </w:tr>
    </w:tbl>
    <w:p>
      <w:pPr>
        <w:pStyle w:val="BodyText"/>
      </w:pPr>
      <w:r>
        <w:t xml:space="preserve">La capacidad se reserva por analizador y configuración, no solo por organización.</w:t>
      </w:r>
      <w:r>
        <w:t xml:space="preserve"> </w:t>
      </w:r>
      <w:r>
        <w:t xml:space="preserve">Estos valores son límites provisionales de planificación; su validación queda</w:t>
      </w:r>
      <w:r>
        <w:t xml:space="preserve"> </w:t>
      </w:r>
      <w:r>
        <w:t xml:space="preserve">en espera del T700U.</w:t>
      </w:r>
    </w:p>
    <w:p>
      <w:pPr>
        <w:pStyle w:val="BodyText"/>
      </w:pPr>
      <w:r>
        <w:rPr>
          <w:b/>
          <w:bCs/>
        </w:rPr>
        <w:t xml:space="preserve">Puerta de verificación de capacidad:</w:t>
      </w:r>
      <w:r>
        <w:t xml:space="preserve"> </w:t>
      </w:r>
      <w:r>
        <w:t xml:space="preserve">antes de aceptar un pedido, la verificación CS-09 #4 debe confirmar que el pedido se mantiene dentro de estos límites y que la capacidad residual después del pedido es al menos 0. Si un pedido consume el último cupo, el siguiente debe ir a una lista de espera (CS-10) con la regla de prioridad documentada.</w:t>
      </w:r>
    </w:p>
    <w:bookmarkEnd w:id="14"/>
    <w:bookmarkStart w:id="15" w:name="asignación-de-costos-del-ciclo-de-vida"/>
    <w:p>
      <w:pPr>
        <w:pStyle w:val="Heading2"/>
      </w:pPr>
      <w:r>
        <w:t xml:space="preserve">5. Asignación de costos del ciclo de vida</w:t>
      </w:r>
    </w:p>
    <w:p>
      <w:pPr>
        <w:pStyle w:val="FirstParagraph"/>
      </w:pPr>
      <w:r>
        <w:t xml:space="preserve">Provisión anual aprobada a recuperar mediante cuotas por ronda: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Categorías de costos incluidas</w:t>
            </w:r>
          </w:p>
        </w:tc>
        <w:tc>
          <w:tcPr/>
          <w:p>
            <w:pPr>
              <w:pStyle w:val="Compact"/>
            </w:pPr>
            <w:r>
              <w:t xml:space="preserve">Método de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O₃ / sistema de referencia</w:t>
            </w:r>
          </w:p>
        </w:tc>
        <w:tc>
          <w:tcPr/>
          <w:p>
            <w:pPr>
              <w:pStyle w:val="Compact"/>
            </w:pPr>
            <w:r>
              <w:t xml:space="preserve">Mantenimiento preventivo, lámparas, depuradores, filtros, reparaciones, repuestos</w:t>
            </w:r>
          </w:p>
        </w:tc>
        <w:tc>
          <w:tcPr/>
          <w:p>
            <w:pPr>
              <w:pStyle w:val="Compact"/>
            </w:pPr>
            <w:r>
              <w:t xml:space="preserve">Específico del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SO₂</w:t>
            </w:r>
          </w:p>
        </w:tc>
        <w:tc>
          <w:tcPr/>
          <w:p>
            <w:pPr>
              <w:pStyle w:val="Compact"/>
            </w:pPr>
            <w:r>
              <w:t xml:space="preserve">Mantenimiento preventivo, lámparas, filtros, bombas, reparaciones, repuestos</w:t>
            </w:r>
          </w:p>
        </w:tc>
        <w:tc>
          <w:tcPr/>
          <w:p>
            <w:pPr>
              <w:pStyle w:val="Compact"/>
            </w:pPr>
            <w:r>
              <w:t xml:space="preserve">Específico del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CO</w:t>
            </w:r>
          </w:p>
        </w:tc>
        <w:tc>
          <w:tcPr/>
          <w:p>
            <w:pPr>
              <w:pStyle w:val="Compact"/>
            </w:pPr>
            <w:r>
              <w:t xml:space="preserve">Mantenimiento preventivo, filtros, bombas, reparaciones, repuestos</w:t>
            </w:r>
          </w:p>
        </w:tc>
        <w:tc>
          <w:tcPr/>
          <w:p>
            <w:pPr>
              <w:pStyle w:val="Compact"/>
            </w:pPr>
            <w:r>
              <w:t xml:space="preserve">Específico del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NOx</w:t>
            </w:r>
          </w:p>
        </w:tc>
        <w:tc>
          <w:tcPr/>
          <w:p>
            <w:pPr>
              <w:pStyle w:val="Compact"/>
            </w:pPr>
            <w:r>
              <w:t xml:space="preserve">Mantenimiento preventivo, convertidor, ozonizador, bombas, filtros, reparaciones, repuestos</w:t>
            </w:r>
          </w:p>
        </w:tc>
        <w:tc>
          <w:tcPr/>
          <w:p>
            <w:pPr>
              <w:pStyle w:val="Compact"/>
            </w:pPr>
            <w:r>
              <w:t xml:space="preserve">Específico del 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Calibrador dinámico</w:t>
            </w:r>
          </w:p>
        </w:tc>
        <w:tc>
          <w:tcPr/>
          <w:p>
            <w:pPr>
              <w:pStyle w:val="Compact"/>
            </w:pPr>
            <w:r>
              <w:t xml:space="preserve">Calibración, servicio MFC, sellos, válvulas, mantenimiento, reparación</w:t>
            </w:r>
          </w:p>
        </w:tc>
        <w:tc>
          <w:tcPr/>
          <w:p>
            <w:pPr>
              <w:pStyle w:val="Compact"/>
            </w:pPr>
            <w:r>
              <w:t xml:space="preserve">Tarifa común u horas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aire cero</w:t>
            </w:r>
          </w:p>
        </w:tc>
        <w:tc>
          <w:tcPr/>
          <w:p>
            <w:pPr>
              <w:pStyle w:val="Compact"/>
            </w:pPr>
            <w:r>
              <w:t xml:space="preserve">Reemplazo de catalizador/depurador/filtro, servicio y reparación de compresores/bombas</w:t>
            </w:r>
          </w:p>
        </w:tc>
        <w:tc>
          <w:tcPr/>
          <w:p>
            <w:pPr>
              <w:pStyle w:val="Compact"/>
            </w:pPr>
            <w:r>
              <w:t xml:space="preserve">Tarifa común u horas de uso</w:t>
            </w:r>
          </w:p>
        </w:tc>
      </w:tr>
    </w:tbl>
    <w:p>
      <w:pPr>
        <w:pStyle w:val="BodyText"/>
      </w:pPr>
      <w:r>
        <w:rPr>
          <w:b/>
          <w:bCs/>
        </w:rPr>
        <w:t xml:space="preserve">Fórmula de asignación por ronda</w:t>
      </w:r>
    </w:p>
    <w:p>
      <w:pPr>
        <w:pStyle w:val="SourceCode"/>
      </w:pPr>
      <w:r>
        <w:rPr>
          <w:rStyle w:val="VerbatimChar"/>
        </w:rPr>
        <w:t xml:space="preserve">Provisión anual del ciclo de vida</w:t>
      </w:r>
      <w:r>
        <w:br/>
      </w:r>
      <w:r>
        <w:rPr>
          <w:rStyle w:val="VerbatimChar"/>
        </w:rPr>
        <w:t xml:space="preserve">    = mantenimiento planificado + consumibles + calibración/servicio</w:t>
      </w:r>
      <w:r>
        <w:br/>
      </w:r>
      <w:r>
        <w:rPr>
          <w:rStyle w:val="VerbatimChar"/>
        </w:rPr>
        <w:t xml:space="preserve">    + provisión para reparaciones correctivas basada en riesgos</w:t>
      </w:r>
      <w:r>
        <w:br/>
      </w:r>
      <w:r>
        <w:br/>
      </w:r>
      <w:r>
        <w:rPr>
          <w:rStyle w:val="VerbatimChar"/>
        </w:rPr>
        <w:t xml:space="preserve">Asignación por ronda</w:t>
      </w:r>
      <w:r>
        <w:br/>
      </w:r>
      <w:r>
        <w:rPr>
          <w:rStyle w:val="VerbatimChar"/>
        </w:rPr>
        <w:t xml:space="preserve">    = provisión anual del ciclo de vida × factor documentado de uso por ronda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factor de uso por ronda</w:t>
      </w:r>
      <w:r>
        <w:t xml:space="preserve"> </w:t>
      </w:r>
      <w:r>
        <w:t xml:space="preserve">(fracción del año de uso intensivo del equipo atribuible a una ronda típica) debe documentarse en la pestaña 4 de CS-04, columna</w:t>
      </w:r>
      <w:r>
        <w:t xml:space="preserve"> </w:t>
      </w:r>
      <w:r>
        <w:t xml:space="preserve">“Factor de uso por ronda”</w:t>
      </w:r>
      <w:r>
        <w:t xml:space="preserve">, con su evidencia (historial de uso, campañas anteriores, plan de mantenimiento). Sin este factor la asignación por ronda no se puede calcular.</w:t>
      </w:r>
    </w:p>
    <w:p>
      <w:pPr>
        <w:pStyle w:val="BodyText"/>
      </w:pPr>
      <w:r>
        <w:t xml:space="preserve">Las piezas y los intervalos exactos deben provenir de los modelos de equipos instalados, programas del fabricante, cotizaciones de servicio o historial de mantenimiento.</w:t>
      </w:r>
    </w:p>
    <w:p>
      <w:pPr>
        <w:pStyle w:val="BodyText"/>
      </w:pPr>
      <w:r>
        <w:rPr>
          <w:b/>
          <w:bCs/>
        </w:rPr>
        <w:t xml:space="preserve">Responsables de la evidencia:</w:t>
      </w:r>
      <w:r>
        <w:t xml:space="preserve"> </w:t>
      </w:r>
      <w:r>
        <w:t xml:space="preserve">Profesional de infraestructura levanta inventario, modelo, serie y estado;</w:t>
      </w:r>
      <w:r>
        <w:t xml:space="preserve"> </w:t>
      </w:r>
      <w:r>
        <w:t xml:space="preserve">Técnico instrumental especializado (respaldo técnico) identifica repuestos, consumibles, mantenimiento e intervalos;</w:t>
      </w:r>
      <w:r>
        <w:t xml:space="preserve"> </w:t>
      </w:r>
      <w:r>
        <w:t xml:space="preserve">Profesional de proyectos obtiene cotizaciones y costos; Líder técnico valida la pertinencia</w:t>
      </w:r>
      <w:r>
        <w:t xml:space="preserve"> </w:t>
      </w:r>
      <w:r>
        <w:t xml:space="preserve">técnica; Directora del grupo aprueba su incorporación al modelo CS-04.</w:t>
      </w:r>
    </w:p>
    <w:bookmarkEnd w:id="15"/>
    <w:bookmarkStart w:id="16" w:name="X73e6b1e625929e6bff3b643d125d975367179fc"/>
    <w:p>
      <w:pPr>
        <w:pStyle w:val="Heading2"/>
      </w:pPr>
      <w:r>
        <w:t xml:space="preserve">6. Estrategia de cilindros de gas certificado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Mezcla multicomponente</w:t>
            </w:r>
          </w:p>
        </w:tc>
        <w:tc>
          <w:tcPr/>
          <w:p>
            <w:pPr>
              <w:pStyle w:val="Compact"/>
            </w:pPr>
            <w:r>
              <w:t xml:space="preserve">Cilindros individuales</w:t>
            </w:r>
          </w:p>
        </w:tc>
        <w:tc>
          <w:tcPr/>
          <w:p>
            <w:pPr>
              <w:pStyle w:val="Compact"/>
            </w:pPr>
            <w:r>
              <w:t xml:space="preserve">Híbrida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Adquisiciones</w:t>
            </w:r>
          </w:p>
        </w:tc>
        <w:tc>
          <w:tcPr/>
          <w:p>
            <w:pPr>
              <w:pStyle w:val="Compact"/>
            </w:pPr>
            <w:r>
              <w:t xml:space="preserve">Menos pedidos/cilindros</w:t>
            </w:r>
          </w:p>
        </w:tc>
        <w:tc>
          <w:tcPr/>
          <w:p>
            <w:pPr>
              <w:pStyle w:val="Compact"/>
            </w:pPr>
            <w:r>
              <w:t xml:space="preserve">Varios pedidos/cilindros</w:t>
            </w:r>
          </w:p>
        </w:tc>
        <w:tc>
          <w:tcPr/>
          <w:p>
            <w:pPr>
              <w:pStyle w:val="Compact"/>
            </w:pPr>
            <w:r>
              <w:t xml:space="preserve">Utilice la mezcla existente para lanzar; compare opciones de reemplazo antes de comprar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Concentraciones</w:t>
            </w:r>
          </w:p>
        </w:tc>
        <w:tc>
          <w:tcPr/>
          <w:p>
            <w:pPr>
              <w:pStyle w:val="Compact"/>
            </w:pPr>
            <w:r>
              <w:t xml:space="preserve">Una especificación para todas las diluciones</w:t>
            </w:r>
          </w:p>
        </w:tc>
        <w:tc>
          <w:tcPr/>
          <w:p>
            <w:pPr>
              <w:pStyle w:val="Compact"/>
            </w:pPr>
            <w:r>
              <w:t xml:space="preserve">Optimizado por gas</w:t>
            </w:r>
          </w:p>
        </w:tc>
        <w:tc>
          <w:tcPr/>
          <w:p>
            <w:pPr>
              <w:pStyle w:val="Compact"/>
            </w:pPr>
            <w:r>
              <w:t xml:space="preserve">Las especificaciones de CO/SO₂/NOx existentes deben compararse con los niveles previstos.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 / compatibilidad</w:t>
            </w:r>
          </w:p>
        </w:tc>
        <w:tc>
          <w:tcPr/>
          <w:p>
            <w:pPr>
              <w:pStyle w:val="Compact"/>
            </w:pPr>
            <w:r>
              <w:t xml:space="preserve">Debe ser certificablemente estable</w:t>
            </w:r>
          </w:p>
        </w:tc>
        <w:tc>
          <w:tcPr/>
          <w:p>
            <w:pPr>
              <w:pStyle w:val="Compact"/>
            </w:pPr>
            <w:r>
              <w:t xml:space="preserve">Gestionado por separado</w:t>
            </w:r>
          </w:p>
        </w:tc>
        <w:tc>
          <w:tcPr/>
          <w:p>
            <w:pPr>
              <w:pStyle w:val="Compact"/>
            </w:pPr>
            <w:r>
              <w:t xml:space="preserve">Mezcla aceptada únicamente con evidencia válida de estabilidad específica del componente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Un certificado, valores de los componentes</w:t>
            </w:r>
          </w:p>
        </w:tc>
        <w:tc>
          <w:tcPr/>
          <w:p>
            <w:pPr>
              <w:pStyle w:val="Compact"/>
            </w:pPr>
            <w:r>
              <w:t xml:space="preserve">Certificados separados</w:t>
            </w:r>
          </w:p>
        </w:tc>
        <w:tc>
          <w:tcPr/>
          <w:p>
            <w:pPr>
              <w:pStyle w:val="Compact"/>
            </w:pPr>
            <w:r>
              <w:t xml:space="preserve">El certificado existente debe indicar valores e incertidumbres para CO, SO₂ y NOx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del paquete</w:t>
            </w:r>
          </w:p>
        </w:tc>
        <w:tc>
          <w:tcPr/>
          <w:p>
            <w:pPr>
              <w:pStyle w:val="Compact"/>
            </w:pPr>
            <w:r>
              <w:t xml:space="preserve">Más difícil de asignar a las ventas de un solo gas</w:t>
            </w:r>
          </w:p>
        </w:tc>
        <w:tc>
          <w:tcPr/>
          <w:p>
            <w:pPr>
              <w:pStyle w:val="Compact"/>
            </w:pPr>
            <w:r>
              <w:t xml:space="preserve">Mapas directamente al paquete de gas</w:t>
            </w:r>
          </w:p>
        </w:tc>
        <w:tc>
          <w:tcPr/>
          <w:p>
            <w:pPr>
              <w:pStyle w:val="Compact"/>
            </w:pPr>
            <w:r>
              <w:t xml:space="preserve">La tarifa fija hace que la asignación compartida sea aceptable para la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/ Caducidad</w:t>
            </w:r>
          </w:p>
        </w:tc>
        <w:tc>
          <w:tcPr/>
          <w:p>
            <w:pPr>
              <w:pStyle w:val="Compact"/>
            </w:pPr>
            <w:r>
              <w:t xml:space="preserve">Un problema puede afectar a varios gases</w:t>
            </w:r>
          </w:p>
        </w:tc>
        <w:tc>
          <w:tcPr/>
          <w:p>
            <w:pPr>
              <w:pStyle w:val="Compact"/>
            </w:pPr>
            <w:r>
              <w:t xml:space="preserve">Aislado a un gas</w:t>
            </w:r>
          </w:p>
        </w:tc>
        <w:tc>
          <w:tcPr/>
          <w:p>
            <w:pPr>
              <w:pStyle w:val="Compact"/>
            </w:pPr>
            <w:r>
              <w:t xml:space="preserve">La comparación de reemplazo debe valorar el riesgo correlacionado de falla/caducidad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/ almacenamiento</w:t>
            </w:r>
          </w:p>
        </w:tc>
        <w:tc>
          <w:tcPr/>
          <w:p>
            <w:pPr>
              <w:pStyle w:val="Compact"/>
            </w:pPr>
            <w:r>
              <w:t xml:space="preserve">Menos reguladores/conexiones</w:t>
            </w:r>
          </w:p>
        </w:tc>
        <w:tc>
          <w:tcPr/>
          <w:p>
            <w:pPr>
              <w:pStyle w:val="Compact"/>
            </w:pPr>
            <w:r>
              <w:t xml:space="preserve">Más reguladores, almacenamiento, manipulación</w:t>
            </w:r>
          </w:p>
        </w:tc>
        <w:tc>
          <w:tcPr/>
          <w:p>
            <w:pPr>
              <w:pStyle w:val="Compact"/>
            </w:pPr>
            <w:r>
              <w:t xml:space="preserve">La configuración existente favorece la mezcla si es técnicamente adecuada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de entrega</w:t>
            </w:r>
          </w:p>
        </w:tc>
        <w:tc>
          <w:tcPr/>
          <w:p>
            <w:pPr>
              <w:pStyle w:val="Compact"/>
            </w:pPr>
            <w:r>
              <w:t xml:space="preserve">Disponibilidad de mezclas personalizadas</w:t>
            </w:r>
          </w:p>
        </w:tc>
        <w:tc>
          <w:tcPr/>
          <w:p>
            <w:pPr>
              <w:pStyle w:val="Compact"/>
            </w:pPr>
            <w:r>
              <w:t xml:space="preserve">Varía según el gas</w:t>
            </w:r>
          </w:p>
        </w:tc>
        <w:tc>
          <w:tcPr/>
          <w:p>
            <w:pPr>
              <w:pStyle w:val="Compact"/>
            </w:pPr>
            <w:r>
              <w:t xml:space="preserve">Obtenga plazos de entrega de proveedores comparables antes de la aprobación del reemplazo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estimado por ronda (COP / EUR)</w:t>
            </w:r>
          </w:p>
        </w:tc>
        <w:tc>
          <w:tcPr/>
          <w:p>
            <w:pPr>
              <w:pStyle w:val="Compact"/>
            </w:pPr>
            <w:r>
              <w:t xml:space="preserve">[POR DILIGENCIAR — de CS-04 Pestaña 5]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Estrategia aprobada:</w:t>
      </w:r>
      <w:r>
        <w:t xml:space="preserve"> </w:t>
      </w:r>
      <w:r>
        <w:t xml:space="preserve">mezcla multicomponente CO/SO₂/NOx como referencia</w:t>
      </w:r>
      <w:r>
        <w:t xml:space="preserve"> </w:t>
      </w:r>
      <w:r>
        <w:t xml:space="preserve">provisional para el lanzamiento, usando el cilindro existente solo si su</w:t>
      </w:r>
      <w:r>
        <w:t xml:space="preserve"> </w:t>
      </w:r>
      <w:r>
        <w:t xml:space="preserve">certificado, vigencia, concentraciones, incertidumbres y estabilidad son</w:t>
      </w:r>
      <w:r>
        <w:t xml:space="preserve"> </w:t>
      </w:r>
      <w:r>
        <w:t xml:space="preserve">adecuados. O₃ se genera fotométricamente. Antes de reponer inventario, CS-04</w:t>
      </w:r>
      <w:r>
        <w:t xml:space="preserve"> </w:t>
      </w:r>
      <w:r>
        <w:t xml:space="preserve">debe comparar una nueva mezcla equivalente contra cilindros individuales.</w:t>
      </w:r>
      <w:r>
        <w:br/>
      </w:r>
      <w:r>
        <w:rPr>
          <w:b/>
          <w:bCs/>
        </w:rPr>
        <w:t xml:space="preserve">Aprobador técnico:</w:t>
      </w:r>
      <w:r>
        <w:t xml:space="preserve"> </w:t>
      </w:r>
      <w:r>
        <w:t xml:space="preserve">Directora del grupo, con concepto técnico de Líder técnico</w:t>
      </w:r>
      <w:r>
        <w:t xml:space="preserve"> </w:t>
      </w:r>
      <w:r>
        <w:rPr>
          <w:b/>
          <w:bCs/>
        </w:rPr>
        <w:t xml:space="preserve">Aprobador comercial/financiero:</w:t>
      </w:r>
      <w:r>
        <w:t xml:space="preserve"> </w:t>
      </w:r>
      <w:r>
        <w:t xml:space="preserve">pendiente de aprobación institucional sobre la comparación de costos</w:t>
      </w:r>
    </w:p>
    <w:p>
      <w:pPr>
        <w:pStyle w:val="BodyText"/>
      </w:pPr>
      <w:r>
        <w:rPr>
          <w:b/>
          <w:bCs/>
        </w:rPr>
        <w:t xml:space="preserve">Nota sobre el alcance híbrido:</w:t>
      </w:r>
      <w:r>
        <w:t xml:space="preserve"> </w:t>
      </w:r>
      <w:r>
        <w:t xml:space="preserve">la columna</w:t>
      </w:r>
      <w:r>
        <w:t xml:space="preserve"> </w:t>
      </w:r>
      <w:r>
        <w:t xml:space="preserve">“Híbrida”</w:t>
      </w:r>
      <w:r>
        <w:t xml:space="preserve"> </w:t>
      </w:r>
      <w:r>
        <w:t xml:space="preserve">de esta tabla y de la pestaña 5 de CS-04 es la única que admite combinaciones documentadas (p. ej., mezcla certificada compatible + cilindro individual para un gas que requiere concentración o estabilidad distinta). Sin documentación explícita no se aprueba una estrategia</w:t>
      </w:r>
      <w:r>
        <w:t xml:space="preserve"> </w:t>
      </w:r>
      <w:r>
        <w:t xml:space="preserve">“híbrida”</w:t>
      </w:r>
      <w:r>
        <w:t xml:space="preserve"> </w:t>
      </w:r>
      <w:r>
        <w:t xml:space="preserve">en CS-01.</w:t>
      </w:r>
    </w:p>
    <w:bookmarkEnd w:id="16"/>
    <w:bookmarkStart w:id="17" w:name="normas-de-inscripción-y-confirmación"/>
    <w:p>
      <w:pPr>
        <w:pStyle w:val="Heading2"/>
      </w:pPr>
      <w:r>
        <w:t xml:space="preserve">7. Normas de inscripción y confirmación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Valor aprobado</w:t>
            </w:r>
          </w:p>
        </w:tc>
        <w:tc>
          <w:tcPr/>
          <w:p>
            <w:pPr>
              <w:pStyle w:val="Compact"/>
            </w:pPr>
            <w:r>
              <w:t xml:space="preserve">Pruebas/fuente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Inscripción mínima (participantes)</w:t>
            </w:r>
          </w:p>
        </w:tc>
        <w:tc>
          <w:tcPr/>
          <w:p>
            <w:pPr>
              <w:pStyle w:val="Compact"/>
            </w:pPr>
            <w:r>
              <w:t xml:space="preserve">1 organización confirmada como mínimo operativo provisional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técnicamente compatible con la regla de valor asignado para menos de 12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Inscripción mínima (umbral de ingresos)</w:t>
            </w:r>
          </w:p>
        </w:tc>
        <w:tc>
          <w:tcPr/>
          <w:p>
            <w:pPr>
              <w:pStyle w:val="Compact"/>
            </w:pPr>
            <w:r>
              <w:t xml:space="preserve">Pendiente de CS-04</w:t>
            </w:r>
          </w:p>
        </w:tc>
        <w:tc>
          <w:tcPr/>
          <w:p>
            <w:pPr>
              <w:pStyle w:val="Compact"/>
            </w:pPr>
            <w:r>
              <w:t xml:space="preserve">análisis de viabilidad CS-04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Inscripción máxima</w:t>
            </w:r>
          </w:p>
        </w:tc>
        <w:tc>
          <w:tcPr/>
          <w:p>
            <w:pPr>
              <w:pStyle w:val="Compact"/>
            </w:pPr>
            <w:r>
              <w:t xml:space="preserve">Limitada por los límites de capacidad anteriores</w:t>
            </w:r>
          </w:p>
        </w:tc>
        <w:tc>
          <w:tcPr/>
          <w:p>
            <w:pPr>
              <w:pStyle w:val="Compact"/>
            </w:pPr>
            <w:r>
              <w:t xml:space="preserve">sección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confirmación</w:t>
            </w:r>
          </w:p>
        </w:tc>
        <w:tc>
          <w:tcPr/>
          <w:p>
            <w:pPr>
              <w:pStyle w:val="Compact"/>
            </w:pPr>
            <w:r>
              <w:t xml:space="preserve">Revisión de alcance/capacidad Y pago u orden de compra aceptados</w:t>
            </w:r>
          </w:p>
        </w:tc>
        <w:tc>
          <w:tcPr/>
          <w:p>
            <w:pPr>
              <w:pStyle w:val="Compact"/>
            </w:pPr>
            <w:r>
              <w:t xml:space="preserve">CS-09, 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límite de pago/PO después del registro</w:t>
            </w:r>
          </w:p>
        </w:tc>
        <w:tc>
          <w:tcPr/>
          <w:p>
            <w:pPr>
              <w:pStyle w:val="Compact"/>
            </w:pPr>
            <w:r>
              <w:t xml:space="preserve">15 días calendario por defecto, sin exceder el cierre de inscripción. Prevalecen las políticas financieras y contractuales vigentes de la Universidad Nacional de Colombia; cualquier plazo distinto debe constar en la cotización. Al vencer sin pago ni orden aceptable, el cupo se libera y la solicitud requiere nueva revisión.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CS-10 columna</w:t>
            </w:r>
            <w:r>
              <w:t xml:space="preserve"> </w:t>
            </w:r>
            <w:r>
              <w:t xml:space="preserve">“Plazo de pago”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 de prioridad de la lista de espera</w:t>
            </w:r>
          </w:p>
        </w:tc>
        <w:tc>
          <w:tcPr/>
          <w:p>
            <w:pPr>
              <w:pStyle w:val="Compact"/>
            </w:pPr>
            <w:r>
              <w:t xml:space="preserve">Primero, solicitudes completas y elegibles de laboratorios acreditados, en estricto orden de fecha y hora de completitud. Después, las demás organizaciones elegibles, también por orden de completitud. La expresión de interés no reserva prioridad.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sección</w:t>
            </w:r>
            <w:r>
              <w:t xml:space="preserve"> </w:t>
            </w:r>
            <w:r>
              <w:t xml:space="preserve">“Lista de espera”</w:t>
            </w:r>
            <w:r>
              <w:t xml:space="preserve"> </w:t>
            </w:r>
            <w:r>
              <w:t xml:space="preserve">de 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pago parcial</w:t>
            </w:r>
          </w:p>
        </w:tc>
        <w:tc>
          <w:tcPr/>
          <w:p>
            <w:pPr>
              <w:pStyle w:val="Compact"/>
            </w:pPr>
            <w:r>
              <w:t xml:space="preserve">Se rige exclusivamente por las políticas financieras y contractuales vigentes de la Universidad Nacional de Colombia. La cotización debe indicar la modalidad autorizada y CS-09 debe verificar su cumplimiento antes de confirmar el cupo.</w:t>
            </w:r>
          </w:p>
        </w:tc>
        <w:tc>
          <w:tcPr/>
          <w:p>
            <w:pPr>
              <w:pStyle w:val="Compact"/>
            </w:pPr>
            <w:r>
              <w:t xml:space="preserve">decisión institucional del 2026-07-14; CS-06 y CS-09</w:t>
            </w:r>
          </w:p>
        </w:tc>
      </w:tr>
    </w:tbl>
    <w:bookmarkEnd w:id="17"/>
    <w:bookmarkStart w:id="18" w:name="cancelación-y-aplazamiento"/>
    <w:p>
      <w:pPr>
        <w:pStyle w:val="Heading2"/>
      </w:pPr>
      <w:r>
        <w:t xml:space="preserve">8. Cancelación y aplazamiento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Tarifa / reembolso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de participantes ≥ 30 días calendario antes del inicio de la ronda</w:t>
            </w:r>
          </w:p>
        </w:tc>
        <w:tc>
          <w:tcPr/>
          <w:p>
            <w:pPr>
              <w:pStyle w:val="Compact"/>
            </w:pPr>
            <w:r>
              <w:t xml:space="preserve">El participante puede solicitar una única reprogramación (sujeta a capacidad) o cancelar.</w:t>
            </w:r>
          </w:p>
        </w:tc>
        <w:tc>
          <w:tcPr/>
          <w:p>
            <w:pPr>
              <w:pStyle w:val="Compact"/>
            </w:pPr>
            <w:r>
              <w:t xml:space="preserve">Si cancela, la devolución de lo pagado menos únicamente costos directos no recuperables, ya incurridos, documentados y permitidos por las políticas de la Universidad. Sin penalidad porcentual genérica.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de participantes &lt; 30 días calendario antes del inicio de la ronda</w:t>
            </w:r>
          </w:p>
        </w:tc>
        <w:tc>
          <w:tcPr/>
          <w:p>
            <w:pPr>
              <w:pStyle w:val="Compact"/>
            </w:pPr>
            <w:r>
              <w:t xml:space="preserve">El participante puede solicitar una única reprogramación, sujeta a capacidad y al pago de costos incrementales documentados.</w:t>
            </w:r>
          </w:p>
        </w:tc>
        <w:tc>
          <w:tcPr/>
          <w:p>
            <w:pPr>
              <w:pStyle w:val="Compact"/>
            </w:pPr>
            <w:r>
              <w:t xml:space="preserve">No hay devolución automática. Si no se reprograma, solo se reconoce el saldo recuperable que determina los costos efectivamente comprometidos y las políticas financieras de la Universidad.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no presentado</w:t>
            </w:r>
          </w:p>
        </w:tc>
        <w:tc>
          <w:tcPr/>
          <w:p>
            <w:pPr>
              <w:pStyle w:val="Compact"/>
            </w:pPr>
            <w:r>
              <w:t xml:space="preserve">La inasistencia sin aviso no genera reprogramación automática. Solo puede evaluarse una excepción por fuerza mayor demostrada y registrada.</w:t>
            </w:r>
          </w:p>
        </w:tc>
        <w:tc>
          <w:tcPr/>
          <w:p>
            <w:pPr>
              <w:pStyle w:val="Compact"/>
            </w:pPr>
            <w:r>
              <w:t xml:space="preserve">Sin devolución, salvo decisión excepcional permitida por las políticas de la Universidad y documentada en CS-12.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Sustitución de participantes (analizador u organización)</w:t>
            </w:r>
          </w:p>
        </w:tc>
        <w:tc>
          <w:tcPr/>
          <w:p>
            <w:pPr>
              <w:pStyle w:val="Compact"/>
            </w:pPr>
            <w:r>
              <w:t xml:space="preserve">Cambio de analizador dentro de la misma organización: permitido hasta 15 días antes del inicio, sujeto a nueva revisión técnica y sin cambiar gases ni capacidad. Cambio de organización: requiere nuevo registro, aceptación de términos y revisión CS-09; el cupo solo se conserva si la nueva organización completa la aceptación dentro del plazo.</w:t>
            </w:r>
          </w:p>
        </w:tc>
        <w:tc>
          <w:tcPr/>
          <w:p>
            <w:pPr>
              <w:pStyle w:val="Compact"/>
            </w:pPr>
            <w:r>
              <w:t xml:space="preserve">Sin tarifa administrativa genérica; se cobrarán únicamente costos adicionales documentados y permitidos por la Universidad.</w:t>
            </w:r>
          </w:p>
        </w:tc>
        <w:tc>
          <w:tcPr/>
          <w:p>
            <w:pPr>
              <w:pStyle w:val="Compact"/>
            </w:pPr>
            <w:r>
              <w:t xml:space="preserve">CS-08 cláusula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Aplazamiento por el proveedor (fuerza mayor o logística)</w:t>
            </w:r>
          </w:p>
        </w:tc>
        <w:tc>
          <w:tcPr/>
          <w:p>
            <w:pPr>
              <w:pStyle w:val="Compact"/>
            </w:pPr>
            <w:r>
              <w:t xml:space="preserve">Notificación con al menos 15 días calendario cuando la causa sea previsible; ante una emergencia, tan pronto como sea razonablemente posible. El participante elige conservar el cupo en la nueva fecha, trasladarlo a otra ronda disponible o cancelar.</w:t>
            </w:r>
          </w:p>
        </w:tc>
        <w:tc>
          <w:tcPr/>
          <w:p>
            <w:pPr>
              <w:pStyle w:val="Compact"/>
            </w:pPr>
            <w:r>
              <w:t xml:space="preserve">Devolución del 100 % si el participante elige cancelar, conforme al trámite financiero de la Universidad; sin penalidad.</w:t>
            </w:r>
          </w:p>
        </w:tc>
        <w:tc>
          <w:tcPr/>
          <w:p>
            <w:pPr>
              <w:pStyle w:val="Compact"/>
            </w:pPr>
            <w:r>
              <w:t xml:space="preserve">Disparador 4 de 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Cancelación de proveedor (incumplimiento de inscripción mínima o imposibilidad técnica/logística)</w:t>
            </w:r>
          </w:p>
        </w:tc>
        <w:tc>
          <w:tcPr/>
          <w:p>
            <w:pPr>
              <w:pStyle w:val="Compact"/>
            </w:pPr>
            <w:r>
              <w:t xml:space="preserve">CALAIRE-EA notifica formalmente y ofrece conservar el cupo para una fecha reprogramada o cancelar la participación, a elección del participante.</w:t>
            </w:r>
          </w:p>
        </w:tc>
        <w:tc>
          <w:tcPr/>
          <w:p>
            <w:pPr>
              <w:pStyle w:val="Compact"/>
            </w:pPr>
            <w:r>
              <w:t xml:space="preserve">Devolución del 100 % de lo pagado si el participante elige cancelar, tramitada conforme a las políticas financieras de la Universidad; sin penalidad.</w:t>
            </w:r>
          </w:p>
        </w:tc>
        <w:tc>
          <w:tcPr/>
          <w:p>
            <w:pPr>
              <w:pStyle w:val="Compact"/>
            </w:pPr>
            <w:r>
              <w:t xml:space="preserve">Gatillo CS-12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Fuerza mayor que afecta la participación</w:t>
            </w:r>
          </w:p>
        </w:tc>
        <w:tc>
          <w:tcPr/>
          <w:p>
            <w:pPr>
              <w:pStyle w:val="Compact"/>
            </w:pPr>
            <w:r>
              <w:t xml:space="preserve">Acontecimiento externo, imprevisible e irresistible que impide el cumplimiento, evaluado caso por caso conforme al derecho colombiano. Puede incluir desastre natural, incendio no atribuible, emergencia sanitaria, orden de autoridad, alteración grave del orden público o interrupción crítica externa. No incluye fallas evitables, falta de mantenimiento, falta de fondos ni problemas ordinarios de personal. La parte afectada debe mitigar, documentar y notificar oportunamente.</w:t>
            </w:r>
          </w:p>
        </w:tc>
        <w:tc>
          <w:tcPr/>
          <w:p>
            <w:pPr>
              <w:pStyle w:val="Compact"/>
            </w:pPr>
            <w:r>
              <w:t xml:space="preserve">Reprogramación o reconocimiento del saldo recuperable según el impacto, los costos comprometidos y las políticas de la Universidad; requiere registro y decisión en CS-12.</w:t>
            </w:r>
          </w:p>
        </w:tc>
        <w:tc>
          <w:tcPr/>
          <w:p>
            <w:pPr>
              <w:pStyle w:val="Compact"/>
            </w:pPr>
            <w:r>
              <w:t xml:space="preserve">Disparador 7 de CS-12; revisión jurídica requerida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de procesamiento del reembolso</w:t>
            </w:r>
          </w:p>
        </w:tc>
        <w:tc>
          <w:tcPr/>
          <w:p>
            <w:pPr>
              <w:pStyle w:val="Compact"/>
            </w:pPr>
            <w:r>
              <w:t xml:space="preserve">El establecido por las políticas y procedimientos vigentes de la Universidad Nacional de Colombia, contado desde que la solicitud queda completa y aprobada. La cotización debe informar el plazo institucional aplicable antes del pago.</w:t>
            </w:r>
          </w:p>
        </w:tc>
        <w:tc>
          <w:tcPr/>
          <w:p>
            <w:pPr>
              <w:pStyle w:val="Compact"/>
            </w:pPr>
            <w:r>
              <w:t xml:space="preserve">política financiera institucional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 de la nota crédito</w:t>
            </w:r>
          </w:p>
        </w:tc>
        <w:tc>
          <w:tcPr/>
          <w:p>
            <w:pPr>
              <w:pStyle w:val="Compact"/>
            </w:pPr>
            <w:r>
              <w:t xml:space="preserve">La emisión, aplicación, vigencia y tratamiento de saldos mediante nota crédito se rigen exclusivamente por las políticas contables y financieras de la Universidad Nacional de Colombia y deben documentarse en cada caso.</w:t>
            </w:r>
          </w:p>
        </w:tc>
        <w:tc>
          <w:tcPr/>
          <w:p>
            <w:pPr>
              <w:pStyle w:val="Compact"/>
            </w:pPr>
            <w:r>
              <w:t xml:space="preserve">política financiera institucional</w:t>
            </w:r>
          </w:p>
        </w:tc>
        <w:tc>
          <w:tcPr/>
          <w:p>
            <w:pPr>
              <w:pStyle w:val="Compact"/>
            </w:pPr>
            <w:r>
              <w:t xml:space="preserve">CS-12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Definición de fuerza mayor:</w:t>
      </w:r>
      <w:r>
        <w:t xml:space="preserve"> </w:t>
      </w:r>
      <w:r>
        <w:t xml:space="preserve">la cláusula de fuerza mayor requiere un perímetro explícito. Sin lista taxativa o referencia a una ley marco, la cláusula se vuelve litigable. Referenciar aquí el catálogo de eventos cubiertos o la ley aplicable.</w:t>
      </w:r>
    </w:p>
    <w:bookmarkEnd w:id="18"/>
    <w:bookmarkStart w:id="19" w:name="acreditación-y-reclamaciones"/>
    <w:p>
      <w:pPr>
        <w:pStyle w:val="Heading2"/>
      </w:pPr>
      <w:r>
        <w:t xml:space="preserve">9. Acreditación y reclamaciones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Texto 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acreditación</w:t>
            </w:r>
          </w:p>
        </w:tc>
        <w:tc>
          <w:tcPr/>
          <w:p>
            <w:pPr>
              <w:pStyle w:val="Compact"/>
            </w:pPr>
            <w:r>
              <w:t xml:space="preserve">El servicio de preacreditación podrá describir sus bases de diseño pero no podrá afirmar que CALAIRE-EA o la ronda están acreditadas.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de uso</w:t>
            </w:r>
          </w:p>
        </w:tc>
        <w:tc>
          <w:tcPr/>
          <w:p>
            <w:pPr>
              <w:pStyle w:val="Compact"/>
            </w:pPr>
            <w:r>
              <w:t xml:space="preserve">El participante podrá declarar que participó en la Ronda CALAIRE-EA [ID] para los gases [LISTA]. No podrá declarar ni dar a entender que CALAIRE-EA está acreditada, que la ronda está acreditada o que el participante es técnicamente competente únicamente en virtud de su participación. El informe debe utilizarse íntegramente y sin representaciones engañosas de sus resultados o alcance. La evaluación detallada del desempeño se proporciona en el informe técnico separado. La distribución de este informe o su contenido a terceros requiere autorización escrita de CALAIRE-EA.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Texto estándar del recordatorio de uso de informes</w:t>
      </w:r>
      <w:r>
        <w:t xml:space="preserve"> </w:t>
      </w:r>
      <w:r>
        <w:t xml:space="preserve">está en CS-13; mantener consistencia. Cualquier variación debe aprobarse en ambos lugares.</w:t>
      </w:r>
    </w:p>
    <w:bookmarkEnd w:id="19"/>
    <w:bookmarkStart w:id="20" w:name="valor-asignado-y-evaluación"/>
    <w:p>
      <w:pPr>
        <w:pStyle w:val="Heading2"/>
      </w:pPr>
      <w:r>
        <w:t xml:space="preserve">10. Valor asignado y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Menos de 12 resultados técnicamente válidos</w:t>
            </w:r>
          </w:p>
        </w:tc>
        <w:tc>
          <w:tcPr/>
          <w:p>
            <w:pPr>
              <w:pStyle w:val="Compact"/>
            </w:pPr>
            <w:r>
              <w:t xml:space="preserve">Valor de referencia de CALAIRE-EA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Doce o más resultados técnicamente válidos</w:t>
            </w:r>
          </w:p>
        </w:tc>
        <w:tc>
          <w:tcPr/>
          <w:p>
            <w:pPr>
              <w:pStyle w:val="Compact"/>
            </w:pPr>
            <w:r>
              <w:t xml:space="preserve">Sólido consenso de los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 de evaluación</w:t>
            </w:r>
          </w:p>
        </w:tc>
        <w:tc>
          <w:tcPr/>
          <w:p>
            <w:pPr>
              <w:pStyle w:val="Compact"/>
            </w:pPr>
            <w:r>
              <w:t xml:space="preserve">z o z′, con ζ y En donde se puede utilizar información sobre la incertidumbre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Calificación agregada</w:t>
            </w:r>
          </w:p>
        </w:tc>
        <w:tc>
          <w:tcPr/>
          <w:p>
            <w:pPr>
              <w:pStyle w:val="Compact"/>
            </w:pPr>
            <w:r>
              <w:t xml:space="preserve">Sin calificación general de aprobado/suspendido</w:t>
            </w:r>
          </w:p>
        </w:tc>
      </w:tr>
    </w:tbl>
    <w:bookmarkEnd w:id="20"/>
    <w:bookmarkStart w:id="21" w:name="servicios-incluidos-y-excluidos"/>
    <w:p>
      <w:pPr>
        <w:pStyle w:val="Heading2"/>
      </w:pPr>
      <w:r>
        <w:t xml:space="preserve">11. Servicios incluidos y excluidos</w:t>
      </w:r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inscripción y revisión del pedido; un cupo para un analizador en</w:t>
      </w:r>
      <w:r>
        <w:t xml:space="preserve"> </w:t>
      </w:r>
      <w:r>
        <w:t xml:space="preserve">cada bloque contratado; preparación y coordinación de la ronda; uso de las</w:t>
      </w:r>
      <w:r>
        <w:t xml:space="preserve"> </w:t>
      </w:r>
      <w:r>
        <w:t xml:space="preserve">instalaciones y del sistema de generación de CALAIRE; ejecución para los gases</w:t>
      </w:r>
      <w:r>
        <w:t xml:space="preserve"> </w:t>
      </w:r>
      <w:r>
        <w:t xml:space="preserve">contratados; administración y evaluación de datos; informe técnico digital;</w:t>
      </w:r>
      <w:r>
        <w:t xml:space="preserve"> </w:t>
      </w:r>
      <w:r>
        <w:t xml:space="preserve">constancia de participación; y atención de aclaraciones, quejas y apelaciones</w:t>
      </w:r>
      <w:r>
        <w:t xml:space="preserve"> </w:t>
      </w:r>
      <w:r>
        <w:t xml:space="preserve">por los canales del SGC.</w:t>
      </w:r>
    </w:p>
    <w:p>
      <w:pPr>
        <w:pStyle w:val="BodyText"/>
      </w:pPr>
      <w:r>
        <w:rPr>
          <w:b/>
          <w:bCs/>
        </w:rPr>
        <w:t xml:space="preserve">Excluido/a cargo del participante:</w:t>
      </w:r>
      <w:r>
        <w:t xml:space="preserve"> </w:t>
      </w:r>
      <w:r>
        <w:t xml:space="preserve">transporte del analizador hacia y desde</w:t>
      </w:r>
      <w:r>
        <w:t xml:space="preserve"> </w:t>
      </w:r>
      <w:r>
        <w:t xml:space="preserve">Medellín; seguro y riesgo del equipo; calibración, mantenimiento o reparación</w:t>
      </w:r>
      <w:r>
        <w:t xml:space="preserve"> </w:t>
      </w:r>
      <w:r>
        <w:t xml:space="preserve">del analizador del participante; aduanas, visas e impuestos de importación o</w:t>
      </w:r>
      <w:r>
        <w:t xml:space="preserve"> </w:t>
      </w:r>
      <w:r>
        <w:t xml:space="preserve">exportación; alojamiento, alimentación y demás gastos del personal del</w:t>
      </w:r>
      <w:r>
        <w:t xml:space="preserve"> </w:t>
      </w:r>
      <w:r>
        <w:t xml:space="preserve">participante.</w:t>
      </w:r>
    </w:p>
    <w:p>
      <w:pPr>
        <w:pStyle w:val="BodyText"/>
      </w:pPr>
      <w:r>
        <w:rPr>
          <w:b/>
          <w:bCs/>
        </w:rPr>
        <w:t xml:space="preserve">Plantilla recomendada para excluidos:</w:t>
      </w:r>
    </w:p>
    <w:p>
      <w:pPr>
        <w:pStyle w:val="Compact"/>
        <w:numPr>
          <w:ilvl w:val="0"/>
          <w:numId w:val="1004"/>
        </w:numPr>
      </w:pPr>
      <w:r>
        <w:t xml:space="preserve">Transporte de equipo desde/hacia Medellín (incluye seguro de transporte).</w:t>
      </w:r>
    </w:p>
    <w:p>
      <w:pPr>
        <w:pStyle w:val="Compact"/>
        <w:numPr>
          <w:ilvl w:val="0"/>
          <w:numId w:val="1004"/>
        </w:numPr>
      </w:pPr>
      <w:r>
        <w:t xml:space="preserve">Riesgo de daño o pérdida del equipo del participante durante la ronda.</w:t>
      </w:r>
    </w:p>
    <w:p>
      <w:pPr>
        <w:pStyle w:val="Compact"/>
        <w:numPr>
          <w:ilvl w:val="0"/>
          <w:numId w:val="1004"/>
        </w:numPr>
      </w:pPr>
      <w:r>
        <w:t xml:space="preserve">Visas, permisos de ingreso y estadía del personal del participante.</w:t>
      </w:r>
    </w:p>
    <w:p>
      <w:pPr>
        <w:pStyle w:val="Compact"/>
        <w:numPr>
          <w:ilvl w:val="0"/>
          <w:numId w:val="1004"/>
        </w:numPr>
      </w:pPr>
      <w:r>
        <w:t xml:space="preserve">Aduanas e impuestos de importación / exportación para clientes internacionales.</w:t>
      </w:r>
    </w:p>
    <w:p>
      <w:pPr>
        <w:pStyle w:val="Compact"/>
        <w:numPr>
          <w:ilvl w:val="0"/>
          <w:numId w:val="1004"/>
        </w:numPr>
      </w:pPr>
      <w:r>
        <w:t xml:space="preserve">Calibración pre-ronda del analizador del participante (debe traer calibración vigente).</w:t>
      </w:r>
    </w:p>
    <w:p>
      <w:pPr>
        <w:pStyle w:val="Compact"/>
        <w:numPr>
          <w:ilvl w:val="0"/>
          <w:numId w:val="1004"/>
        </w:numPr>
      </w:pPr>
      <w:r>
        <w:t xml:space="preserve">Alojamiento y alimentación del personal del participante.</w:t>
      </w:r>
    </w:p>
    <w:bookmarkEnd w:id="21"/>
    <w:bookmarkStart w:id="22" w:name="prueba-de-aceptación"/>
    <w:p>
      <w:pPr>
        <w:pStyle w:val="Heading2"/>
      </w:pPr>
      <w:r>
        <w:t xml:space="preserve">Prueba de aceptación</w:t>
      </w:r>
    </w:p>
    <w:p>
      <w:pPr>
        <w:pStyle w:val="FirstParagraph"/>
      </w:pPr>
      <w:r>
        <w:t xml:space="preserve">El propietario debe poder responder todos los campos del CS-02 al CS-15 utilizando el CS-01 o una referencia del SGC existente. Si todavía se está inventando una decisión comercial en un correo electrónico, el CS-01 está incompleto.</w:t>
      </w:r>
    </w:p>
    <w:bookmarkEnd w:id="22"/>
    <w:bookmarkStart w:id="23" w:name="Xca25fba4dc4787e894f1a296318e414ade2cde7"/>
    <w:p>
      <w:pPr>
        <w:pStyle w:val="Heading2"/>
      </w:pPr>
      <w:r>
        <w:t xml:space="preserve">Anexo — Guía de evidencias para cada marcador [POR DILIGENCIAR]</w:t>
      </w:r>
    </w:p>
    <w:p>
      <w:pPr>
        <w:pStyle w:val="FirstParagraph"/>
      </w:pPr>
      <w:r>
        <w:t xml:space="preserve">Para que un implementador (o un agente de IA) que tome esta tarea pueda completar cada</w:t>
      </w:r>
      <w:r>
        <w:t xml:space="preserve"> </w:t>
      </w:r>
      <w:r>
        <w:rPr>
          <w:rStyle w:val="VerbatimChar"/>
        </w:rPr>
        <w:t xml:space="preserve">[POR DILIGENCIAR]</w:t>
      </w:r>
      <w:r>
        <w:t xml:space="preserve"> </w:t>
      </w:r>
      <w:r>
        <w:t xml:space="preserve">sin ambigüedad, esta tabla indica qué documento o decisión hace falta para cada sección: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Marcador [POR DILIGENCIAR]</w:t>
            </w:r>
          </w:p>
        </w:tc>
        <w:tc>
          <w:tcPr/>
          <w:p>
            <w:pPr>
              <w:pStyle w:val="Compact"/>
            </w:pPr>
            <w:r>
              <w:t xml:space="preserve">Documento o decisión de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Nombre del servicio</w:t>
            </w:r>
          </w:p>
        </w:tc>
        <w:tc>
          <w:tcPr/>
          <w:p>
            <w:pPr>
              <w:pStyle w:val="Compact"/>
            </w:pPr>
            <w:r>
              <w:t xml:space="preserve">propuesta aprobada, nombramiento del SGC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Identidad legal del proveedor</w:t>
            </w:r>
          </w:p>
        </w:tc>
        <w:tc>
          <w:tcPr/>
          <w:p>
            <w:pPr>
              <w:pStyle w:val="Compact"/>
            </w:pPr>
            <w:r>
              <w:t xml:space="preserve">registro mercantil, 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Integrantes y cargos del equipo</w:t>
            </w:r>
          </w:p>
        </w:tc>
        <w:tc>
          <w:tcPr/>
          <w:p>
            <w:pPr>
              <w:pStyle w:val="Compact"/>
            </w:pPr>
            <w:r>
              <w:t xml:space="preserve">directorio</w:t>
            </w:r>
            <w:r>
              <w:t xml:space="preserve"> </w:t>
            </w:r>
            <w:r>
              <w:rPr>
                <w:rStyle w:val="VerbatimChar"/>
              </w:rPr>
              <w:t xml:space="preserve">pages/Equipo.md</w:t>
            </w:r>
            <w:r>
              <w:t xml:space="preserve">, organigrama y acto institucional aplicable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Idioma de trabajo del servicio</w:t>
            </w:r>
          </w:p>
        </w:tc>
        <w:tc>
          <w:tcPr/>
          <w:p>
            <w:pPr>
              <w:pStyle w:val="Compact"/>
            </w:pPr>
            <w:r>
              <w:t xml:space="preserve">decisión de gerencia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Idiomas de publicación del servicio</w:t>
            </w:r>
          </w:p>
        </w:tc>
        <w:tc>
          <w:tcPr/>
          <w:p>
            <w:pPr>
              <w:pStyle w:val="Compact"/>
            </w:pPr>
            <w:r>
              <w:t xml:space="preserve">decisión de gerencia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Unidades de reporte por gas</w:t>
            </w:r>
          </w:p>
        </w:tc>
        <w:tc>
          <w:tcPr/>
          <w:p>
            <w:pPr>
              <w:pStyle w:val="Compact"/>
            </w:pPr>
            <w:r>
              <w:t xml:space="preserve">P-PSEA-08 (gestión de datos digitales); informe operativo piloto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Objetivo de precios (margen / recuperación de costos / subsidio)</w:t>
            </w:r>
          </w:p>
        </w:tc>
        <w:tc>
          <w:tcPr/>
          <w:p>
            <w:pPr>
              <w:pStyle w:val="Compact"/>
            </w:pPr>
            <w:r>
              <w:t xml:space="preserve">sección 8.6 del plan maestro + decisión de la gerencia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Moneda de facturación</w:t>
            </w:r>
          </w:p>
        </w:tc>
        <w:tc>
          <w:tcPr/>
          <w:p>
            <w:pPr>
              <w:pStyle w:val="Compact"/>
            </w:pPr>
            <w:r>
              <w:t xml:space="preserve">política financiera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Método de tipo de cambio</w:t>
            </w:r>
          </w:p>
        </w:tc>
        <w:tc>
          <w:tcPr/>
          <w:p>
            <w:pPr>
              <w:pStyle w:val="Compact"/>
            </w:pPr>
            <w:r>
              <w:t xml:space="preserve">política financiera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Impuestos</w:t>
            </w:r>
          </w:p>
        </w:tc>
        <w:tc>
          <w:tcPr/>
          <w:p>
            <w:pPr>
              <w:pStyle w:val="Compact"/>
            </w:pPr>
            <w:r>
              <w:t xml:space="preserve">asesor tributario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Validez de la cotización</w:t>
            </w:r>
          </w:p>
        </w:tc>
        <w:tc>
          <w:tcPr/>
          <w:p>
            <w:pPr>
              <w:pStyle w:val="Compact"/>
            </w:pPr>
            <w:r>
              <w:t xml:space="preserve">CS-06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Plazo de aceptación</w:t>
            </w:r>
          </w:p>
        </w:tc>
        <w:tc>
          <w:tcPr/>
          <w:p>
            <w:pPr>
              <w:pStyle w:val="Compact"/>
            </w:pPr>
            <w:r>
              <w:t xml:space="preserve">CS-06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Precio fijo y tratamiento de analizador adicional</w:t>
            </w:r>
          </w:p>
        </w:tc>
        <w:tc>
          <w:tcPr/>
          <w:p>
            <w:pPr>
              <w:pStyle w:val="Compact"/>
            </w:pPr>
            <w:r>
              <w:t xml:space="preserve">decisión institucional; validación de costos en CS-04 Tab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Columna híbrida</w:t>
            </w:r>
          </w:p>
        </w:tc>
        <w:tc>
          <w:tcPr/>
          <w:p>
            <w:pPr>
              <w:pStyle w:val="Compact"/>
            </w:pPr>
            <w:r>
              <w:t xml:space="preserve">pestaña 5 de CS-04; aprobación técnica +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Estrategia aprobada + aprobadores</w:t>
            </w:r>
          </w:p>
        </w:tc>
        <w:tc>
          <w:tcPr/>
          <w:p>
            <w:pPr>
              <w:pStyle w:val="Compact"/>
            </w:pPr>
            <w:r>
              <w:t xml:space="preserve">CS-04 Pestaña 5; ambos firmantes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Inscripción mínima (cantidad + ingresos)</w:t>
            </w:r>
          </w:p>
        </w:tc>
        <w:tc>
          <w:tcPr/>
          <w:p>
            <w:pPr>
              <w:pStyle w:val="Compact"/>
            </w:pPr>
            <w:r>
              <w:t xml:space="preserve">pestañas 7/8 de CS-04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Fecha límite de pago/orden de compra</w:t>
            </w:r>
          </w:p>
        </w:tc>
        <w:tc>
          <w:tcPr/>
          <w:p>
            <w:pPr>
              <w:pStyle w:val="Compact"/>
            </w:pPr>
            <w:r>
              <w:t xml:space="preserve">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Criterios de prioridad de la lista de espera</w:t>
            </w:r>
          </w:p>
        </w:tc>
        <w:tc>
          <w:tcPr/>
          <w:p>
            <w:pPr>
              <w:pStyle w:val="Compact"/>
            </w:pPr>
            <w:r>
              <w:t xml:space="preserve">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Política de pago parcial</w:t>
            </w:r>
          </w:p>
        </w:tc>
        <w:tc>
          <w:tcPr/>
          <w:p>
            <w:pPr>
              <w:pStyle w:val="Compact"/>
            </w:pPr>
            <w:r>
              <w:t xml:space="preserve">CS-06, CS-10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Toda la tabla</w:t>
            </w:r>
          </w:p>
        </w:tc>
        <w:tc>
          <w:tcPr/>
          <w:p>
            <w:pPr>
              <w:pStyle w:val="Compact"/>
            </w:pPr>
            <w:r>
              <w:t xml:space="preserve">CS-12 (tarifas de cancelación) + política financiera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Informe de uso</w:t>
            </w:r>
          </w:p>
        </w:tc>
        <w:tc>
          <w:tcPr/>
          <w:p>
            <w:pPr>
              <w:pStyle w:val="Compact"/>
            </w:pPr>
            <w:r>
              <w:t xml:space="preserve">CS-13 (estándar de recordatorio de uso de informes)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Incluido / Excluido</w:t>
            </w:r>
          </w:p>
        </w:tc>
        <w:tc>
          <w:tcPr/>
          <w:p>
            <w:pPr>
              <w:pStyle w:val="Compact"/>
            </w:pPr>
            <w:r>
              <w:t xml:space="preserve">CS-06 secciones 6/7, CS-08 cláusula 4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2026-07-16T14:37:56Z</dcterms:created>
  <dcterms:modified xsi:type="dcterms:W3CDTF">2026-07-16T14:37:56Z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