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c46c41e666a867a7399e4cb3c9abb258c67689"/>
    <w:p>
      <w:pPr>
        <w:pStyle w:val="Heading1"/>
      </w:pPr>
      <w:r>
        <w:t xml:space="preserve">Equivalencia de códigos del SGC (plan maestro → vigente)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los artefactos</w:t>
      </w:r>
      <w:r>
        <w:t xml:space="preserve"> </w:t>
      </w:r>
      <w:r>
        <w:rPr>
          <w:rStyle w:val="VerbatimChar"/>
        </w:rPr>
        <w:t xml:space="preserve">CS-01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CS-15</w:t>
      </w:r>
      <w:r>
        <w:t xml:space="preserve"> </w:t>
      </w:r>
      <w:r>
        <w:t xml:space="preserve">citan códigos</w:t>
      </w:r>
      <w:r>
        <w:t xml:space="preserve"> </w:t>
      </w:r>
      <w:r>
        <w:rPr>
          <w:rStyle w:val="VerbatimChar"/>
        </w:rPr>
        <w:t xml:space="preserve">P-PSEA-XX</w:t>
      </w:r>
      <w:r>
        <w:t xml:space="preserve">,</w:t>
      </w:r>
      <w:r>
        <w:t xml:space="preserve"> </w:t>
      </w:r>
      <w:r>
        <w:rPr>
          <w:rStyle w:val="VerbatimChar"/>
        </w:rPr>
        <w:t xml:space="preserve">F-PSEA-XX</w:t>
      </w:r>
      <w:r>
        <w:t xml:space="preserve">,</w:t>
      </w:r>
      <w:r>
        <w:t xml:space="preserve"> </w:t>
      </w:r>
      <w:r>
        <w:rPr>
          <w:rStyle w:val="VerbatimChar"/>
        </w:rPr>
        <w:t xml:space="preserve">I-PSEA-XX</w:t>
      </w:r>
      <w:r>
        <w:t xml:space="preserve"> </w:t>
      </w:r>
      <w:r>
        <w:t xml:space="preserve">del SGC. La matriz</w:t>
      </w:r>
      <w:r>
        <w:t xml:space="preserve"> </w:t>
      </w:r>
      <w:r>
        <w:rPr>
          <w:rStyle w:val="VerbatimChar"/>
        </w:rPr>
        <w:t xml:space="preserve">docs/sgc/matriz_equivalencias_codigos_sgc_pea.md</w:t>
      </w:r>
      <w:r>
        <w:t xml:space="preserve"> </w:t>
      </w:r>
      <w:r>
        <w:t xml:space="preserve">(aprobada 2026-06-14) renumeró estos códigos. Esta tabla traduce referencias heredadas al código vigente del SGC para que la búsqueda directa funcione.</w:t>
      </w:r>
    </w:p>
    <w:p>
      <w:pPr>
        <w:pStyle w:val="BodyText"/>
      </w:pPr>
      <w:r>
        <w:rPr>
          <w:b/>
          <w:bCs/>
        </w:rPr>
        <w:t xml:space="preserve">Regla de uso:</w:t>
      </w:r>
      <w:r>
        <w:t xml:space="preserve"> </w:t>
      </w:r>
      <w:r>
        <w:t xml:space="preserve">cuando un artefacto diga</w:t>
      </w:r>
      <w:r>
        <w:t xml:space="preserve"> </w:t>
      </w:r>
      <w:r>
        <w:rPr>
          <w:rStyle w:val="VerbatimChar"/>
        </w:rPr>
        <w:t xml:space="preserve">X-PSEA-NN</w:t>
      </w:r>
      <w:r>
        <w:t xml:space="preserve"> </w:t>
      </w:r>
      <w:r>
        <w:t xml:space="preserve">con significado antiguo, este mapa indica el código vigente. Si el significado antiguo y el nuevo son el mismo (no renumerado), se deja sin cambio.</w:t>
      </w:r>
    </w:p>
    <w:bookmarkStart w:id="19" w:name="procedimientos-p-psea"/>
    <w:p>
      <w:pPr>
        <w:pStyle w:val="Heading2"/>
      </w:pPr>
      <w:r>
        <w:t xml:space="preserve">Procedimientos P-PSEA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Referencia en el plan maestro / artefacto</w:t>
            </w:r>
          </w:p>
        </w:tc>
        <w:tc>
          <w:tcPr/>
          <w:p>
            <w:pPr>
              <w:pStyle w:val="Compact"/>
            </w:pPr>
            <w:r>
              <w:t xml:space="preserve">Significado asignado en el plan maestro</w:t>
            </w:r>
          </w:p>
        </w:tc>
        <w:tc>
          <w:tcPr/>
          <w:p>
            <w:pPr>
              <w:pStyle w:val="Compact"/>
            </w:pPr>
            <w:r>
              <w:t xml:space="preserve">Código vigente en el SGC (tras la renumeración del 2026-06-14)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P-PSEA-01</w:t>
            </w:r>
          </w:p>
        </w:tc>
        <w:tc>
          <w:tcPr/>
          <w:p>
            <w:pPr>
              <w:pStyle w:val="Compact"/>
            </w:pPr>
            <w:r>
              <w:t xml:space="preserve">Protocolo general 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P-PSEA-01</w:t>
            </w:r>
          </w:p>
        </w:tc>
        <w:tc>
          <w:tcPr/>
          <w:p>
            <w:pPr>
              <w:pStyle w:val="Compact"/>
            </w:pPr>
            <w:r>
              <w:t xml:space="preserve">Sin cambio.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Planificación de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Sin cambio.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Comunicaciones del PEA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Sin cambio en número ni significado (P-PSEA-20 → P-PSEA-05, mismo nombre).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Diseño y evaluación estadística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Renumerado (antiguo P-PSEA-06 → nuevo P-PSEA-07). Actualizar referencias.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Statistical 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Mismo código vigente, mismo significado funcional (se renumeró P-PSEA-06 → P-PSEA-07).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Gestión de datos digitales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Sin cambio.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Generación y emisión de informes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Sin cambio en número (antiguo P-PSEA-07 → nuevo P-PSEA-09, mismo nombre funcional).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Mejora continua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Cambio de significado: ahora = Trabajo no conforme / NC / CAPA.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P-PSEA-16</w:t>
            </w:r>
          </w:p>
        </w:tc>
        <w:tc>
          <w:tcPr/>
          <w:p>
            <w:pPr>
              <w:pStyle w:val="Compact"/>
            </w:pPr>
            <w:r>
              <w:t xml:space="preserve">Confidencialidad operativa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P-PSEA-16</w:t>
            </w:r>
          </w:p>
        </w:tc>
        <w:tc>
          <w:tcPr/>
          <w:p>
            <w:pPr>
              <w:pStyle w:val="Compact"/>
            </w:pPr>
            <w:r>
              <w:t xml:space="preserve">Cambio de significado: ahora = Divulgación y control de valores sensibles.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Auditorías (antiguo, retirado)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Cambio de significado: ahora = Quejas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P-PSEA-18</w:t>
            </w:r>
          </w:p>
        </w:tc>
        <w:tc>
          <w:tcPr/>
          <w:p>
            <w:pPr>
              <w:pStyle w:val="Compact"/>
            </w:pPr>
            <w:r>
              <w:t xml:space="preserve">Revisión por la dirección (antiguo, retirado)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P-PSEA-18</w:t>
            </w:r>
          </w:p>
        </w:tc>
        <w:tc>
          <w:tcPr/>
          <w:p>
            <w:pPr>
              <w:pStyle w:val="Compact"/>
            </w:pPr>
            <w:r>
              <w:t xml:space="preserve">Cambio de significado: ahora = Apelaciones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Imparcialidad institucional (antiguo, retirado)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Cambio de significado: ahora = Confidencialidad operativa interna.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P-PSEA-20</w:t>
            </w:r>
          </w:p>
        </w:tc>
        <w:tc>
          <w:tcPr/>
          <w:p>
            <w:pPr>
              <w:pStyle w:val="Compact"/>
            </w:pPr>
            <w:r>
              <w:t xml:space="preserve">Competencia del personal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P-PSEA-20</w:t>
            </w:r>
          </w:p>
        </w:tc>
        <w:tc>
          <w:tcPr/>
          <w:p>
            <w:pPr>
              <w:pStyle w:val="Compact"/>
            </w:pPr>
            <w:r>
              <w:t xml:space="preserve">Sin cambio.</w:t>
            </w:r>
          </w:p>
        </w:tc>
      </w:tr>
    </w:tbl>
    <w:bookmarkEnd w:id="19"/>
    <w:bookmarkStart w:id="20" w:name="formatos-y-registros-f-psea"/>
    <w:p>
      <w:pPr>
        <w:pStyle w:val="Heading2"/>
      </w:pPr>
      <w:r>
        <w:t xml:space="preserve">Formatos y registros F-PSEA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Referencia en el plan maestro / artefacto</w:t>
            </w:r>
          </w:p>
        </w:tc>
        <w:tc>
          <w:tcPr/>
          <w:p>
            <w:pPr>
              <w:pStyle w:val="Compact"/>
            </w:pPr>
            <w:r>
              <w:t xml:space="preserve">Significado asignado en el plan maestro</w:t>
            </w:r>
          </w:p>
        </w:tc>
        <w:tc>
          <w:tcPr/>
          <w:p>
            <w:pPr>
              <w:pStyle w:val="Compact"/>
            </w:pPr>
            <w:r>
              <w:t xml:space="preserve">Código vigente en el SGC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redondo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Sin cambio.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Horario redondo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Sin cambio.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Informe final de resultados (código 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Renumerado. En el SGC vigente,</w:t>
            </w:r>
            <w:r>
              <w:t xml:space="preserve"> </w:t>
            </w:r>
            <w:r>
              <w:rPr>
                <w:rStyle w:val="VerbatimChar"/>
              </w:rPr>
              <w:t xml:space="preserve">F-PSEA-04</w:t>
            </w:r>
            <w:r>
              <w:t xml:space="preserve"> </w:t>
            </w:r>
            <w:r>
              <w:t xml:space="preserve">identifica el anexo técnico de equipos.</w:t>
            </w:r>
            <w:r>
              <w:t xml:space="preserve"> </w:t>
            </w:r>
            <w:r>
              <w:rPr>
                <w:b/>
                <w:bCs/>
              </w:rPr>
              <w:t xml:space="preserve">Para el informe final usar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F-PSEA-13</w:t>
            </w:r>
            <w:r>
              <w:rPr>
                <w:b/>
                <w:bCs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Plan redondo 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Renumerado.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F-PSEA-05A</w:t>
            </w:r>
          </w:p>
        </w:tc>
        <w:tc>
          <w:tcPr/>
          <w:p>
            <w:pPr>
              <w:pStyle w:val="Compact"/>
            </w:pPr>
            <w:r>
              <w:t xml:space="preserve">Anexo técnico de equipos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Renumerado. El anexo técnico está en</w:t>
            </w:r>
            <w:r>
              <w:t xml:space="preserve"> </w:t>
            </w:r>
            <w:r>
              <w:rPr>
                <w:rStyle w:val="VerbatimChar"/>
              </w:rPr>
              <w:t xml:space="preserve">F-PSEA-04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 usar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F-PSEA-05A</w:t>
            </w:r>
            <w:r>
              <w:rPr>
                <w:b/>
                <w:bCs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Plan de ronda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Renumerado.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Ficha digital de ronda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Renumerado.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Datos y preprocesamiento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Mapeo según matriz.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Paquete de homogeneidad / estabilidad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Renumerado.</w:t>
            </w:r>
            <w:r>
              <w:t xml:space="preserve"> </w:t>
            </w:r>
            <w:r>
              <w:rPr>
                <w:b/>
                <w:bCs/>
              </w:rPr>
              <w:t xml:space="preserve">Y el "F-PSEA-13" del plan maestro (informe final) ahora está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F-PSEA-13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Colisión importante: la matriz renumeró el antiguo F-PSEA-13 a F-PSEA-11, y al mismo tiempo promovió el antiguo F-PSEA-04 (informe final) a F-PSEA-13.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Datos consolidados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Renumerado.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F-PSEA-15</w:t>
            </w:r>
          </w:p>
        </w:tc>
        <w:tc>
          <w:tcPr/>
          <w:p>
            <w:pPr>
              <w:pStyle w:val="Compact"/>
            </w:pPr>
            <w:r>
              <w:t xml:space="preserve">Queja / NC / CAPA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Renumerado.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F-PSEA-16</w:t>
            </w:r>
          </w:p>
        </w:tc>
        <w:tc>
          <w:tcPr/>
          <w:p>
            <w:pPr>
              <w:pStyle w:val="Compact"/>
            </w:pPr>
            <w:r>
              <w:t xml:space="preserve">Registro de queja / NC / CAPA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Renumerado. Este es el antecedente correcto del registro vigente de quejas / NC / CAPA.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F-PSEA-17</w:t>
            </w:r>
          </w:p>
        </w:tc>
        <w:tc>
          <w:tcPr/>
          <w:p>
            <w:pPr>
              <w:pStyle w:val="Compact"/>
            </w:pPr>
            <w:r>
              <w:t xml:space="preserve">Registro de apelaciones (antiguo)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F-PSEA-15</w:t>
            </w:r>
          </w:p>
        </w:tc>
        <w:tc>
          <w:tcPr/>
          <w:p>
            <w:pPr>
              <w:pStyle w:val="Compact"/>
            </w:pPr>
            <w:r>
              <w:t xml:space="preserve">Renumerado.</w:t>
            </w:r>
          </w:p>
        </w:tc>
      </w:tr>
    </w:tbl>
    <w:bookmarkEnd w:id="20"/>
    <w:bookmarkStart w:id="21" w:name="instructivos-i-psea"/>
    <w:p>
      <w:pPr>
        <w:pStyle w:val="Heading2"/>
      </w:pPr>
      <w:r>
        <w:t xml:space="preserve">Instructivos I-PSEA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Código vigente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I-PSEA-01</w:t>
            </w:r>
          </w:p>
        </w:tc>
        <w:tc>
          <w:tcPr/>
          <w:p>
            <w:pPr>
              <w:pStyle w:val="Compact"/>
            </w:pPr>
            <w:r>
              <w:t xml:space="preserve">Embalaje y transporte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I-PSEA-01</w:t>
            </w:r>
          </w:p>
        </w:tc>
        <w:tc>
          <w:tcPr/>
          <w:p>
            <w:pPr>
              <w:pStyle w:val="Compact"/>
            </w:pPr>
            <w:r>
              <w:t xml:space="preserve">Sin cambio.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Uso de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Sin cambio.</w:t>
            </w:r>
          </w:p>
        </w:tc>
      </w:tr>
    </w:tbl>
    <w:bookmarkEnd w:id="21"/>
    <w:bookmarkStart w:id="22" w:name="documentos-generales-dg-psea"/>
    <w:p>
      <w:pPr>
        <w:pStyle w:val="Heading2"/>
      </w:pPr>
      <w:r>
        <w:t xml:space="preserve">Documentos generales DG-PSEA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Código vigente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DG-PSEA-01</w:t>
            </w:r>
          </w:p>
        </w:tc>
        <w:tc>
          <w:tcPr/>
          <w:p>
            <w:pPr>
              <w:pStyle w:val="Compact"/>
            </w:pPr>
            <w:r>
              <w:t xml:space="preserve">Protocolo general de participación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DG-PSEA-01</w:t>
            </w:r>
          </w:p>
        </w:tc>
        <w:tc>
          <w:tcPr/>
          <w:p>
            <w:pPr>
              <w:pStyle w:val="Compact"/>
            </w:pPr>
            <w:r>
              <w:t xml:space="preserve">Sin cambio.</w:t>
            </w:r>
          </w:p>
        </w:tc>
      </w:tr>
    </w:tbl>
    <w:bookmarkEnd w:id="22"/>
    <w:bookmarkStart w:id="23" w:name="Xbf103435c11f134519a42e6a2a419e2d83973ce"/>
    <w:p>
      <w:pPr>
        <w:pStyle w:val="Heading2"/>
      </w:pPr>
      <w:r>
        <w:t xml:space="preserve">Implicación operativa para los artefactos</w:t>
      </w:r>
    </w:p>
    <w:p>
      <w:pPr>
        <w:pStyle w:val="FirstParagraph"/>
      </w:pPr>
      <w:r>
        <w:t xml:space="preserve">Cualquier referencia en</w:t>
      </w:r>
      <w:r>
        <w:t xml:space="preserve"> </w:t>
      </w:r>
      <w:r>
        <w:rPr>
          <w:rStyle w:val="VerbatimChar"/>
        </w:rPr>
        <w:t xml:space="preserve">CS-01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CS-15</w:t>
      </w:r>
      <w:r>
        <w:t xml:space="preserve"> </w:t>
      </w:r>
      <w:r>
        <w:t xml:space="preserve">debe leerse a través de esta tabla. Tres puntos críticos: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 informe final de resultados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F-PSEA-13</w:t>
      </w:r>
      <w:r>
        <w:t xml:space="preserve"> </w:t>
      </w:r>
      <w:r>
        <w:t xml:space="preserve">(no el antiguo</w:t>
      </w:r>
      <w:r>
        <w:t xml:space="preserve"> </w:t>
      </w:r>
      <w:r>
        <w:rPr>
          <w:rStyle w:val="VerbatimChar"/>
        </w:rPr>
        <w:t xml:space="preserve">F-PSEA-04</w:t>
      </w:r>
      <w:r>
        <w:t xml:space="preserve">). CS-13 ya está correcto.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 datos técnicos de equipos e instrumentos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F-PSEA-04</w:t>
      </w:r>
      <w:r>
        <w:t xml:space="preserve"> </w:t>
      </w:r>
      <w:r>
        <w:t xml:space="preserve">(no el antiguo</w:t>
      </w:r>
      <w:r>
        <w:t xml:space="preserve"> </w:t>
      </w:r>
      <w:r>
        <w:rPr>
          <w:rStyle w:val="VerbatimChar"/>
        </w:rPr>
        <w:t xml:space="preserve">F-PSEA-05A</w:t>
      </w:r>
      <w:r>
        <w:t xml:space="preserve">). CS-11 ya usa el código vigente.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 quejas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P-PSEA-17</w:t>
      </w:r>
      <w:r>
        <w:t xml:space="preserve">.</w:t>
      </w:r>
      <w:r>
        <w:t xml:space="preserve"> </w:t>
      </w:r>
      <w:r>
        <w:rPr>
          <w:b/>
          <w:bCs/>
        </w:rPr>
        <w:t xml:space="preserve">Para apelaciones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P-PSEA-18</w:t>
      </w:r>
      <w:r>
        <w:t xml:space="preserve">.</w:t>
      </w:r>
      <w:r>
        <w:t xml:space="preserve"> </w:t>
      </w:r>
      <w:r>
        <w:rPr>
          <w:b/>
          <w:bCs/>
        </w:rPr>
        <w:t xml:space="preserve">Para confidencialidad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P-PSEA-19</w:t>
      </w:r>
      <w:r>
        <w:t xml:space="preserve">.</w:t>
      </w:r>
      <w:r>
        <w:t xml:space="preserve"> </w:t>
      </w:r>
      <w:r>
        <w:rPr>
          <w:b/>
          <w:bCs/>
        </w:rPr>
        <w:t xml:space="preserve">Para NC/CAPA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P-PSEA-15</w:t>
      </w:r>
      <w:r>
        <w:t xml:space="preserve">.</w:t>
      </w:r>
    </w:p>
    <w:p>
      <w:pPr>
        <w:pStyle w:val="FirstParagraph"/>
      </w:pPr>
      <w:r>
        <w:t xml:space="preserve">Si un artefacto cita un código que la tabla marca como "Cambio de significado", el lector debe confirmar que el significado</w:t>
      </w:r>
      <w:r>
        <w:t xml:space="preserve"> </w:t>
      </w:r>
      <w:r>
        <w:rPr>
          <w:b/>
          <w:bCs/>
        </w:rPr>
        <w:t xml:space="preserve">nuevo</w:t>
      </w:r>
      <w:r>
        <w:t xml:space="preserve"> </w:t>
      </w:r>
      <w:r>
        <w:t xml:space="preserve">es el que aplica al uso comercial (casi siempre sí, pero conviene verificarlo en la primera lectura).</w:t>
      </w:r>
    </w:p>
    <w:bookmarkEnd w:id="23"/>
    <w:bookmarkStart w:id="24" w:name="fuente-normativa"/>
    <w:p>
      <w:pPr>
        <w:pStyle w:val="Heading2"/>
      </w:pPr>
      <w:r>
        <w:t xml:space="preserve">Fuente normativa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docs/sgc/matriz_equivalencias_codigos_sgc_pea.md</w:t>
      </w:r>
      <w:r>
        <w:t xml:space="preserve"> </w:t>
      </w:r>
      <w:r>
        <w:t xml:space="preserve">(aprobada 2026-06-14).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docs/qms/01_bloque_general/05_matrices_inventarios/Árbol Maestro PSEA.md</w:t>
      </w:r>
      <w:r>
        <w:t xml:space="preserve"> </w:t>
      </w:r>
      <w:r>
        <w:t xml:space="preserve">(mapa activo).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docs/sgc/checklist_sgc_pdts.md</w:t>
      </w:r>
      <w:r>
        <w:t xml:space="preserve"> </w:t>
      </w:r>
      <w:r>
        <w:t xml:space="preserve">(checklist de procedimientos activos).</w:t>
      </w:r>
    </w:p>
    <w:bookmarkEnd w:id="24"/>
    <w:bookmarkEnd w:id="25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2026-07-16T14:07:47Z</dcterms:created>
  <dcterms:modified xsi:type="dcterms:W3CDTF">2026-07-16T14:07:47Z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