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4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media/image2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mapa-de-viaje-15-artefactos-comerciales"/>
    <w:p>
      <w:pPr>
        <w:pStyle w:val="Heading1"/>
      </w:pPr>
      <w:r>
        <w:t xml:space="preserve">Mapa de viaje: 15 artefactos comerciales</w:t>
      </w:r>
    </w:p>
    <w:p>
      <w:pPr>
        <w:pStyle w:val="FirstParagraph"/>
      </w:pPr>
      <w:r>
        <w:rPr>
          <w:b/>
          <w:bCs/>
        </w:rPr>
        <w:t xml:space="preserve">Propósito:</w:t>
      </w:r>
      <w:r>
        <w:t xml:space="preserve"> </w:t>
      </w:r>
      <w:r>
        <w:t xml:space="preserve">visualización de un extremo a otro de cómo se conectan los 15 artefactos de CS a lo largo del recorrido del cliente, desde el primer contacto hasta la renovación. Úselo para incorporar nuevos miembros al equipo, encontrar qué artefacto pertenece a un paso determinado e identificar brechas.</w:t>
      </w:r>
    </w:p>
    <w:p>
      <w:pPr>
        <w:pStyle w:val="BodyText"/>
      </w:pPr>
      <w:r>
        <w:rPr>
          <w:b/>
          <w:bCs/>
        </w:rPr>
        <w:t xml:space="preserve">Estado:</w:t>
      </w:r>
      <w:r>
        <w:t xml:space="preserve"> </w:t>
      </w:r>
      <w:r>
        <w:t xml:space="preserve">documento vivo. Se actualiza cada vez que se agrega, elimina un artefacto o cambia su alcance.</w:t>
      </w:r>
    </w:p>
    <w:p>
      <w:r>
        <w:pict>
          <v:rect style="width:0;height:1.5pt" o:hralign="center" o:hrstd="t" o:hr="t"/>
        </w:pict>
      </w:r>
    </w:p>
    <w:bookmarkStart w:id="19" w:name="X11f38283598a78310ebc122d153780ad8eff7c5"/>
    <w:p>
      <w:pPr>
        <w:pStyle w:val="Heading2"/>
      </w:pPr>
      <w:r>
        <w:t xml:space="preserve">Recorrido del cliente frente a cadena de artefactos</w:t>
      </w:r>
    </w:p>
    <w:p>
      <w:pPr>
        <w:pStyle w:val="FirstParagraph"/>
      </w:pPr>
      <w:r>
        <w:t xml:space="preserve">El recorrido del cliente (según la sección 1 del plan) es:</w:t>
      </w:r>
    </w:p>
    <w:p>
      <w:pPr>
        <w:pStyle w:val="SourceCode"/>
      </w:pPr>
      <w:r>
        <w:rPr>
          <w:rStyle w:val="VerbatimChar"/>
        </w:rPr>
        <w:t xml:space="preserve">Descubrir el servicio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Comprender el alcance y las condiciones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Seleccionar uno o más de los cuatro bloques de gases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Recibir una cotización controlada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Inscribirse y aceptar los términos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Recibir la confirmación comercial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Recibir las instrucciones técnicas existentes del SGC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Participar en la ronda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Recibir el informe y la declaración de participación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Cerrar la facturación, los comentarios y la renovación</w:t>
      </w:r>
    </w:p>
    <w:p>
      <w:pPr>
        <w:pStyle w:val="FirstParagraph"/>
      </w:pPr>
      <w:r>
        <w:t xml:space="preserve">Los 15 artefactos CS se asignan a este viaje de la siguiente manera: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Paso del viaje</w:t>
            </w:r>
          </w:p>
        </w:tc>
        <w:tc>
          <w:tcPr/>
          <w:p>
            <w:pPr>
              <w:pStyle w:val="Compact"/>
            </w:pPr>
            <w:r>
              <w:t xml:space="preserve">Poseer artefacto(s)</w:t>
            </w:r>
          </w:p>
        </w:tc>
        <w:tc>
          <w:tcPr/>
          <w:p>
            <w:pPr>
              <w:pStyle w:val="Compact"/>
            </w:pPr>
            <w:r>
              <w:t xml:space="preserve">Lo que ve el cliente</w:t>
            </w:r>
          </w:p>
        </w:tc>
        <w:tc>
          <w:tcPr/>
          <w:p>
            <w:pPr>
              <w:pStyle w:val="Compact"/>
            </w:pPr>
            <w:r>
              <w:t xml:space="preserve">Cadena de artefactos internos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Descubra el servicio</w:t>
            </w:r>
          </w:p>
        </w:tc>
        <w:tc>
          <w:tcPr/>
          <w:p>
            <w:pPr>
              <w:pStyle w:val="Compact"/>
            </w:pPr>
            <w:r>
              <w:t xml:space="preserve">Catálogo CS-02, aviso redondo CS-03</w:t>
            </w:r>
          </w:p>
        </w:tc>
        <w:tc>
          <w:tcPr/>
          <w:p>
            <w:pPr>
              <w:pStyle w:val="Compact"/>
            </w:pPr>
            <w:r>
              <w:t xml:space="preserve">Material de marketing, web/PDF</w:t>
            </w:r>
          </w:p>
        </w:tc>
        <w:tc>
          <w:tcPr/>
          <w:p>
            <w:pPr>
              <w:pStyle w:val="Compact"/>
            </w:pPr>
            <w:r>
              <w:t xml:space="preserve">Referencias de catálogo CS-01 (decisiones) y CS-04 (lista de precios)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Comprender el alcance y las condiciones</w:t>
            </w:r>
          </w:p>
        </w:tc>
        <w:tc>
          <w:tcPr/>
          <w:p>
            <w:pPr>
              <w:pStyle w:val="Compact"/>
            </w:pPr>
            <w:r>
              <w:t xml:space="preserve">Catálogo CS-02 (secciones 4, 5, 11)</w:t>
            </w:r>
          </w:p>
        </w:tc>
        <w:tc>
          <w:tcPr/>
          <w:p>
            <w:pPr>
              <w:pStyle w:val="Compact"/>
            </w:pPr>
            <w:r>
              <w:t xml:space="preserve">Descripción del servicio</w:t>
            </w:r>
          </w:p>
        </w:tc>
        <w:tc>
          <w:tcPr/>
          <w:p>
            <w:pPr>
              <w:pStyle w:val="Compact"/>
            </w:pPr>
            <w:r>
              <w:t xml:space="preserve">Lo mismo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Seleccionar uno o más de los cuatro bloques de gases</w:t>
            </w:r>
          </w:p>
        </w:tc>
        <w:tc>
          <w:tcPr/>
          <w:p>
            <w:pPr>
              <w:pStyle w:val="Compact"/>
            </w:pPr>
            <w:r>
              <w:t xml:space="preserve">Formulario de expresión de interés CS-05</w:t>
            </w:r>
          </w:p>
        </w:tc>
        <w:tc>
          <w:tcPr/>
          <w:p>
            <w:pPr>
              <w:pStyle w:val="Compact"/>
            </w:pPr>
            <w:r>
              <w:t xml:space="preserve">Formulario de EoI (sin compromiso)</w:t>
            </w:r>
          </w:p>
        </w:tc>
        <w:tc>
          <w:tcPr/>
          <w:p>
            <w:pPr>
              <w:pStyle w:val="Compact"/>
            </w:pPr>
            <w:r>
              <w:t xml:space="preserve">Etapa "Interés" del canal de oportunidades CS-10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Reciba una cotización controlada</w:t>
            </w:r>
          </w:p>
        </w:tc>
        <w:tc>
          <w:tcPr/>
          <w:p>
            <w:pPr>
              <w:pStyle w:val="Compact"/>
            </w:pPr>
            <w:r>
              <w:t xml:space="preserve">Plantilla de cotización CS-06</w:t>
            </w:r>
          </w:p>
        </w:tc>
        <w:tc>
          <w:tcPr/>
          <w:p>
            <w:pPr>
              <w:pStyle w:val="Compact"/>
            </w:pPr>
            <w:r>
              <w:t xml:space="preserve">Cotización PDF / correo electrónico</w:t>
            </w:r>
          </w:p>
        </w:tc>
        <w:tc>
          <w:tcPr/>
          <w:p>
            <w:pPr>
              <w:pStyle w:val="Compact"/>
            </w:pPr>
            <w:r>
              <w:t xml:space="preserve">CS-09 (revisión de contrato) puertas CS-11 (confirmación)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Regístrate y acepta términos</w:t>
            </w:r>
          </w:p>
        </w:tc>
        <w:tc>
          <w:tcPr/>
          <w:p>
            <w:pPr>
              <w:pStyle w:val="Compact"/>
            </w:pPr>
            <w:r>
              <w:t xml:space="preserve">Formulario de registro CS-07, términos CS-08</w:t>
            </w:r>
          </w:p>
        </w:tc>
        <w:tc>
          <w:tcPr/>
          <w:p>
            <w:pPr>
              <w:pStyle w:val="Compact"/>
            </w:pPr>
            <w:r>
              <w:t xml:space="preserve">Formulario de inscripción + términos firmados</w:t>
            </w:r>
          </w:p>
        </w:tc>
        <w:tc>
          <w:tcPr/>
          <w:p>
            <w:pPr>
              <w:pStyle w:val="Compact"/>
            </w:pPr>
            <w:r>
              <w:t xml:space="preserve">CS-07 → CS-09 (revisión)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Recibir confirmación comercial</w:t>
            </w:r>
          </w:p>
        </w:tc>
        <w:tc>
          <w:tcPr/>
          <w:p>
            <w:pPr>
              <w:pStyle w:val="Compact"/>
            </w:pPr>
            <w:r>
              <w:t xml:space="preserve">Mensaje de confirmación CS-11 (y mensajes de lista de espera/rechazo)</w:t>
            </w:r>
          </w:p>
        </w:tc>
        <w:tc>
          <w:tcPr/>
          <w:p>
            <w:pPr>
              <w:pStyle w:val="Compact"/>
            </w:pPr>
            <w:r>
              <w:t xml:space="preserve">Correo electrónico de confirmación</w:t>
            </w:r>
          </w:p>
        </w:tc>
        <w:tc>
          <w:tcPr/>
          <w:p>
            <w:pPr>
              <w:pStyle w:val="Compact"/>
            </w:pPr>
            <w:r>
              <w:t xml:space="preserve">CS-11 → Traspaso de SGC (P-PSEA-04, F-PSEA-04, F-PSEA-03, P-PSEA-05)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Recibir instrucciones técnicas del SGC</w:t>
            </w:r>
          </w:p>
        </w:tc>
        <w:tc>
          <w:tcPr/>
          <w:p>
            <w:pPr>
              <w:pStyle w:val="Compact"/>
            </w:pPr>
            <w:r>
              <w:t xml:space="preserve">Paquete de incorporación CS-11 (enlaces a documentos de SGC)</w:t>
            </w:r>
          </w:p>
        </w:tc>
        <w:tc>
          <w:tcPr/>
          <w:p>
            <w:pPr>
              <w:pStyle w:val="Compact"/>
            </w:pPr>
            <w:r>
              <w:t xml:space="preserve">DG-PSEA-01, I-PSEA-01, I-PSEA-02, calaire-app</w:t>
            </w:r>
          </w:p>
        </w:tc>
        <w:tc>
          <w:tcPr/>
          <w:p>
            <w:pPr>
              <w:pStyle w:val="Compact"/>
            </w:pPr>
            <w:r>
              <w:t xml:space="preserve">CS-11 hace referencia al SGC, no comercial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Participa en la ronda</w:t>
            </w:r>
          </w:p>
        </w:tc>
        <w:tc>
          <w:tcPr/>
          <w:p>
            <w:pPr>
              <w:pStyle w:val="Compact"/>
            </w:pPr>
            <w:r>
              <w:t xml:space="preserve">(Ejecución del SGC, no comercial)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Recibir informe y declaración de participación</w:t>
            </w:r>
          </w:p>
        </w:tc>
        <w:tc>
          <w:tcPr/>
          <w:p>
            <w:pPr>
              <w:pStyle w:val="Compact"/>
            </w:pPr>
            <w:r>
              <w:t xml:space="preserve">Entrega de informe CS-13</w:t>
            </w:r>
          </w:p>
        </w:tc>
        <w:tc>
          <w:tcPr/>
          <w:p>
            <w:pPr>
              <w:pStyle w:val="Compact"/>
            </w:pPr>
            <w:r>
              <w:t xml:space="preserve">Borrador + informe final, declaración de participación</w:t>
            </w:r>
          </w:p>
        </w:tc>
        <w:tc>
          <w:tcPr/>
          <w:p>
            <w:pPr>
              <w:pStyle w:val="Compact"/>
            </w:pPr>
            <w:r>
              <w:t xml:space="preserve">CS-13 → CS-12 si se necesitan cambios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Cerrar facturación, comentarios y renovación</w:t>
            </w:r>
          </w:p>
        </w:tc>
        <w:tc>
          <w:tcPr/>
          <w:p>
            <w:pPr>
              <w:pStyle w:val="Compact"/>
            </w:pPr>
            <w:r>
              <w:t xml:space="preserve">Cambio/cancelación/reembolso de CS-12, comentarios de CS-14, renovación de CS-15</w:t>
            </w:r>
          </w:p>
        </w:tc>
        <w:tc>
          <w:tcPr/>
          <w:p>
            <w:pPr>
              <w:pStyle w:val="Compact"/>
            </w:pPr>
            <w:r>
              <w:t xml:space="preserve">Formulario de comentarios, correo electrónico de seguimiento</w:t>
            </w:r>
          </w:p>
        </w:tc>
        <w:tc>
          <w:tcPr/>
          <w:p>
            <w:pPr>
              <w:pStyle w:val="Compact"/>
            </w:pPr>
            <w:r>
              <w:t xml:space="preserve">CS-12 (si hay cambios), CS-14 (comentarios), CS-15 (renovación)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X9d7cbd8f6a1ea1401080cecbe2aec99ab039a2c"/>
    <w:p>
      <w:pPr>
        <w:pStyle w:val="Heading2"/>
      </w:pPr>
      <w:r>
        <w:t xml:space="preserve">Gráfico de dependencias de los artefactos (Mermaid)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CS01[CS-01 Decisiones comerciales] --&gt; CS02[CS-02 Catálogo]</w:t>
      </w:r>
      <w:r>
        <w:br/>
      </w:r>
      <w:r>
        <w:rPr>
          <w:rStyle w:val="VerbatimChar"/>
        </w:rPr>
        <w:t xml:space="preserve">    CS01 --&gt; CS03[CS-03 Aviso de ronda]</w:t>
      </w:r>
      <w:r>
        <w:br/>
      </w:r>
      <w:r>
        <w:rPr>
          <w:rStyle w:val="VerbatimChar"/>
        </w:rPr>
        <w:t xml:space="preserve">    CS01 --&gt; CS04[CS-04 Modelo de costos]</w:t>
      </w:r>
      <w:r>
        <w:br/>
      </w:r>
      <w:r>
        <w:rPr>
          <w:rStyle w:val="VerbatimChar"/>
        </w:rPr>
        <w:t xml:space="preserve">    CS01 --&gt; CS06[CS-06 Cotización]</w:t>
      </w:r>
      <w:r>
        <w:br/>
      </w:r>
      <w:r>
        <w:rPr>
          <w:rStyle w:val="VerbatimChar"/>
        </w:rPr>
        <w:t xml:space="preserve">    CS01 --&gt; CS08[CS-08 Términos]</w:t>
      </w:r>
      <w:r>
        <w:br/>
      </w:r>
      <w:r>
        <w:rPr>
          <w:rStyle w:val="VerbatimChar"/>
        </w:rPr>
        <w:t xml:space="preserve">    CS04 --&gt; CS06</w:t>
      </w:r>
      <w:r>
        <w:br/>
      </w:r>
      <w:r>
        <w:rPr>
          <w:rStyle w:val="VerbatimChar"/>
        </w:rPr>
        <w:t xml:space="preserve">    CS04 --&gt; CS11[Lista de precios aprobada]</w:t>
      </w:r>
      <w:r>
        <w:br/>
      </w:r>
      <w:r>
        <w:br/>
      </w:r>
      <w:r>
        <w:rPr>
          <w:rStyle w:val="VerbatimChar"/>
        </w:rPr>
        <w:t xml:space="preserve">    CS02 --&gt; CS05[CS-05 Expresión de interés]</w:t>
      </w:r>
      <w:r>
        <w:br/>
      </w:r>
      <w:r>
        <w:rPr>
          <w:rStyle w:val="VerbatimChar"/>
        </w:rPr>
        <w:t xml:space="preserve">    CS03 --&gt; CS05</w:t>
      </w:r>
      <w:r>
        <w:br/>
      </w:r>
      <w:r>
        <w:rPr>
          <w:rStyle w:val="VerbatimChar"/>
        </w:rPr>
        <w:t xml:space="preserve">    CS05 --&gt; CS10[(CS-10 Rastreador)]</w:t>
      </w:r>
      <w:r>
        <w:br/>
      </w:r>
      <w:r>
        <w:rPr>
          <w:rStyle w:val="VerbatimChar"/>
        </w:rPr>
        <w:t xml:space="preserve">    CS10 --&gt; CS06</w:t>
      </w:r>
      <w:r>
        <w:br/>
      </w:r>
      <w:r>
        <w:br/>
      </w:r>
      <w:r>
        <w:rPr>
          <w:rStyle w:val="VerbatimChar"/>
        </w:rPr>
        <w:t xml:space="preserve">    CS06 --&gt; CS07[CS-07 Inscripción]</w:t>
      </w:r>
      <w:r>
        <w:br/>
      </w:r>
      <w:r>
        <w:rPr>
          <w:rStyle w:val="VerbatimChar"/>
        </w:rPr>
        <w:t xml:space="preserve">    CS07 --&gt; CS08</w:t>
      </w:r>
      <w:r>
        <w:br/>
      </w:r>
      <w:r>
        <w:rPr>
          <w:rStyle w:val="VerbatimChar"/>
        </w:rPr>
        <w:t xml:space="preserve">    CS07 --&gt; CS09[CS-09 Revisión del contrato]</w:t>
      </w:r>
      <w:r>
        <w:br/>
      </w:r>
      <w:r>
        <w:rPr>
          <w:rStyle w:val="VerbatimChar"/>
        </w:rPr>
        <w:t xml:space="preserve">    CS09 --&gt; CS10</w:t>
      </w:r>
      <w:r>
        <w:br/>
      </w:r>
      <w:r>
        <w:br/>
      </w:r>
      <w:r>
        <w:rPr>
          <w:rStyle w:val="VerbatimChar"/>
        </w:rPr>
        <w:t xml:space="preserve">    CS10 --&gt; CS11[CS-11 Confirmación]</w:t>
      </w:r>
      <w:r>
        <w:br/>
      </w:r>
      <w:r>
        <w:rPr>
          <w:rStyle w:val="VerbatimChar"/>
        </w:rPr>
        <w:t xml:space="preserve">    CS11 --&gt; SGC[(docs/qms/)]</w:t>
      </w:r>
      <w:r>
        <w:br/>
      </w:r>
      <w:r>
        <w:br/>
      </w:r>
      <w:r>
        <w:rPr>
          <w:rStyle w:val="VerbatimChar"/>
        </w:rPr>
        <w:t xml:space="preserve">    SGC --&gt; CS13[CS-13 Entrega del informe]</w:t>
      </w:r>
      <w:r>
        <w:br/>
      </w:r>
      <w:r>
        <w:rPr>
          <w:rStyle w:val="VerbatimChar"/>
        </w:rPr>
        <w:t xml:space="preserve">    CS13 --&gt; CS12[CS-12 Cambio/cancelación/reembolso]</w:t>
      </w:r>
      <w:r>
        <w:br/>
      </w:r>
      <w:r>
        <w:rPr>
          <w:rStyle w:val="VerbatimChar"/>
        </w:rPr>
        <w:t xml:space="preserve">    CS13 --&gt; CS14[CS-14 Comentarios]</w:t>
      </w:r>
      <w:r>
        <w:br/>
      </w:r>
      <w:r>
        <w:rPr>
          <w:rStyle w:val="VerbatimChar"/>
        </w:rPr>
        <w:t xml:space="preserve">    CS14 --&gt; CS15[CS-15 Renovación]</w:t>
      </w:r>
      <w:r>
        <w:br/>
      </w:r>
      <w:r>
        <w:rPr>
          <w:rStyle w:val="VerbatimChar"/>
        </w:rPr>
        <w:t xml:space="preserve">    CS12 --&gt; CS10</w:t>
      </w:r>
      <w:r>
        <w:br/>
      </w:r>
      <w:r>
        <w:rPr>
          <w:rStyle w:val="VerbatimChar"/>
        </w:rPr>
        <w:t xml:space="preserve">    CS15 --&gt; CS05</w:t>
      </w:r>
      <w:r>
        <w:br/>
      </w:r>
      <w:r>
        <w:rPr>
          <w:rStyle w:val="VerbatimChar"/>
        </w:rPr>
        <w:t xml:space="preserve">    CS15 --&gt; CS10</w:t>
      </w:r>
    </w:p>
    <w:p>
      <w:r>
        <w:pict>
          <v:rect style="width:0;height:1.5pt" o:hralign="center" o:hrstd="t" o:hr="t"/>
        </w:pict>
      </w:r>
    </w:p>
    <w:bookmarkEnd w:id="20"/>
    <w:bookmarkStart w:id="21" w:name="X5aac2b600e82d25a80699ad22448f1c0573474e"/>
    <w:p>
      <w:pPr>
        <w:pStyle w:val="Heading2"/>
      </w:pPr>
      <w:r>
        <w:t xml:space="preserve">Gráfico de dependencias de los artefactos (alternativa ASCII)</w:t>
      </w:r>
    </w:p>
    <w:p>
      <w:pPr>
        <w:pStyle w:val="SourceCode"/>
      </w:pPr>
      <w:r>
        <w:rPr>
          <w:rStyle w:val="VerbatimChar"/>
        </w:rPr>
        <w:t xml:space="preserve">                       CS-01 (decisiones)</w:t>
      </w:r>
      <w:r>
        <w:br/>
      </w:r>
      <w:r>
        <w:rPr>
          <w:rStyle w:val="VerbatimChar"/>
        </w:rPr>
        <w:t xml:space="preserve">                       /    |    |    \</w:t>
      </w:r>
      <w:r>
        <w:br/>
      </w:r>
      <w:r>
        <w:rPr>
          <w:rStyle w:val="VerbatimChar"/>
        </w:rPr>
        <w:t xml:space="preserve">                      /     |    |     \</w:t>
      </w:r>
      <w:r>
        <w:br/>
      </w:r>
      <w:r>
        <w:rPr>
          <w:rStyle w:val="VerbatimChar"/>
        </w:rPr>
        <w:t xml:space="preserve">                 CS-02  CS-03 CS-04  CS-06, CS-08</w:t>
      </w:r>
      <w:r>
        <w:br/>
      </w:r>
      <w:r>
        <w:rPr>
          <w:rStyle w:val="VerbatimChar"/>
        </w:rPr>
        <w:t xml:space="preserve">                  |       |    |       |</w:t>
      </w:r>
      <w:r>
        <w:br/>
      </w:r>
      <w:r>
        <w:rPr>
          <w:rStyle w:val="VerbatimChar"/>
        </w:rPr>
        <w:t xml:space="preserve">                  v       v    v       v</w:t>
      </w:r>
      <w:r>
        <w:br/>
      </w:r>
      <w:r>
        <w:rPr>
          <w:rStyle w:val="VerbatimChar"/>
        </w:rPr>
        <w:t xml:space="preserve">                 CS-05 ---&gt; CS-10 &lt;--- (vista de capacidad)</w:t>
      </w:r>
      <w:r>
        <w:br/>
      </w:r>
      <w:r>
        <w:rPr>
          <w:rStyle w:val="VerbatimChar"/>
        </w:rPr>
        <w:t xml:space="preserve">                  |              ^</w:t>
      </w:r>
      <w:r>
        <w:br/>
      </w:r>
      <w:r>
        <w:rPr>
          <w:rStyle w:val="VerbatimChar"/>
        </w:rPr>
        <w:t xml:space="preserve">                  v              |</w:t>
      </w:r>
      <w:r>
        <w:br/>
      </w:r>
      <w:r>
        <w:rPr>
          <w:rStyle w:val="VerbatimChar"/>
        </w:rPr>
        <w:t xml:space="preserve">                 CS-06 ----------+</w:t>
      </w:r>
      <w:r>
        <w:br/>
      </w:r>
      <w:r>
        <w:rPr>
          <w:rStyle w:val="VerbatimChar"/>
        </w:rPr>
        <w:t xml:space="preserve">                  |</w:t>
      </w:r>
      <w:r>
        <w:br/>
      </w:r>
      <w:r>
        <w:rPr>
          <w:rStyle w:val="VerbatimChar"/>
        </w:rPr>
        <w:t xml:space="preserve">                  v</w:t>
      </w:r>
      <w:r>
        <w:br/>
      </w:r>
      <w:r>
        <w:rPr>
          <w:rStyle w:val="VerbatimChar"/>
        </w:rPr>
        <w:t xml:space="preserve">                 CS-07</w:t>
      </w:r>
      <w:r>
        <w:br/>
      </w:r>
      <w:r>
        <w:rPr>
          <w:rStyle w:val="VerbatimChar"/>
        </w:rPr>
        <w:t xml:space="preserve">                  |</w:t>
      </w:r>
      <w:r>
        <w:br/>
      </w:r>
      <w:r>
        <w:rPr>
          <w:rStyle w:val="VerbatimChar"/>
        </w:rPr>
        <w:t xml:space="preserve">                  v</w:t>
      </w:r>
      <w:r>
        <w:br/>
      </w:r>
      <w:r>
        <w:rPr>
          <w:rStyle w:val="VerbatimChar"/>
        </w:rPr>
        <w:t xml:space="preserve">                 CS-08  (términos)</w:t>
      </w:r>
      <w:r>
        <w:br/>
      </w:r>
      <w:r>
        <w:rPr>
          <w:rStyle w:val="VerbatimChar"/>
        </w:rPr>
        <w:t xml:space="preserve">                  |</w:t>
      </w:r>
      <w:r>
        <w:br/>
      </w:r>
      <w:r>
        <w:rPr>
          <w:rStyle w:val="VerbatimChar"/>
        </w:rPr>
        <w:t xml:space="preserve">                  v</w:t>
      </w:r>
      <w:r>
        <w:br/>
      </w:r>
      <w:r>
        <w:rPr>
          <w:rStyle w:val="VerbatimChar"/>
        </w:rPr>
        <w:t xml:space="preserve">                 CS-09  (revisión del contrato)</w:t>
      </w:r>
      <w:r>
        <w:br/>
      </w:r>
      <w:r>
        <w:rPr>
          <w:rStyle w:val="VerbatimChar"/>
        </w:rPr>
        <w:t xml:space="preserve">                  |</w:t>
      </w:r>
      <w:r>
        <w:br/>
      </w:r>
      <w:r>
        <w:rPr>
          <w:rStyle w:val="VerbatimChar"/>
        </w:rPr>
        <w:t xml:space="preserve">                  v</w:t>
      </w:r>
      <w:r>
        <w:br/>
      </w:r>
      <w:r>
        <w:rPr>
          <w:rStyle w:val="VerbatimChar"/>
        </w:rPr>
        <w:t xml:space="preserve">                 CS-10  (rastreador) ---&gt; Confirmado</w:t>
      </w:r>
      <w:r>
        <w:br/>
      </w:r>
      <w:r>
        <w:rPr>
          <w:rStyle w:val="VerbatimChar"/>
        </w:rPr>
        <w:t xml:space="preserve">                  |</w:t>
      </w:r>
      <w:r>
        <w:br/>
      </w:r>
      <w:r>
        <w:rPr>
          <w:rStyle w:val="VerbatimChar"/>
        </w:rPr>
        <w:t xml:space="preserve">                  v</w:t>
      </w:r>
      <w:r>
        <w:br/>
      </w:r>
      <w:r>
        <w:rPr>
          <w:rStyle w:val="VerbatimChar"/>
        </w:rPr>
        <w:t xml:space="preserve">                 CS-11  (confirmación / lista de espera / rechazo)</w:t>
      </w:r>
      <w:r>
        <w:br/>
      </w:r>
      <w:r>
        <w:rPr>
          <w:rStyle w:val="VerbatimChar"/>
        </w:rPr>
        <w:t xml:space="preserve">                  |</w:t>
      </w:r>
      <w:r>
        <w:br/>
      </w:r>
      <w:r>
        <w:rPr>
          <w:rStyle w:val="VerbatimChar"/>
        </w:rPr>
        <w:t xml:space="preserve">                  v</w:t>
      </w:r>
      <w:r>
        <w:br/>
      </w:r>
      <w:r>
        <w:rPr>
          <w:rStyle w:val="VerbatimChar"/>
        </w:rPr>
        <w:t xml:space="preserve">                 [Traspaso al SGC: P-PSEA-04, F-PSEA-04, F-PSEA-03, P-PSEA-05]</w:t>
      </w:r>
      <w:r>
        <w:br/>
      </w:r>
      <w:r>
        <w:rPr>
          <w:rStyle w:val="VerbatimChar"/>
        </w:rPr>
        <w:t xml:space="preserve">                  |</w:t>
      </w:r>
      <w:r>
        <w:br/>
      </w:r>
      <w:r>
        <w:rPr>
          <w:rStyle w:val="VerbatimChar"/>
        </w:rPr>
        <w:t xml:space="preserve">                  v</w:t>
      </w:r>
      <w:r>
        <w:br/>
      </w:r>
      <w:r>
        <w:rPr>
          <w:rStyle w:val="VerbatimChar"/>
        </w:rPr>
        <w:t xml:space="preserve">              (ejecución de la ronda en el SGC)</w:t>
      </w:r>
      <w:r>
        <w:br/>
      </w:r>
      <w:r>
        <w:rPr>
          <w:rStyle w:val="VerbatimChar"/>
        </w:rPr>
        <w:t xml:space="preserve">                  |</w:t>
      </w:r>
      <w:r>
        <w:br/>
      </w:r>
      <w:r>
        <w:rPr>
          <w:rStyle w:val="VerbatimChar"/>
        </w:rPr>
        <w:t xml:space="preserve">                  v</w:t>
      </w:r>
      <w:r>
        <w:br/>
      </w:r>
      <w:r>
        <w:rPr>
          <w:rStyle w:val="VerbatimChar"/>
        </w:rPr>
        <w:t xml:space="preserve">                 CS-13  (entrega del informe)</w:t>
      </w:r>
      <w:r>
        <w:br/>
      </w:r>
      <w:r>
        <w:rPr>
          <w:rStyle w:val="VerbatimChar"/>
        </w:rPr>
        <w:t xml:space="preserve">                  |       \</w:t>
      </w:r>
      <w:r>
        <w:br/>
      </w:r>
      <w:r>
        <w:rPr>
          <w:rStyle w:val="VerbatimChar"/>
        </w:rPr>
        <w:t xml:space="preserve">                  |        --&gt; CS-12 (si se requieren cambios durante la revisión del borrador)</w:t>
      </w:r>
      <w:r>
        <w:br/>
      </w:r>
      <w:r>
        <w:rPr>
          <w:rStyle w:val="VerbatimChar"/>
        </w:rPr>
        <w:t xml:space="preserve">                  v</w:t>
      </w:r>
      <w:r>
        <w:br/>
      </w:r>
      <w:r>
        <w:rPr>
          <w:rStyle w:val="VerbatimChar"/>
        </w:rPr>
        <w:t xml:space="preserve">                 CS-14  (retroalimentación)</w:t>
      </w:r>
      <w:r>
        <w:br/>
      </w:r>
      <w:r>
        <w:rPr>
          <w:rStyle w:val="VerbatimChar"/>
        </w:rPr>
        <w:t xml:space="preserve">                  |</w:t>
      </w:r>
      <w:r>
        <w:br/>
      </w:r>
      <w:r>
        <w:rPr>
          <w:rStyle w:val="VerbatimChar"/>
        </w:rPr>
        <w:t xml:space="preserve">                  v</w:t>
      </w:r>
      <w:r>
        <w:br/>
      </w:r>
      <w:r>
        <w:rPr>
          <w:rStyle w:val="VerbatimChar"/>
        </w:rPr>
        <w:t xml:space="preserve">                 CS-15  (renovación)</w:t>
      </w:r>
      <w:r>
        <w:br/>
      </w:r>
      <w:r>
        <w:rPr>
          <w:rStyle w:val="VerbatimChar"/>
        </w:rPr>
        <w:t xml:space="preserve">                  |       \</w:t>
      </w:r>
      <w:r>
        <w:br/>
      </w:r>
      <w:r>
        <w:rPr>
          <w:rStyle w:val="VerbatimChar"/>
        </w:rPr>
        <w:t xml:space="preserve">                  |        --&gt; CS-10 (nueva entrada en el canal de oportunidades para la siguiente ronda)</w:t>
      </w:r>
      <w:r>
        <w:br/>
      </w:r>
      <w:r>
        <w:rPr>
          <w:rStyle w:val="VerbatimChar"/>
        </w:rPr>
        <w:t xml:space="preserve">                  |        --&gt; CS-05 (para clientes potenciales nuevos, no para renovaciones)</w:t>
      </w:r>
      <w:r>
        <w:br/>
      </w:r>
      <w:r>
        <w:rPr>
          <w:rStyle w:val="VerbatimChar"/>
        </w:rPr>
        <w:t xml:space="preserve">                  v</w:t>
      </w:r>
      <w:r>
        <w:br/>
      </w:r>
      <w:r>
        <w:rPr>
          <w:rStyle w:val="VerbatimChar"/>
        </w:rPr>
        <w:t xml:space="preserve">              (regreso al inicio del recorrido para la siguiente ronda)</w:t>
      </w:r>
    </w:p>
    <w:p>
      <w:r>
        <w:pict>
          <v:rect style="width:0;height:1.5pt" o:hralign="center" o:hrstd="t" o:hr="t"/>
        </w:pict>
      </w:r>
    </w:p>
    <w:bookmarkEnd w:id="21"/>
    <w:bookmarkStart w:id="22" w:name="Xcf393ce190568d2ae106bbdaf90cd0872c3642f"/>
    <w:p>
      <w:pPr>
        <w:pStyle w:val="Heading2"/>
      </w:pPr>
      <w:r>
        <w:t xml:space="preserve">Flujo de estado dentro de CS-10 (el sistema nervioso central)</w:t>
      </w:r>
    </w:p>
    <w:p>
      <w:pPr>
        <w:pStyle w:val="FirstParagraph"/>
      </w:pPr>
      <w:r>
        <w:t xml:space="preserve">El rastreador CS-10 es el núcleo operativo; casi todos los artefactos escriben o leen en él.</w:t>
      </w:r>
    </w:p>
    <w:p>
      <w:pPr>
        <w:pStyle w:val="SourceCode"/>
      </w:pPr>
      <w:r>
        <w:rPr>
          <w:rStyle w:val="VerbatimChar"/>
        </w:rPr>
        <w:t xml:space="preserve">[CS-05 Expresión de interés] ──&gt; estado = Interés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v</w:t>
      </w:r>
      <w:r>
        <w:br/>
      </w:r>
      <w:r>
        <w:rPr>
          <w:rStyle w:val="VerbatimChar"/>
        </w:rPr>
        <w:t xml:space="preserve">[CS-06 Cotización] ──&gt; estado = Cotizado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v</w:t>
      </w:r>
      <w:r>
        <w:br/>
      </w:r>
      <w:r>
        <w:rPr>
          <w:rStyle w:val="VerbatimChar"/>
        </w:rPr>
        <w:t xml:space="preserve">[CS-07 Inscripción] ──&gt; estado = Inscrito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v</w:t>
      </w:r>
      <w:r>
        <w:br/>
      </w:r>
      <w:r>
        <w:rPr>
          <w:rStyle w:val="VerbatimChar"/>
        </w:rPr>
        <w:t xml:space="preserve">[CS-09 Revisión del contrato] ──&gt; estado = En revisión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┌──────────────┼──────────────┐</w:t>
      </w:r>
      <w:r>
        <w:br/>
      </w:r>
      <w:r>
        <w:rPr>
          <w:rStyle w:val="VerbatimChar"/>
        </w:rPr>
        <w:t xml:space="preserve">        v              v              v</w:t>
      </w:r>
      <w:r>
        <w:br/>
      </w:r>
      <w:r>
        <w:rPr>
          <w:rStyle w:val="VerbatimChar"/>
        </w:rPr>
        <w:t xml:space="preserve">  Revisión de      Aceptado       Rechazado</w:t>
      </w:r>
      <w:r>
        <w:br/>
      </w:r>
      <w:r>
        <w:rPr>
          <w:rStyle w:val="VerbatimChar"/>
        </w:rPr>
        <w:t xml:space="preserve">  cotización       pendiente      (terminal)</w:t>
      </w:r>
      <w:r>
        <w:br/>
      </w:r>
      <w:r>
        <w:rPr>
          <w:rStyle w:val="VerbatimChar"/>
        </w:rPr>
        <w:t xml:space="preserve">  en curso         de pago/OC          │</w:t>
      </w:r>
      <w:r>
        <w:br/>
      </w:r>
      <w:r>
        <w:rPr>
          <w:rStyle w:val="VerbatimChar"/>
        </w:rPr>
        <w:t xml:space="preserve">        v              │               v</w:t>
      </w:r>
      <w:r>
        <w:br/>
      </w:r>
      <w:r>
        <w:rPr>
          <w:rStyle w:val="VerbatimChar"/>
        </w:rPr>
        <w:t xml:space="preserve">   (regreso a       estado =           (mensaje de</w:t>
      </w:r>
      <w:r>
        <w:br/>
      </w:r>
      <w:r>
        <w:rPr>
          <w:rStyle w:val="VerbatimChar"/>
        </w:rPr>
        <w:t xml:space="preserve">    Cotizado,       Confirmado          rechazo CS-11)</w:t>
      </w:r>
      <w:r>
        <w:br/>
      </w:r>
      <w:r>
        <w:rPr>
          <w:rStyle w:val="VerbatimChar"/>
        </w:rPr>
        <w:t xml:space="preserve">    nueva rev.)     (terminal)</w:t>
      </w:r>
      <w:r>
        <w:br/>
      </w:r>
      <w:r>
        <w:rPr>
          <w:rStyle w:val="VerbatimChar"/>
        </w:rPr>
        <w:t xml:space="preserve">        │              │               │</w:t>
      </w:r>
      <w:r>
        <w:br/>
      </w:r>
      <w:r>
        <w:rPr>
          <w:rStyle w:val="VerbatimChar"/>
        </w:rPr>
        <w:t xml:space="preserve">        v              v               v</w:t>
      </w:r>
      <w:r>
        <w:br/>
      </w:r>
      <w:r>
        <w:rPr>
          <w:rStyle w:val="VerbatimChar"/>
        </w:rPr>
        <w:t xml:space="preserve">   (CS-12)         [CS-11            (CS-10</w:t>
      </w:r>
      <w:r>
        <w:br/>
      </w:r>
      <w:r>
        <w:rPr>
          <w:rStyle w:val="VerbatimChar"/>
        </w:rPr>
        <w:t xml:space="preserve">                    confirmación]     cierre)</w:t>
      </w:r>
      <w:r>
        <w:br/>
      </w:r>
      <w:r>
        <w:br/>
      </w:r>
      <w:r>
        <w:rPr>
          <w:rStyle w:val="VerbatimChar"/>
        </w:rPr>
        <w:t xml:space="preserve">        Al agotarse la capacidad (verificación 4 o 6 de CS-09):</w:t>
      </w:r>
      <w:r>
        <w:br/>
      </w:r>
      <w:r>
        <w:rPr>
          <w:rStyle w:val="VerbatimChar"/>
        </w:rPr>
        <w:t xml:space="preserve">        estado = En lista de espera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├──&gt; Confirmado (si se libera un cupo) ──&gt; [confirmación CS-11]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└──&gt; Retirado (el cliente desiste)</w:t>
      </w:r>
      <w:r>
        <w:br/>
      </w:r>
      <w:r>
        <w:br/>
      </w:r>
      <w:r>
        <w:rPr>
          <w:rStyle w:val="VerbatimChar"/>
        </w:rPr>
        <w:t xml:space="preserve">        Al retirarse el cliente (en cualquier momento después de Inscrito):</w:t>
      </w:r>
      <w:r>
        <w:br/>
      </w:r>
      <w:r>
        <w:rPr>
          <w:rStyle w:val="VerbatimChar"/>
        </w:rPr>
        <w:t xml:space="preserve">        estado = Retirado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└──&gt; CS-12 (reembolso / crédito)</w:t>
      </w:r>
    </w:p>
    <w:p>
      <w:r>
        <w:pict>
          <v:rect style="width:0;height:1.5pt" o:hralign="center" o:hrstd="t" o:hr="t"/>
        </w:pict>
      </w:r>
    </w:p>
    <w:bookmarkEnd w:id="22"/>
    <w:bookmarkStart w:id="23" w:name="X22ee4f512e11cc979336e83b5c76e67f719ad9f"/>
    <w:p>
      <w:pPr>
        <w:pStyle w:val="Heading2"/>
      </w:pPr>
      <w:r>
        <w:t xml:space="preserve">Mapa de puertas de aprobación (según la sección 21 del plan)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Puerta</w:t>
            </w:r>
          </w:p>
        </w:tc>
        <w:tc>
          <w:tcPr/>
          <w:p>
            <w:pPr>
              <w:pStyle w:val="Compact"/>
            </w:pPr>
            <w:r>
              <w:t xml:space="preserve">Artefactos requeridos antes de la puerta</w:t>
            </w:r>
          </w:p>
        </w:tc>
        <w:tc>
          <w:tcPr/>
          <w:p>
            <w:pPr>
              <w:pStyle w:val="Compact"/>
            </w:pPr>
            <w:r>
              <w:t xml:space="preserve">Propietario de la aprobación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Lanzamiento al mercado</w:t>
            </w:r>
          </w:p>
        </w:tc>
        <w:tc>
          <w:tcPr/>
          <w:p>
            <w:pPr>
              <w:pStyle w:val="Compact"/>
            </w:pPr>
            <w:r>
              <w:t xml:space="preserve">CS-01, CS-02, CS-03, CS-04, CS-05</w:t>
            </w:r>
          </w:p>
        </w:tc>
        <w:tc>
          <w:tcPr/>
          <w:p>
            <w:pPr>
              <w:pStyle w:val="Compact"/>
            </w:pPr>
            <w:r>
              <w:t xml:space="preserve">Responsable de servicios + profesional de proyectos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Lanzamiento de cotización</w:t>
            </w:r>
          </w:p>
        </w:tc>
        <w:tc>
          <w:tcPr/>
          <w:p>
            <w:pPr>
              <w:pStyle w:val="Compact"/>
            </w:pPr>
            <w:r>
              <w:t xml:space="preserve">CS-04 (aprobado), CS-06, CS-08</w:t>
            </w:r>
          </w:p>
        </w:tc>
        <w:tc>
          <w:tcPr/>
          <w:p>
            <w:pPr>
              <w:pStyle w:val="Compact"/>
            </w:pPr>
            <w:r>
              <w:t xml:space="preserve">Profesional de proyectos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Aceptación del pedido</w:t>
            </w:r>
          </w:p>
        </w:tc>
        <w:tc>
          <w:tcPr/>
          <w:p>
            <w:pPr>
              <w:pStyle w:val="Compact"/>
            </w:pPr>
            <w:r>
              <w:t xml:space="preserve">CS-07, CS-08 (firmado), CS-09 (aprobado), CS-10 (actualizado)</w:t>
            </w:r>
          </w:p>
        </w:tc>
        <w:tc>
          <w:tcPr/>
          <w:p>
            <w:pPr>
              <w:pStyle w:val="Compact"/>
            </w:pPr>
            <w:r>
              <w:t xml:space="preserve">Profesional de proyectos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Traspaso técnico</w:t>
            </w:r>
          </w:p>
        </w:tc>
        <w:tc>
          <w:tcPr/>
          <w:p>
            <w:pPr>
              <w:pStyle w:val="Compact"/>
            </w:pPr>
            <w:r>
              <w:t xml:space="preserve">CS-11 (enviado) + admisión de planificación de la ronda SGC</w:t>
            </w:r>
          </w:p>
        </w:tc>
        <w:tc>
          <w:tcPr/>
          <w:p>
            <w:pPr>
              <w:pStyle w:val="Compact"/>
            </w:pPr>
            <w:r>
              <w:t xml:space="preserve">Directora del grupo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Cambio/reembolso</w:t>
            </w:r>
          </w:p>
        </w:tc>
        <w:tc>
          <w:tcPr/>
          <w:p>
            <w:pPr>
              <w:pStyle w:val="Compact"/>
            </w:pPr>
            <w:r>
              <w:t xml:space="preserve">CS-12 (abierto, con doble autorización)</w:t>
            </w:r>
          </w:p>
        </w:tc>
        <w:tc>
          <w:tcPr/>
          <w:p>
            <w:pPr>
              <w:pStyle w:val="Compact"/>
            </w:pPr>
            <w:r>
              <w:t xml:space="preserve">Directora del grupo + Profesional de proyectos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Entrega de informes</w:t>
            </w:r>
          </w:p>
        </w:tc>
        <w:tc>
          <w:tcPr/>
          <w:p>
            <w:pPr>
              <w:pStyle w:val="Compact"/>
            </w:pPr>
            <w:r>
              <w:t xml:space="preserve">CS-13 + Aprobación del informe SGC</w:t>
            </w:r>
          </w:p>
        </w:tc>
        <w:tc>
          <w:tcPr/>
          <w:p>
            <w:pPr>
              <w:pStyle w:val="Compact"/>
            </w:pPr>
            <w:r>
              <w:t xml:space="preserve">Directora del grupo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Cierre comercial</w:t>
            </w:r>
          </w:p>
        </w:tc>
        <w:tc>
          <w:tcPr/>
          <w:p>
            <w:pPr>
              <w:pStyle w:val="Compact"/>
            </w:pPr>
            <w:r>
              <w:t xml:space="preserve">CS-14 (recibido), CS-15 (enviado), CS-10 (final)</w:t>
            </w:r>
          </w:p>
        </w:tc>
        <w:tc>
          <w:tcPr/>
          <w:p>
            <w:pPr>
              <w:pStyle w:val="Compact"/>
            </w:pPr>
            <w:r>
              <w:t xml:space="preserve">Directora del grupo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Xe7bad5ab00182a71aa54f001fe4645745a9da6e"/>
    <w:p>
      <w:pPr>
        <w:pStyle w:val="Heading2"/>
      </w:pPr>
      <w:r>
        <w:t xml:space="preserve">Aspectos transversales (artefactos afectados)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Artefactos afectados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Renumeración de códigos del SGC (2026-06-14)</w:t>
            </w:r>
          </w:p>
        </w:tc>
        <w:tc>
          <w:tcPr/>
          <w:p>
            <w:pPr>
              <w:pStyle w:val="Compact"/>
            </w:pPr>
            <w:r>
              <w:t xml:space="preserve">CS-09, CS-11, CS-13, CS-14 (los que citan códigos PSEA)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Protección de datos (Ley 1581/2012)</w:t>
            </w:r>
          </w:p>
        </w:tc>
        <w:tc>
          <w:tcPr/>
          <w:p>
            <w:pPr>
              <w:pStyle w:val="Compact"/>
            </w:pPr>
            <w:r>
              <w:t xml:space="preserve">CS-05 (consentimiento), CS-06 (transferencia internacional), CS-08 (cláusula 19), CS-15 (consentimiento comercial)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Capacidad (4 individuales / 3+6 simultáneos)</w:t>
            </w:r>
          </w:p>
        </w:tc>
        <w:tc>
          <w:tcPr/>
          <w:p>
            <w:pPr>
              <w:pStyle w:val="Compact"/>
            </w:pPr>
            <w:r>
              <w:t xml:space="preserve">CS-01, CS-04, CS-09, CS-10, CS-11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Redacción previa a la acreditación</w:t>
            </w:r>
          </w:p>
        </w:tc>
        <w:tc>
          <w:tcPr/>
          <w:p>
            <w:pPr>
              <w:pStyle w:val="Compact"/>
            </w:pPr>
            <w:r>
              <w:t xml:space="preserve">CS-01, CS-02, CS-03, CS-06, CS-08, CS-13, CS-15 (en cualquier lugar de cara al cliente)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Moneda / cambio de divisas</w:t>
            </w:r>
          </w:p>
        </w:tc>
        <w:tc>
          <w:tcPr/>
          <w:p>
            <w:pPr>
              <w:pStyle w:val="Compact"/>
            </w:pPr>
            <w:r>
              <w:t xml:space="preserve">CS-01, CS-04, CS-06, CS-10, CS-12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Pago/evidencia de orden de compra</w:t>
            </w:r>
          </w:p>
        </w:tc>
        <w:tc>
          <w:tcPr/>
          <w:p>
            <w:pPr>
              <w:pStyle w:val="Compact"/>
            </w:pPr>
            <w:r>
              <w:t xml:space="preserve">CS-07, CS-09, CS-10, CS-12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Recordatorio estándar de uso de informes</w:t>
            </w:r>
          </w:p>
        </w:tc>
        <w:tc>
          <w:tcPr/>
          <w:p>
            <w:pPr>
              <w:pStyle w:val="Compact"/>
            </w:pPr>
            <w:r>
              <w:t xml:space="preserve">CS-01, CS-08, CS-13 (debe coincidir exactamente)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cómo-usar-este-documento"/>
    <w:p>
      <w:pPr>
        <w:pStyle w:val="Heading2"/>
      </w:pPr>
      <w:r>
        <w:t xml:space="preserve">Cómo usar este documento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Incorporación de un nuevo miembro del equipo:</w:t>
      </w:r>
      <w:r>
        <w:t xml:space="preserve"> </w:t>
      </w:r>
      <w:r>
        <w:t xml:space="preserve">recorra la tabla de recorrido del cliente y luego el gráfico Mermaid. Deberían poder localizar cualquier artefacto por paso del viaje.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Auditoría de una ronda:</w:t>
      </w:r>
      <w:r>
        <w:t xml:space="preserve"> </w:t>
      </w:r>
      <w:r>
        <w:t xml:space="preserve">comience en CS-13 (entrega), siga las flechas de regreso a CS-05 (interés). Verifique que la cadena esté intacta: cada participante confirmado tiene CS-09 (revisión) y CS-11 (confirmación) en su archivo.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Identificación de espacios:</w:t>
      </w:r>
      <w:r>
        <w:t xml:space="preserve"> </w:t>
      </w:r>
      <w:r>
        <w:t xml:space="preserve">el gráfico Mermaid resalta qué artefactos no tienen bordes entrantes o salientes. Si un artefacto está desconectado, es candidato a retirarse o una señal de falta de lógica.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Actualización del mapa:</w:t>
      </w:r>
      <w:r>
        <w:t xml:space="preserve"> </w:t>
      </w:r>
      <w:r>
        <w:t xml:space="preserve">cuando se agrega, elimina un artefacto o cambia su rol, actualizar la tabla de recorrido del cliente, el gráfico de dependencia y la tabla transversal.</w:t>
      </w:r>
    </w:p>
    <w:bookmarkEnd w:id="25"/>
    <w:bookmarkEnd w:id="26"/>
    <w:sectPr>
      <w:headerReference r:id="rId7" w:type="default"/>
      <w:headerReference r:id="rId8" w:type="first"/>
      <w:pgSz w:h="15840" w:orient="portrait" w:w="12240"/>
      <w:pgMar w:bottom="1418" w:footer="720" w:header="720" w:left="851" w:right="811" w:top="1418"/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10893.999999999998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214"/>
      <w:gridCol w:w="5618"/>
      <w:gridCol w:w="3062"/>
      <w:tblGridChange w:id="0">
        <w:tblGrid>
          <w:gridCol w:w="2214"/>
          <w:gridCol w:w="5618"/>
          <w:gridCol w:w="3062"/>
        </w:tblGrid>
      </w:tblGridChange>
    </w:tblGrid>
    <w:tr>
      <w:trPr>
        <w:cantSplit w:val="1"/>
        <w:trHeight w:val="182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258570" cy="533400"/>
                <wp:effectExtent b="0" l="0" r="0" t="0"/>
                <wp:docPr descr="Escudo PowerPoint" id="1028" name="image2.png"/>
                <a:graphic>
                  <a:graphicData uri="http://schemas.openxmlformats.org/drawingml/2006/picture">
                    <pic:pic>
                      <pic:nvPicPr>
                        <pic:cNvPr descr="Escudo PowerPoint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8570" cy="533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LABORATORIO DE CALIDAD DEL AIRE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M-GCM-01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08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12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MANUAL DE CALIDAD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10893.999999999998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214"/>
      <w:gridCol w:w="5618"/>
      <w:gridCol w:w="3062"/>
      <w:tblGridChange w:id="0">
        <w:tblGrid>
          <w:gridCol w:w="2214"/>
          <w:gridCol w:w="5618"/>
          <w:gridCol w:w="3062"/>
        </w:tblGrid>
      </w:tblGridChange>
    </w:tblGrid>
    <w:tr>
      <w:trPr>
        <w:cantSplit w:val="1"/>
        <w:trHeight w:val="182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232535" cy="558800"/>
                <wp:effectExtent b="0" l="0" r="0" t="0"/>
                <wp:docPr id="103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2535" cy="5588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LABORATORIO DE CALIDAD DEL AIRE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DG-PSEA-01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12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0"/>
              <w:szCs w:val="20"/>
              <w:rtl w:val="0"/>
            </w:rPr>
            <w:t xml:space="preserve">DOCUMENTO GENERAL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893.999999999998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214"/>
      <w:gridCol w:w="5618"/>
      <w:gridCol w:w="3062"/>
      <w:tblGridChange w:id="0">
        <w:tblGrid>
          <w:gridCol w:w="2214"/>
          <w:gridCol w:w="5618"/>
          <w:gridCol w:w="3062"/>
        </w:tblGrid>
      </w:tblGridChange>
    </w:tblGrid>
    <w:tr>
      <w:trPr>
        <w:cantSplit w:val="1"/>
        <w:trHeight w:val="182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258570" cy="533400"/>
                <wp:effectExtent b="0" l="0" r="0" t="0"/>
                <wp:docPr descr="Escudo PowerPoint" id="1029" name="image2.png"/>
                <a:graphic>
                  <a:graphicData uri="http://schemas.openxmlformats.org/drawingml/2006/picture">
                    <pic:pic>
                      <pic:nvPicPr>
                        <pic:cNvPr descr="Escudo PowerPoint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8570" cy="533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LABORATORIO DE CALIDAD DEL AIRE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M-GCM-01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12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MANUAL DE CALIDAD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TrueTypeFonts w:val="1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docDefaults>
    <w:rPrDefault>
      <w:rPr>
        <w:rFonts w:ascii="Tahoma" w:cs="Tahoma" w:eastAsia="Tahoma" w:hAnsi="Tahoma"/>
        <w:sz w:val="24"/>
        <w:szCs w:val="24"/>
        <w:lang w:val="es"/>
      </w:rPr>
    </w:rPrDefault>
    <w:pPrDefault>
      <w:pPr/>
    </w:pPrDefault>
  </w:docDefaults>
  <w:style w:default="1" w:styleId="TableNormal" w:type="table">
    <w:name w:val="TableNormal"/>
    <w:tblPr>
      <w:tblCellMar>
        <w:top w:type="dxa" w:w="100.0"/>
        <w:left w:type="dxa" w:w="100.0"/>
        <w:bottom w:type="dxa" w:w="100.0"/>
        <w:right w:type="dxa" w:w="100.0"/>
      </w:tblCellMar>
    </w:tblPr>
  </w:style>
  <w:style w:default="1" w:styleId="Normal" w:type="paragraph">
    <w:name w:val="normal"/>
  </w:style>
  <w:style w:styleId="Heading1" w:type="paragraph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styleId="Heading2" w:type="paragraph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styleId="Heading3" w:type="paragraph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styleId="Heading4" w:type="paragraph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styleId="Heading5" w:type="paragraph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styleId="Heading6" w:type="paragraph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styleId="Title" w:type="paragraph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styleId="Título1" w:type="paragraph">
    <w:name w:val="Título 1"/>
    <w:basedOn w:val="Normal"/>
    <w:next w:val="Normal"/>
    <w:autoRedefine w:val="0"/>
    <w:hidden w:val="0"/>
    <w:qFormat w:val="0"/>
    <w:pPr>
      <w:keepNext w:val="1"/>
      <w:widowControl w:val="0"/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eastAsia="Times New Roman" w:hAnsi="Arial"/>
      <w:b w:val="1"/>
      <w:w w:val="100"/>
      <w:position w:val="-1"/>
      <w:sz w:val="18"/>
      <w:szCs w:val="24"/>
      <w:effect w:val="none"/>
      <w:vertAlign w:val="baseline"/>
      <w:cs w:val="0"/>
      <w:em w:val="none"/>
      <w:lang w:bidi="ar-SA" w:eastAsia="zh-TW" w:val="es-ES"/>
    </w:rPr>
  </w:style>
  <w:style w:styleId="Título2" w:type="paragraph">
    <w:name w:val="Título 2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firstLineChars="-1" w:leftChars="-1" w:rightChars="0"/>
      <w:textDirection w:val="btLr"/>
      <w:textAlignment w:val="top"/>
      <w:outlineLvl w:val="1"/>
    </w:pPr>
    <w:rPr>
      <w:rFonts w:ascii="Arial" w:hAnsi="Arial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zh-TW" w:val="und"/>
    </w:rPr>
  </w:style>
  <w:style w:styleId="Título3" w:type="paragraph">
    <w:name w:val="Título 3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firstLineChars="-1" w:leftChars="-1" w:rightChars="0"/>
      <w:textDirection w:val="btLr"/>
      <w:textAlignment w:val="top"/>
      <w:outlineLvl w:val="2"/>
    </w:pPr>
    <w:rPr>
      <w:rFonts w:ascii="Cambria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zh-TW" w:val="und"/>
    </w:rPr>
  </w:style>
  <w:style w:styleId="Título4" w:type="paragraph">
    <w:name w:val="Título 4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firstLineChars="-1" w:leftChars="-1" w:rightChars="0"/>
      <w:textDirection w:val="btLr"/>
      <w:textAlignment w:val="top"/>
      <w:outlineLvl w:val="3"/>
    </w:pPr>
    <w:rPr>
      <w:rFonts w:ascii="Times New Roman" w:hAnsi="Times New Roman"/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zh-TW" w:val="und"/>
    </w:rPr>
  </w:style>
  <w:style w:styleId="Título5" w:type="paragraph">
    <w:name w:val="Título 5"/>
    <w:basedOn w:val="Normal"/>
    <w:next w:val="Normal"/>
    <w:autoRedefine w:val="0"/>
    <w:hidden w:val="0"/>
    <w:qFormat w:val="0"/>
    <w:pPr>
      <w:keepNext w:val="1"/>
      <w:widowControl w:val="0"/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4"/>
    </w:pPr>
    <w:rPr>
      <w:rFonts w:ascii="Arial" w:cs="Arial" w:eastAsia="Times New Roman" w:hAnsi="Arial"/>
      <w:b w:val="1"/>
      <w:color w:val="000080"/>
      <w:w w:val="100"/>
      <w:position w:val="-1"/>
      <w:sz w:val="20"/>
      <w:szCs w:val="24"/>
      <w:effect w:val="none"/>
      <w:vertAlign w:val="baseline"/>
      <w:cs w:val="0"/>
      <w:em w:val="none"/>
      <w:lang w:bidi="ar-SA" w:eastAsia="zh-TW" w:val="es-ES"/>
    </w:rPr>
  </w:style>
  <w:style w:styleId="Título6" w:type="paragraph">
    <w:name w:val="Título 6"/>
    <w:basedOn w:val="Normal"/>
    <w:next w:val="Normal"/>
    <w:autoRedefine w:val="0"/>
    <w:hidden w:val="0"/>
    <w:qFormat w:val="0"/>
    <w:pPr>
      <w:keepNext w:val="1"/>
      <w:suppressAutoHyphens w:val="1"/>
      <w:spacing w:after="100" w:before="100" w:line="1" w:lineRule="atLeast"/>
      <w:ind w:firstLineChars="-1" w:leftChars="-1" w:rightChars="0"/>
      <w:textDirection w:val="btLr"/>
      <w:textAlignment w:val="top"/>
      <w:outlineLvl w:val="5"/>
    </w:pPr>
    <w:rPr>
      <w:rFonts w:ascii="Arial" w:cs="Arial" w:eastAsia="Times New Roman" w:hAnsi="Arial"/>
      <w:i w:val="1"/>
      <w:color w:val="0000ff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ítulo9" w:type="paragraph">
    <w:name w:val="Título 9"/>
    <w:basedOn w:val="Normal"/>
    <w:next w:val="Normal"/>
    <w:autoRedefine w:val="0"/>
    <w:hidden w:val="0"/>
    <w:qFormat w:val="0"/>
    <w:pPr>
      <w:tabs>
        <w:tab w:leader="none" w:pos="1800" w:val="num"/>
      </w:tabs>
      <w:suppressAutoHyphens w:val="0"/>
      <w:spacing w:after="60" w:before="240" w:line="1" w:lineRule="atLeast"/>
      <w:ind w:firstLineChars="-1" w:hanging="1800" w:left="1800" w:leftChars="-1" w:rightChars="0"/>
      <w:textDirection w:val="btLr"/>
      <w:textAlignment w:val="top"/>
      <w:outlineLvl w:val="8"/>
    </w:pPr>
    <w:rPr>
      <w:rFonts w:ascii="Arial" w:eastAsia="Times New Roman" w:hAnsi="Arial"/>
      <w:b w:val="1"/>
      <w:i w:val="1"/>
      <w:w w:val="100"/>
      <w:position w:val="-1"/>
      <w:sz w:val="18"/>
      <w:szCs w:val="20"/>
      <w:effect w:val="none"/>
      <w:vertAlign w:val="baseline"/>
      <w:cs w:val="0"/>
      <w:em w:val="none"/>
      <w:lang w:bidi="ar-SA" w:eastAsia="zh-TW" w:val="und"/>
    </w:rPr>
  </w:style>
  <w:style w:styleId="Fuentedepárrafopredeter." w:type="character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styleId="Tablanormal" w:type="table">
    <w:name w:val="Tabla normal"/>
    <w:next w:val="Tablanormal"/>
    <w:autoRedefine w:val="0"/>
    <w:hidden w:val="0"/>
    <w:qFormat w:val="1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type="dxa" w:w="0.0"/>
      <w:tblCellMar>
        <w:top w:type="dxa" w:w="0.0"/>
        <w:left w:type="dxa" w:w="108.0"/>
        <w:bottom w:type="dxa" w:w="0.0"/>
        <w:right w:type="dxa" w:w="108.0"/>
      </w:tblCellMar>
    </w:tblPr>
  </w:style>
  <w:style w:styleId="Sinlista" w:type="numbering">
    <w:name w:val="Sin lista"/>
    <w:next w:val="Sinlista"/>
    <w:autoRedefine w:val="0"/>
    <w:hidden w:val="0"/>
    <w:qFormat w:val="1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Título,Puesto,Título1,Puesto1,Título11,Puesto11,Título111,Puesto111,Título1111,Puesto1111,Título11111" w:type="paragraph">
    <w:name w:val="Título,Puesto,Título1,Puesto1,Título11,Puesto11,Título111,Puesto111,Título1111,Puesto1111,Título11111"/>
    <w:basedOn w:val="Normal"/>
    <w:next w:val="Título,Puesto,Título1,Puesto1,Título11,Puesto11,Título111,Puesto111,Título1111,Puesto1111,Título11111"/>
    <w:autoRedefine w:val="0"/>
    <w:hidden w:val="0"/>
    <w:qFormat w:val="0"/>
    <w:pPr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Times New Roman" w:eastAsia="Times New Roman" w:hAnsi="Times New Roman"/>
      <w:b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CO"/>
    </w:rPr>
  </w:style>
  <w:style w:styleId="Textoindependiente" w:type="paragraph">
    <w:name w:val="Texto independiente"/>
    <w:basedOn w:val="Normal"/>
    <w:next w:val="Textoindependiente"/>
    <w:autoRedefine w:val="0"/>
    <w:hidden w:val="0"/>
    <w:qFormat w:val="0"/>
    <w:pPr>
      <w:widowControl w:val="0"/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Arial" w:cs="Arial" w:eastAsia="Times New Roman" w:hAnsi="Arial"/>
      <w:b w:val="1"/>
      <w:w w:val="100"/>
      <w:position w:val="-1"/>
      <w:sz w:val="23"/>
      <w:szCs w:val="24"/>
      <w:effect w:val="none"/>
      <w:vertAlign w:val="baseline"/>
      <w:cs w:val="0"/>
      <w:em w:val="none"/>
      <w:lang w:bidi="ar-SA" w:eastAsia="zh-TW" w:val="es-ES"/>
    </w:rPr>
  </w:style>
  <w:style w:styleId="Textoennegrita" w:type="character">
    <w:name w:val="Texto en negrita"/>
    <w:next w:val="Textoennegrita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styleId="Encabezado" w:type="paragraph">
    <w:name w:val="Encabezado"/>
    <w:basedOn w:val="Normal"/>
    <w:next w:val="Encabezado"/>
    <w:autoRedefine w:val="0"/>
    <w:hidden w:val="0"/>
    <w:qFormat w:val="0"/>
    <w:pPr>
      <w:widowControl w:val="0"/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extoindependiente2" w:type="paragraph">
    <w:name w:val="Texto independiente 2"/>
    <w:basedOn w:val="Normal"/>
    <w:next w:val="Textoindependiente2"/>
    <w:autoRedefine w:val="0"/>
    <w:hidden w:val="0"/>
    <w:qFormat w:val="0"/>
    <w:pPr>
      <w:widowControl w:val="0"/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cs="Arial" w:eastAsia="Times New Roman" w:hAnsi="Arial"/>
      <w:w w:val="100"/>
      <w:position w:val="-1"/>
      <w:sz w:val="18"/>
      <w:szCs w:val="24"/>
      <w:effect w:val="none"/>
      <w:vertAlign w:val="baseline"/>
      <w:cs w:val="0"/>
      <w:em w:val="none"/>
      <w:lang w:bidi="ar-SA" w:eastAsia="zh-TW" w:val="es-ES"/>
    </w:rPr>
  </w:style>
  <w:style w:styleId="Piedepágina" w:type="paragraph">
    <w:name w:val="Pie de página"/>
    <w:basedOn w:val="Normal"/>
    <w:next w:val="Piedepágina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ablaconcuadrícula" w:type="table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DC1" w:type="paragraph">
    <w:name w:val="TDC 1"/>
    <w:basedOn w:val="Normal"/>
    <w:next w:val="Normal"/>
    <w:autoRedefine w:val="0"/>
    <w:hidden w:val="0"/>
    <w:qFormat w:val="0"/>
    <w:pPr>
      <w:tabs>
        <w:tab w:leader="none" w:pos="480" w:val="left"/>
        <w:tab w:leader="none" w:pos="9360" w:val="left"/>
        <w:tab w:leader="dot" w:pos="10890" w:val="right"/>
      </w:tabs>
      <w:suppressAutoHyphens w:val="1"/>
      <w:spacing w:before="360" w:line="1" w:lineRule="atLeast"/>
      <w:ind w:firstLineChars="-1" w:leftChars="-1" w:right="-41" w:rightChars="0"/>
      <w:textDirection w:val="btLr"/>
      <w:textAlignment w:val="top"/>
      <w:outlineLvl w:val="0"/>
    </w:pPr>
    <w:rPr>
      <w:rFonts w:ascii="Cambria" w:hAnsi="Cambria"/>
      <w:b w:val="1"/>
      <w:bCs w:val="1"/>
      <w:cap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extoindependiente3" w:type="paragraph">
    <w:name w:val="Texto independiente 3"/>
    <w:basedOn w:val="Normal"/>
    <w:next w:val="Textoindependiente3"/>
    <w:autoRedefine w:val="0"/>
    <w:hidden w:val="0"/>
    <w:qFormat w:val="0"/>
    <w:pPr>
      <w:suppressAutoHyphens w:val="1"/>
      <w:spacing w:after="120"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TW" w:val="es-ES"/>
    </w:rPr>
  </w:style>
  <w:style w:styleId="Sangría2det.independiente" w:type="paragraph">
    <w:name w:val="Sangría 2 de t. independiente"/>
    <w:basedOn w:val="Normal"/>
    <w:next w:val="Sangría2det.independiente"/>
    <w:autoRedefine w:val="0"/>
    <w:hidden w:val="0"/>
    <w:qFormat w:val="0"/>
    <w:pPr>
      <w:suppressAutoHyphens w:val="1"/>
      <w:spacing w:after="120" w:line="480" w:lineRule="auto"/>
      <w:ind w:firstLineChars="-1" w:left="283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Normal(Web)" w:type="paragraph">
    <w:name w:val="Normal (Web)"/>
    <w:basedOn w:val="Normal"/>
    <w:next w:val="Normal(Web)"/>
    <w:autoRedefine w:val="0"/>
    <w:hidden w:val="0"/>
    <w:qFormat w:val="0"/>
    <w:pPr>
      <w:suppressAutoHyphens w:val="1"/>
      <w:spacing w:after="100" w:before="100" w:line="1" w:lineRule="atLeast"/>
      <w:ind w:firstLineChars="-1" w:leftChars="-1" w:rightChars="0"/>
      <w:textDirection w:val="btLr"/>
      <w:textAlignment w:val="top"/>
      <w:outlineLvl w:val="0"/>
    </w:pPr>
    <w:rPr>
      <w:rFonts w:ascii="Arial Unicode MS" w:eastAsia="Arial Unicode MS" w:hAnsi="Arial Unicode MS"/>
      <w:w w:val="100"/>
      <w:position w:val="-1"/>
      <w:sz w:val="24"/>
      <w:szCs w:val="20"/>
      <w:effect w:val="none"/>
      <w:vertAlign w:val="baseline"/>
      <w:cs w:val="0"/>
      <w:em w:val="none"/>
      <w:lang w:bidi="ar-SA" w:eastAsia="zh-TW" w:val="es-ES"/>
    </w:rPr>
  </w:style>
  <w:style w:styleId="Epígrafe,Descripción,Epígrafe1,Descripción1,Epígrafe11,Descripción11,Epígrafe111,Descripción111,Epígrafe1111,Descripción1111,Epígrafe11111" w:type="paragraph">
    <w:name w:val="Epígrafe,Descripción,Epígrafe1,Descripción1,Epígrafe11,Descripción11,Epígrafe111,Descripción111,Epígrafe1111,Descripción1111,Epígrafe11111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Times New Roman" w:eastAsia="Times New Roman" w:hAnsi="Times New Roman"/>
      <w:b w:val="1"/>
      <w:bCs w:val="1"/>
      <w:w w:val="100"/>
      <w:position w:val="-1"/>
      <w:sz w:val="28"/>
      <w:szCs w:val="24"/>
      <w:effect w:val="none"/>
      <w:vertAlign w:val="baseline"/>
      <w:cs w:val="0"/>
      <w:em w:val="none"/>
      <w:lang w:bidi="ar-SA" w:eastAsia="zh-TW" w:val="es-ES"/>
    </w:rPr>
  </w:style>
  <w:style w:styleId="Númerodepágina" w:type="character">
    <w:name w:val="Número de página"/>
    <w:basedOn w:val="Fuentedepárrafopredeter."/>
    <w:next w:val="Númerodepágin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Listaactual1" w:type="numbering">
    <w:name w:val="Lista actual1"/>
    <w:next w:val="Listaactual1"/>
    <w:autoRedefine w:val="0"/>
    <w:hidden w:val="0"/>
    <w:qFormat w:val="0"/>
    <w:pPr>
      <w:numPr>
        <w:ilvl w:val="0"/>
        <w:numId w:val="1"/>
      </w:num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1/1.1/1.1.1" w:type="numbering">
    <w:name w:val="1 / 1.1 / 1.1.1"/>
    <w:basedOn w:val="Sinlista"/>
    <w:next w:val="1/1.1/1.1.1"/>
    <w:autoRedefine w:val="0"/>
    <w:hidden w:val="0"/>
    <w:qFormat w:val="0"/>
    <w:pPr>
      <w:numPr>
        <w:ilvl w:val="0"/>
        <w:numId w:val="2"/>
      </w:num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Listaactual2" w:type="numbering">
    <w:name w:val="Lista actual2"/>
    <w:next w:val="Listaactual2"/>
    <w:autoRedefine w:val="0"/>
    <w:hidden w:val="0"/>
    <w:qFormat w:val="0"/>
    <w:pPr>
      <w:numPr>
        <w:ilvl w:val="0"/>
        <w:numId w:val="3"/>
      </w:num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Sangría3det.independiente" w:type="paragraph">
    <w:name w:val="Sangría 3 de t. independiente"/>
    <w:basedOn w:val="Normal"/>
    <w:next w:val="Sangría3det.independiente"/>
    <w:autoRedefine w:val="0"/>
    <w:hidden w:val="0"/>
    <w:qFormat w:val="0"/>
    <w:pPr>
      <w:suppressAutoHyphens w:val="1"/>
      <w:spacing w:after="120" w:line="1" w:lineRule="atLeast"/>
      <w:ind w:firstLineChars="-1" w:left="283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TW" w:val="es-ES"/>
    </w:rPr>
  </w:style>
  <w:style w:styleId="Listavistosa-Énfasis11" w:type="paragraph">
    <w:name w:val="Lista vistosa - Énfasis 11"/>
    <w:basedOn w:val="Normal"/>
    <w:next w:val="Listavistosa-Énfasis11"/>
    <w:autoRedefine w:val="0"/>
    <w:hidden w:val="0"/>
    <w:qFormat w:val="0"/>
    <w:pPr>
      <w:suppressAutoHyphens w:val="1"/>
      <w:spacing w:after="200" w:line="276" w:lineRule="auto"/>
      <w:ind w:firstLineChars="-1" w:left="720" w:leftChars="-1" w:rightChars="0"/>
      <w:contextualSpacing w:val="1"/>
      <w:textDirection w:val="btLr"/>
      <w:textAlignment w:val="top"/>
      <w:outlineLvl w:val="0"/>
    </w:pPr>
    <w:rPr>
      <w:rFonts w:ascii="Calibri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zh-TW" w:val="es-CO"/>
    </w:rPr>
  </w:style>
  <w:style w:styleId="Sangríadetextonormal" w:type="paragraph">
    <w:name w:val="Sangría de texto normal"/>
    <w:basedOn w:val="Normal"/>
    <w:next w:val="Sangríadetextonormal"/>
    <w:autoRedefine w:val="0"/>
    <w:hidden w:val="0"/>
    <w:qFormat w:val="0"/>
    <w:pPr>
      <w:suppressAutoHyphens w:val="1"/>
      <w:spacing w:after="120" w:line="1" w:lineRule="atLeast"/>
      <w:ind w:firstLineChars="-1" w:left="283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SangríadetextonormalCar" w:type="character">
    <w:name w:val="Sangría de texto normal Car"/>
    <w:next w:val="SangríadetextonormalCar"/>
    <w:autoRedefine w:val="0"/>
    <w:hidden w:val="0"/>
    <w:qFormat w:val="0"/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eastAsia="zh-TW" w:val="es-ES"/>
    </w:rPr>
  </w:style>
  <w:style w:styleId="EncabezadoCar" w:type="character">
    <w:name w:val="Encabezado Car"/>
    <w:next w:val="EncabezadoCar"/>
    <w:autoRedefine w:val="0"/>
    <w:hidden w:val="0"/>
    <w:qFormat w:val="0"/>
    <w:rPr>
      <w:rFonts w:ascii="Arial" w:cs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 w:eastAsia="es-ES" w:val="es-ES"/>
    </w:rPr>
  </w:style>
  <w:style w:styleId="Textodeglobo" w:type="paragraph">
    <w:name w:val="Texto de globo"/>
    <w:basedOn w:val="Normal"/>
    <w:next w:val="Textodeglob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TW" w:val="es-ES"/>
    </w:rPr>
  </w:style>
  <w:style w:styleId="TextodegloboCar" w:type="character">
    <w:name w:val="Texto de globo Car"/>
    <w:next w:val="Textodeglobo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eastAsia="zh-TW" w:val="es-ES"/>
    </w:rPr>
  </w:style>
  <w:style w:styleId="Ref.decomentario" w:type="character">
    <w:name w:val="Ref. de comentario"/>
    <w:next w:val="Ref.decomentario"/>
    <w:autoRedefine w:val="0"/>
    <w:hidden w:val="0"/>
    <w:qFormat w:val="0"/>
    <w:rPr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styleId="Textocomentario" w:type="paragraph">
    <w:name w:val="Texto comentario"/>
    <w:basedOn w:val="Normal"/>
    <w:next w:val="Textocomentari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und"/>
    </w:rPr>
  </w:style>
  <w:style w:styleId="TextocomentarioCar" w:type="character">
    <w:name w:val="Texto comentario Car"/>
    <w:next w:val="TextocomentarioC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Hipervínculo" w:type="character">
    <w:name w:val="Hipervínculo"/>
    <w:next w:val="Hipervínculo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styleId="Asuntodelcomentario" w:type="paragraph">
    <w:name w:val="Asunto del comentario"/>
    <w:basedOn w:val="Textocomentario"/>
    <w:next w:val="Textocomentari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eastAsia="Times New Roman" w:hAnsi="Tahoma"/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und"/>
    </w:rPr>
  </w:style>
  <w:style w:styleId="AsuntodelcomentarioCar" w:type="character">
    <w:name w:val="Asunto del comentario Car"/>
    <w:next w:val="AsuntodelcomentarioCar"/>
    <w:autoRedefine w:val="0"/>
    <w:hidden w:val="0"/>
    <w:qFormat w:val="0"/>
    <w:rPr>
      <w:rFonts w:ascii="Tahoma" w:eastAsia="Times New Roman" w:hAnsi="Tahoma"/>
      <w:b w:val="1"/>
      <w:bCs w:val="1"/>
      <w:w w:val="100"/>
      <w:position w:val="-1"/>
      <w:effect w:val="none"/>
      <w:vertAlign w:val="baseline"/>
      <w:cs w:val="0"/>
      <w:em w:val="none"/>
      <w:lang w:eastAsia="zh-TW"/>
    </w:rPr>
  </w:style>
  <w:style w:styleId="Encabezadodetabladecontenido" w:type="paragraph">
    <w:name w:val="Encabezado de tabla de contenido"/>
    <w:basedOn w:val="Título1"/>
    <w:next w:val="Normal"/>
    <w:autoRedefine w:val="0"/>
    <w:hidden w:val="0"/>
    <w:qFormat w:val="1"/>
    <w:pPr>
      <w:keepNext w:val="1"/>
      <w:keepLines w:val="1"/>
      <w:widowControl w:val="1"/>
      <w:suppressAutoHyphens w:val="1"/>
      <w:spacing w:before="480" w:line="276" w:lineRule="auto"/>
      <w:ind w:firstLineChars="-1" w:leftChars="-1" w:rightChars="0"/>
      <w:textDirection w:val="btLr"/>
      <w:textAlignment w:val="top"/>
      <w:outlineLvl w:val="9"/>
    </w:pPr>
    <w:rPr>
      <w:rFonts w:ascii="Cambria" w:cs="Times New Roman" w:eastAsia="Times New Roman" w:hAnsi="Cambria"/>
      <w:b w:val="1"/>
      <w:bCs w:val="1"/>
      <w:color w:val="365f91"/>
      <w:w w:val="100"/>
      <w:position w:val="-1"/>
      <w:sz w:val="28"/>
      <w:szCs w:val="28"/>
      <w:effect w:val="none"/>
      <w:vertAlign w:val="baseline"/>
      <w:cs w:val="0"/>
      <w:em w:val="none"/>
      <w:lang w:bidi="ar-SA" w:eastAsia="zh-TW" w:val="es-ES"/>
    </w:rPr>
  </w:style>
  <w:style w:styleId="TDC2" w:type="paragraph">
    <w:name w:val="TDC 2"/>
    <w:basedOn w:val="Normal"/>
    <w:next w:val="Normal"/>
    <w:autoRedefine w:val="0"/>
    <w:hidden w:val="0"/>
    <w:qFormat w:val="0"/>
    <w:pPr>
      <w:tabs>
        <w:tab w:leader="none" w:pos="720" w:val="left"/>
        <w:tab w:leader="none" w:pos="10260" w:val="left"/>
        <w:tab w:leader="dot" w:pos="10929" w:val="right"/>
      </w:tabs>
      <w:suppressAutoHyphens w:val="1"/>
      <w:spacing w:line="1" w:lineRule="atLeast"/>
      <w:ind w:firstLineChars="-1" w:leftChars="-1" w:right="49" w:rightChars="0"/>
      <w:textDirection w:val="btLr"/>
      <w:textAlignment w:val="top"/>
      <w:outlineLvl w:val="0"/>
    </w:pPr>
    <w:rPr>
      <w:rFonts w:ascii="Calibri" w:hAnsi="Calibri"/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ítulo4Car" w:type="character">
    <w:name w:val="Título 4 Car"/>
    <w:next w:val="Título4Car"/>
    <w:autoRedefine w:val="0"/>
    <w:hidden w:val="0"/>
    <w:qFormat w:val="0"/>
    <w:rPr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eastAsia="zh-TW"/>
    </w:rPr>
  </w:style>
  <w:style w:styleId="TítuloCar" w:type="character">
    <w:name w:val="Título Car"/>
    <w:next w:val="TítuloCar"/>
    <w:autoRedefine w:val="0"/>
    <w:hidden w:val="0"/>
    <w:qFormat w:val="0"/>
    <w:rPr>
      <w:b w:val="1"/>
      <w:w w:val="100"/>
      <w:position w:val="-1"/>
      <w:effect w:val="none"/>
      <w:vertAlign w:val="baseline"/>
      <w:cs w:val="0"/>
      <w:em w:val="none"/>
      <w:lang w:val="es-CO"/>
    </w:rPr>
  </w:style>
  <w:style w:styleId="Título2Car" w:type="character">
    <w:name w:val="Título 2 Car"/>
    <w:next w:val="Título2Car"/>
    <w:autoRedefine w:val="0"/>
    <w:hidden w:val="0"/>
    <w:qFormat w:val="0"/>
    <w:rPr>
      <w:rFonts w:ascii="Arial" w:cs="Arial" w:hAnsi="Arial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eastAsia="zh-TW"/>
    </w:rPr>
  </w:style>
  <w:style w:styleId="Título3Car" w:type="character">
    <w:name w:val="Título 3 Car"/>
    <w:next w:val="Título3C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zh-TW"/>
    </w:rPr>
  </w:style>
  <w:style w:styleId="Título9Car" w:type="character">
    <w:name w:val="Título 9 Car"/>
    <w:next w:val="Título9Car"/>
    <w:autoRedefine w:val="0"/>
    <w:hidden w:val="0"/>
    <w:qFormat w:val="0"/>
    <w:rPr>
      <w:rFonts w:ascii="Arial" w:eastAsia="Times New Roman" w:hAnsi="Arial"/>
      <w:b w:val="1"/>
      <w:i w:val="1"/>
      <w:w w:val="100"/>
      <w:position w:val="-1"/>
      <w:sz w:val="18"/>
      <w:effect w:val="none"/>
      <w:vertAlign w:val="baseline"/>
      <w:cs w:val="0"/>
      <w:em w:val="none"/>
      <w:lang w:eastAsia="ar-SA"/>
    </w:rPr>
  </w:style>
  <w:style w:styleId="WW-Textoindependiente2" w:type="paragraph">
    <w:name w:val="WW-Texto independiente 2"/>
    <w:basedOn w:val="Normal"/>
    <w:next w:val="WW-Textoindependiente2"/>
    <w:autoRedefine w:val="0"/>
    <w:hidden w:val="0"/>
    <w:qFormat w:val="0"/>
    <w:pPr>
      <w:suppressAutoHyphens w:val="0"/>
      <w:spacing w:after="120" w:before="120" w:line="1" w:lineRule="atLeast"/>
      <w:ind w:firstLineChars="-1" w:leftChars="-1" w:rightChars="0"/>
      <w:jc w:val="both"/>
      <w:textDirection w:val="btLr"/>
      <w:textAlignment w:val="top"/>
      <w:outlineLvl w:val="0"/>
    </w:pPr>
    <w:rPr>
      <w:rFonts w:ascii="Times New Roman" w:eastAsia="Times New Roman" w:hAnsi="Times New Roman"/>
      <w:color w:val="ff00ff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WW-Textoindependiente3" w:type="paragraph">
    <w:name w:val="WW-Texto independiente 3"/>
    <w:basedOn w:val="Normal"/>
    <w:next w:val="WW-Textoindependiente3"/>
    <w:autoRedefine w:val="0"/>
    <w:hidden w:val="0"/>
    <w:qFormat w:val="0"/>
    <w:pPr>
      <w:suppressAutoHyphens w:val="0"/>
      <w:spacing w:line="1" w:lineRule="atLeast"/>
      <w:ind w:firstLineChars="-1" w:leftChars="-1" w:rightChars="0"/>
      <w:jc w:val="both"/>
      <w:textDirection w:val="btLr"/>
      <w:textAlignment w:val="top"/>
      <w:outlineLvl w:val="0"/>
    </w:pPr>
    <w:rPr>
      <w:rFonts w:ascii="Times New Roman" w:eastAsia="Times New Roman" w:hAnsi="Times New Roman"/>
      <w:b w:val="1"/>
      <w:w w:val="100"/>
      <w:position w:val="-1"/>
      <w:sz w:val="24"/>
      <w:szCs w:val="20"/>
      <w:effect w:val="none"/>
      <w:vertAlign w:val="baseline"/>
      <w:cs w:val="0"/>
      <w:em w:val="none"/>
      <w:lang w:bidi="ar-SA" w:eastAsia="zh-TW" w:val="es-ES"/>
    </w:rPr>
  </w:style>
  <w:style w:styleId="WW-BodyText2" w:type="paragraph">
    <w:name w:val="WW-Body Text 2"/>
    <w:basedOn w:val="Normal"/>
    <w:next w:val="WW-BodyText2"/>
    <w:autoRedefine w:val="0"/>
    <w:hidden w:val="0"/>
    <w:qFormat w:val="0"/>
    <w:pPr>
      <w:suppressAutoHyphens w:val="0"/>
      <w:spacing w:line="1" w:lineRule="atLeast"/>
      <w:ind w:firstLineChars="-1" w:leftChars="-1" w:rightChars="0"/>
      <w:jc w:val="both"/>
      <w:textDirection w:val="btLr"/>
      <w:textAlignment w:val="top"/>
      <w:outlineLvl w:val="0"/>
    </w:pPr>
    <w:rPr>
      <w:rFonts w:ascii="Arial" w:eastAsia="Times New Roman" w:hAnsi="Arial"/>
      <w:w w:val="100"/>
      <w:position w:val="-1"/>
      <w:sz w:val="22"/>
      <w:szCs w:val="20"/>
      <w:effect w:val="none"/>
      <w:vertAlign w:val="baseline"/>
      <w:cs w:val="0"/>
      <w:em w:val="none"/>
      <w:lang w:bidi="ar-SA" w:eastAsia="zh-TW" w:val="es-MX"/>
    </w:rPr>
  </w:style>
  <w:style w:styleId="Subtítulo" w:type="paragraph">
    <w:name w:val="Subtítulo"/>
    <w:basedOn w:val="Normal"/>
    <w:next w:val="Subtítulo"/>
    <w:autoRedefine w:val="0"/>
    <w:hidden w:val="0"/>
    <w:qFormat w:val="0"/>
    <w:pPr>
      <w:suppressAutoHyphens w:val="1"/>
      <w:spacing w:after="60" w:line="1" w:lineRule="atLeast"/>
      <w:ind w:firstLineChars="-1" w:leftChars="-1" w:rightChars="0"/>
      <w:jc w:val="center"/>
      <w:textDirection w:val="btLr"/>
      <w:textAlignment w:val="top"/>
      <w:outlineLvl w:val="1"/>
    </w:pPr>
    <w:rPr>
      <w:rFonts w:ascii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und"/>
    </w:rPr>
  </w:style>
  <w:style w:styleId="SubtítuloCar" w:type="character">
    <w:name w:val="Subtítulo Car"/>
    <w:next w:val="SubtítuloCar"/>
    <w:autoRedefine w:val="0"/>
    <w:hidden w:val="0"/>
    <w:qFormat w:val="0"/>
    <w:rPr>
      <w:rFonts w:ascii="Arial" w:cs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styleId="Contenidodelatabla" w:type="paragraph">
    <w:name w:val="Contenido de la tabla"/>
    <w:basedOn w:val="Normal"/>
    <w:next w:val="Contenidodelatabla"/>
    <w:autoRedefine w:val="0"/>
    <w:hidden w:val="0"/>
    <w:qFormat w:val="0"/>
    <w:pPr>
      <w:suppressAutoHyphens w:val="0"/>
      <w:overflowPunct w:val="0"/>
      <w:autoSpaceDE w:val="0"/>
      <w:spacing w:after="120" w:line="1" w:lineRule="atLeast"/>
      <w:ind w:firstLineChars="-1" w:leftChars="-1" w:rightChars="0"/>
      <w:textDirection w:val="btLr"/>
      <w:textAlignment w:val="baseline"/>
      <w:outlineLvl w:val="0"/>
    </w:pPr>
    <w:rPr>
      <w:rFonts w:ascii="Times New Roman" w:eastAsia="Times New Roman" w:hAnsi="Times New Roman"/>
      <w:w w:val="100"/>
      <w:position w:val="-1"/>
      <w:sz w:val="24"/>
      <w:szCs w:val="20"/>
      <w:effect w:val="none"/>
      <w:vertAlign w:val="baseline"/>
      <w:cs w:val="0"/>
      <w:em w:val="none"/>
      <w:lang w:bidi="ar-SA" w:eastAsia="zh-TW" w:val="en-US"/>
    </w:rPr>
  </w:style>
  <w:style w:styleId="xl64" w:type="paragraph">
    <w:name w:val="xl64"/>
    <w:basedOn w:val="Normal"/>
    <w:next w:val="xl64"/>
    <w:autoRedefine w:val="0"/>
    <w:hidden w:val="0"/>
    <w:qFormat w:val="0"/>
    <w:pPr>
      <w:suppressAutoHyphens w:val="0"/>
      <w:spacing w:after="280" w:before="280"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CO"/>
    </w:rPr>
  </w:style>
  <w:style w:styleId="TDC3" w:type="paragraph">
    <w:name w:val="TDC 3"/>
    <w:basedOn w:val="Normal"/>
    <w:next w:val="Normal"/>
    <w:autoRedefine w:val="0"/>
    <w:hidden w:val="0"/>
    <w:qFormat w:val="1"/>
    <w:pPr>
      <w:tabs>
        <w:tab w:leader="none" w:pos="960" w:val="left"/>
        <w:tab w:leader="dot" w:pos="9360" w:val="right"/>
      </w:tabs>
      <w:suppressAutoHyphens w:val="1"/>
      <w:spacing w:line="1" w:lineRule="atLeast"/>
      <w:ind w:firstLineChars="-1" w:left="24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Hipervínculovisitado" w:type="character">
    <w:name w:val="Hipervínculo visitado"/>
    <w:next w:val="Hipervínculovisitado"/>
    <w:autoRedefine w:val="0"/>
    <w:hidden w:val="0"/>
    <w:qFormat w:val="0"/>
    <w:rPr>
      <w:color w:val="800080"/>
      <w:w w:val="100"/>
      <w:position w:val="-1"/>
      <w:u w:val="single"/>
      <w:effect w:val="none"/>
      <w:vertAlign w:val="baseline"/>
      <w:cs w:val="0"/>
      <w:em w:val="none"/>
      <w:lang/>
    </w:rPr>
  </w:style>
  <w:style w:styleId="Título1Car" w:type="character">
    <w:name w:val="Título 1 Car"/>
    <w:next w:val="Título1Car"/>
    <w:autoRedefine w:val="0"/>
    <w:hidden w:val="0"/>
    <w:qFormat w:val="0"/>
    <w:rPr>
      <w:rFonts w:ascii="Arial" w:cs="Arial" w:eastAsia="Times New Roman" w:hAnsi="Arial"/>
      <w:b w:val="1"/>
      <w:w w:val="100"/>
      <w:position w:val="-1"/>
      <w:sz w:val="18"/>
      <w:szCs w:val="24"/>
      <w:effect w:val="none"/>
      <w:vertAlign w:val="baseline"/>
      <w:cs w:val="0"/>
      <w:em w:val="none"/>
      <w:lang w:val="es-ES"/>
    </w:rPr>
  </w:style>
  <w:style w:styleId="Textonotaalfinal" w:type="paragraph">
    <w:name w:val="Texto nota al final"/>
    <w:basedOn w:val="Normal"/>
    <w:next w:val="Textonotaalfinal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und"/>
    </w:rPr>
  </w:style>
  <w:style w:styleId="TextonotaalfinalCar" w:type="character">
    <w:name w:val="Texto nota al final Car"/>
    <w:next w:val="TextonotaalfinalCar"/>
    <w:autoRedefine w:val="0"/>
    <w:hidden w:val="0"/>
    <w:qFormat w:val="0"/>
    <w:rPr>
      <w:rFonts w:ascii="Tahoma" w:hAnsi="Tahoma"/>
      <w:w w:val="100"/>
      <w:position w:val="-1"/>
      <w:effect w:val="none"/>
      <w:vertAlign w:val="baseline"/>
      <w:cs w:val="0"/>
      <w:em w:val="none"/>
      <w:lang w:eastAsia="zh-TW"/>
    </w:rPr>
  </w:style>
  <w:style w:styleId="Ref.denotaalfinal" w:type="character">
    <w:name w:val="Ref. de nota al final"/>
    <w:next w:val="Ref.denotaalfinal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styleId="TDC4" w:type="paragraph">
    <w:name w:val="TDC 4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48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5" w:type="paragraph">
    <w:name w:val="TDC 5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72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6" w:type="paragraph">
    <w:name w:val="TDC 6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96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7" w:type="paragraph">
    <w:name w:val="TDC 7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120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8" w:type="paragraph">
    <w:name w:val="TDC 8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144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9" w:type="paragraph">
    <w:name w:val="TDC 9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168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Sombreadovistoso-Énfasis11" w:type="paragraph">
    <w:name w:val="Sombreado vistoso - Énfasis 11"/>
    <w:next w:val="Sombreadovistoso-Énfasis11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EpígrafeCar" w:type="character">
    <w:name w:val="Epígrafe Car"/>
    <w:next w:val="EpígrafeCar"/>
    <w:autoRedefine w:val="0"/>
    <w:hidden w:val="0"/>
    <w:qFormat w:val="0"/>
    <w:rPr>
      <w:b w:val="1"/>
      <w:bCs w:val="1"/>
      <w:w w:val="100"/>
      <w:position w:val="-1"/>
      <w:sz w:val="28"/>
      <w:szCs w:val="24"/>
      <w:effect w:val="none"/>
      <w:vertAlign w:val="baseline"/>
      <w:cs w:val="0"/>
      <w:em w:val="none"/>
      <w:lang w:eastAsia="es-ES" w:val="es-ES"/>
    </w:rPr>
  </w:style>
  <w:style w:styleId="Párrafodelista" w:type="paragraph">
    <w:name w:val="Párrafo de lista"/>
    <w:basedOn w:val="Normal"/>
    <w:next w:val="Párrafodelista"/>
    <w:autoRedefine w:val="0"/>
    <w:hidden w:val="0"/>
    <w:qFormat w:val="0"/>
    <w:pPr>
      <w:suppressAutoHyphens w:val="1"/>
      <w:spacing w:line="1" w:lineRule="atLeast"/>
      <w:ind w:firstLineChars="-1" w:left="708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Default" w:type="paragraph">
    <w:name w:val="Default"/>
    <w:next w:val="Default"/>
    <w:autoRedefine w:val="0"/>
    <w:hidden w:val="0"/>
    <w:qFormat w:val="0"/>
    <w:pPr>
      <w:suppressAutoHyphens w:val="1"/>
      <w:autoSpaceDE w:val="0"/>
      <w:autoSpaceDN w:val="0"/>
      <w:adjustRightInd w:val="0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cs="Arial" w:hAnsi="Arial"/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ar-SA" w:eastAsia="es-CO" w:val="es-CO"/>
    </w:rPr>
  </w:style>
  <w:style w:styleId="Revisión" w:type="paragraph">
    <w:name w:val="Revisión"/>
    <w:next w:val="Revisión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PiedepáginaCar" w:type="character">
    <w:name w:val="Pie de página Car"/>
    <w:next w:val="PiedepáginaCar"/>
    <w:autoRedefine w:val="0"/>
    <w:hidden w:val="0"/>
    <w:qFormat w:val="0"/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eastAsia="zh-TW" w:val="es-ES"/>
    </w:rPr>
  </w:style>
  <w:style w:styleId="Textonotapie" w:type="paragraph">
    <w:name w:val="Texto nota pie"/>
    <w:basedOn w:val="Normal"/>
    <w:next w:val="Textonotapie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extonotapieCar" w:type="character">
    <w:name w:val="Texto nota pie Car"/>
    <w:next w:val="TextonotapieCar"/>
    <w:autoRedefine w:val="0"/>
    <w:hidden w:val="0"/>
    <w:qFormat w:val="0"/>
    <w:rPr>
      <w:rFonts w:ascii="Tahoma" w:hAnsi="Tahoma"/>
      <w:w w:val="100"/>
      <w:position w:val="-1"/>
      <w:effect w:val="none"/>
      <w:vertAlign w:val="baseline"/>
      <w:cs w:val="0"/>
      <w:em w:val="none"/>
      <w:lang w:eastAsia="zh-TW" w:val="es-ES"/>
    </w:rPr>
  </w:style>
  <w:style w:styleId="Ref.denotaalpie" w:type="character">
    <w:name w:val="Ref. de nota al pie"/>
    <w:next w:val="Ref.denotaalpie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styleId="TítulodeTDC" w:type="paragraph">
    <w:name w:val="Título de TDC"/>
    <w:basedOn w:val="Título1"/>
    <w:next w:val="Normal"/>
    <w:autoRedefine w:val="0"/>
    <w:hidden w:val="0"/>
    <w:qFormat w:val="1"/>
    <w:pPr>
      <w:keepNext w:val="1"/>
      <w:keepLines w:val="1"/>
      <w:widowControl w:val="1"/>
      <w:suppressAutoHyphens w:val="1"/>
      <w:spacing w:before="240" w:line="259" w:lineRule="auto"/>
      <w:ind w:firstLineChars="-1" w:leftChars="-1" w:rightChars="0"/>
      <w:textDirection w:val="btLr"/>
      <w:textAlignment w:val="top"/>
      <w:outlineLvl w:val="9"/>
    </w:pPr>
    <w:rPr>
      <w:rFonts w:ascii="Calibri Light" w:cs="Times New Roman" w:eastAsia="Times New Roman" w:hAnsi="Calibri Light"/>
      <w:b w:val="0"/>
      <w:color w:val="2e74b5"/>
      <w:w w:val="100"/>
      <w:position w:val="-1"/>
      <w:sz w:val="32"/>
      <w:szCs w:val="32"/>
      <w:effect w:val="none"/>
      <w:vertAlign w:val="baseline"/>
      <w:cs w:val="0"/>
      <w:em w:val="none"/>
      <w:lang w:bidi="ar-SA" w:eastAsia="zh-TW" w:val="es-CO"/>
    </w:rPr>
  </w:style>
  <w:style w:styleId="Énfasis" w:type="character">
    <w:name w:val="Énfasis"/>
    <w:next w:val="Énf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styleId="Sinespaciado" w:type="paragraph">
    <w:name w:val="Sin espaciado"/>
    <w:next w:val="Sinespaciad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il" w:type="character">
    <w:name w:val="il"/>
    <w:next w:val="il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Menciónsinresolver" w:type="character">
    <w:name w:val="Mención sin resolver"/>
    <w:next w:val="Menciónsinresolver"/>
    <w:autoRedefine w:val="0"/>
    <w:hidden w:val="0"/>
    <w:qFormat w:val="1"/>
    <w:rPr>
      <w:color w:val="605e5c"/>
      <w:w w:val="100"/>
      <w:position w:val="-1"/>
      <w:effect w:val="none"/>
      <w:shd w:color="auto" w:fill="e1dfdd" w:val="clear"/>
      <w:vertAlign w:val="baseline"/>
      <w:cs w:val="0"/>
      <w:em w:val="none"/>
      <w:lang/>
    </w:rPr>
  </w:style>
  <w:style w:styleId="Númerodelínea" w:type="character">
    <w:name w:val="Número de línea"/>
    <w:next w:val="Númerodelíne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Subtitle" w:type="paragraph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styleId="Table1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2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3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4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10" Target="header4.xml" Type="http://schemas.openxmlformats.org/officeDocument/2006/relationships/header" /><Relationship Id="rId9" Target="header3.xml" Type="http://schemas.openxmlformats.org/officeDocument/2006/relationships/header" /><Relationship Id="rId7" Target="header2.xml" Type="http://schemas.openxmlformats.org/officeDocument/2006/relationships/header" /><Relationship Id="rId8" Target="header1.xml" Type="http://schemas.openxmlformats.org/officeDocument/2006/relationships/header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2026-07-16T14:07:47Z</dcterms:created>
  <dcterms:modified xsi:type="dcterms:W3CDTF">2026-07-16T14:07:47Z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