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gistro-de-artefactos"/>
    <w:p>
      <w:pPr>
        <w:pStyle w:val="Heading1"/>
      </w:pPr>
      <w:r>
        <w:t xml:space="preserve">Registro de artefactos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servicio_comercial/00_control/registro_artefactos.md</w:t>
      </w:r>
      <w:r>
        <w:t xml:space="preserve"> </w:t>
      </w:r>
      <w:r>
        <w:rPr>
          <w:b/>
          <w:bCs/>
        </w:rPr>
        <w:t xml:space="preserve">Propietario:</w:t>
      </w:r>
      <w:r>
        <w:t xml:space="preserve"> </w:t>
      </w:r>
      <w:r>
        <w:t xml:space="preserve">Directora del grupo</w:t>
      </w:r>
      <w:r>
        <w:t xml:space="preserve"> </w:t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2026-07-14</w:t>
      </w:r>
    </w:p>
    <w:bookmarkStart w:id="1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Lista canónica de todos los artefactos comerciales con propietario, estado, versión y ubicación. La vista del "estado actual"; para ver el historial de revisiones, consulte</w:t>
      </w:r>
      <w:r>
        <w:t xml:space="preserve"> </w:t>
      </w:r>
      <w:r>
        <w:rPr>
          <w:rStyle w:val="VerbatimChar"/>
        </w:rPr>
        <w:t xml:space="preserve">registro_cambios_versiones.md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identificación</w:t>
            </w:r>
          </w:p>
        </w:tc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Función primaria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 de aprobación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</w:t>
            </w:r>
          </w:p>
        </w:tc>
        <w:tc>
          <w:tcPr/>
          <w:p>
            <w:pPr>
              <w:pStyle w:val="Compact"/>
            </w:pPr>
            <w:r>
              <w:t xml:space="preserve">Hoja de decisión comercial</w:t>
            </w:r>
          </w:p>
        </w:tc>
        <w:tc>
          <w:tcPr/>
          <w:p>
            <w:pPr>
              <w:pStyle w:val="Compact"/>
            </w:pPr>
            <w:r>
              <w:t xml:space="preserve">Fuente única para alcance, precio, condiciones y reclamaciones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PROPUESTA APROBADA — puertas de liberación pendientes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00_control/CS-01_decisiones_comerciales.md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CS-02</w:t>
            </w:r>
          </w:p>
        </w:tc>
        <w:tc>
          <w:tcPr/>
          <w:p>
            <w:pPr>
              <w:pStyle w:val="Compact"/>
            </w:pPr>
            <w:r>
              <w:t xml:space="preserve">Catálogo de servicios / folleto</w:t>
            </w:r>
          </w:p>
        </w:tc>
        <w:tc>
          <w:tcPr/>
          <w:p>
            <w:pPr>
              <w:pStyle w:val="Compact"/>
            </w:pPr>
            <w:r>
              <w:t xml:space="preserve">Explicar y posicionar la oferta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CONTENIDO DE LA PROPUESTA COMPLETO — aprobación de publicación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01_mercado/CS-02_catalogo.md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CS-03</w:t>
            </w:r>
          </w:p>
        </w:tc>
        <w:tc>
          <w:tcPr/>
          <w:p>
            <w:pPr>
              <w:pStyle w:val="Compact"/>
            </w:pPr>
            <w:r>
              <w:t xml:space="preserve">Programa anual y convocatoria de ronda</w:t>
            </w:r>
          </w:p>
        </w:tc>
        <w:tc>
          <w:tcPr/>
          <w:p>
            <w:pPr>
              <w:pStyle w:val="Compact"/>
            </w:pPr>
            <w:r>
              <w:t xml:space="preserve">Fechas de publicación, capacidad y alcance seleccionado</w:t>
            </w:r>
          </w:p>
        </w:tc>
        <w:tc>
          <w:tcPr/>
          <w:p>
            <w:pPr>
              <w:pStyle w:val="Compac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</w:pPr>
            <w:r>
              <w:t xml:space="preserve">PLANTILLA DE PROPUESTA COMPLETA — campos redondos pendientes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01_mercado/CS-03_programa_convocatoria_ronda.md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CS-04</w:t>
            </w:r>
          </w:p>
        </w:tc>
        <w:tc>
          <w:tcPr/>
          <w:p>
            <w:pPr>
              <w:pStyle w:val="Compact"/>
            </w:pPr>
            <w:r>
              <w:t xml:space="preserve">Modelo de precios y lista de precios aprobada</w:t>
            </w:r>
          </w:p>
        </w:tc>
        <w:tc>
          <w:tcPr/>
          <w:p>
            <w:pPr>
              <w:pStyle w:val="Compact"/>
            </w:pPr>
            <w:r>
              <w:t xml:space="preserve">Evaluar costos, precio y umbral de viabilidad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PROPUESTA DE VIABILIDAD — pruebas pendientes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02_precios_restringidos/CS-04_modelo_costos_precios.md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CS-05</w:t>
            </w:r>
          </w:p>
        </w:tc>
        <w:tc>
          <w:tcPr/>
          <w:p>
            <w:pPr>
              <w:pStyle w:val="Compact"/>
            </w:pPr>
            <w:r>
              <w:t xml:space="preserve">Formulario de expresión de interés</w:t>
            </w:r>
          </w:p>
        </w:tc>
        <w:tc>
          <w:tcPr/>
          <w:p>
            <w:pPr>
              <w:pStyle w:val="Compact"/>
            </w:pPr>
            <w:r>
              <w:t xml:space="preserve">Validar la demanda antes de abrir ventas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01_mercado/CS-05_expresiones_de_interes.md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CS-06</w:t>
            </w:r>
          </w:p>
        </w:tc>
        <w:tc>
          <w:tcPr/>
          <w:p>
            <w:pPr>
              <w:pStyle w:val="Compact"/>
            </w:pPr>
            <w:r>
              <w:t xml:space="preserve">Plantilla de cotización</w:t>
            </w:r>
          </w:p>
        </w:tc>
        <w:tc>
          <w:tcPr/>
          <w:p>
            <w:pPr>
              <w:pStyle w:val="Compact"/>
            </w:pPr>
            <w:r>
              <w:t xml:space="preserve">Realizar una oferta comercial controlada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03_ventas_contratacion/CS-06_cotizaciones.md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CS-07</w:t>
            </w:r>
          </w:p>
        </w:tc>
        <w:tc>
          <w:tcPr/>
          <w:p>
            <w:pPr>
              <w:pStyle w:val="Compact"/>
            </w:pPr>
            <w:r>
              <w:t xml:space="preserve">Formulario de registro/pedido</w:t>
            </w:r>
          </w:p>
        </w:tc>
        <w:tc>
          <w:tcPr/>
          <w:p>
            <w:pPr>
              <w:pStyle w:val="Compact"/>
            </w:pPr>
            <w:r>
              <w:t xml:space="preserve">Captura de comprador, alcance seleccionado y datos administrativos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03_ventas_contratacion/CS-07_inscripciones.md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CS-08</w:t>
            </w:r>
          </w:p>
        </w:tc>
        <w:tc>
          <w:tcPr/>
          <w:p>
            <w:pPr>
              <w:pStyle w:val="Compact"/>
            </w:pPr>
            <w:r>
              <w:t xml:space="preserve">Términos y condiciones / acuerdo de participante</w:t>
            </w:r>
          </w:p>
        </w:tc>
        <w:tc>
          <w:tcPr/>
          <w:p>
            <w:pPr>
              <w:pStyle w:val="Compact"/>
            </w:pPr>
            <w:r>
              <w:t xml:space="preserve">Establecer condiciones de servicio vinculantes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03_ventas_contratacion/CS-08_terminos.md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CS-09</w:t>
            </w:r>
          </w:p>
        </w:tc>
        <w:tc>
          <w:tcPr/>
          <w:p>
            <w:pPr>
              <w:pStyle w:val="Compact"/>
            </w:pPr>
            <w:r>
              <w:t xml:space="preserve">Lista de verificación de revisión de contrato/orden de compra</w:t>
            </w:r>
          </w:p>
        </w:tc>
        <w:tc>
          <w:tcPr/>
          <w:p>
            <w:pPr>
              <w:pStyle w:val="Compact"/>
            </w:pPr>
            <w:r>
              <w:t xml:space="preserve">Confirmar que CALAIRE-EA puede aceptar el pedido</w:t>
            </w:r>
          </w:p>
        </w:tc>
        <w:tc>
          <w:tcPr/>
          <w:p>
            <w:pPr>
              <w:pStyle w:val="Compac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03_ventas_contratacion/CS-09_revisiones_contrato.md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CS-10</w:t>
            </w:r>
          </w:p>
        </w:tc>
        <w:tc>
          <w:tcPr/>
          <w:p>
            <w:pPr>
              <w:pStyle w:val="Compact"/>
            </w:pPr>
            <w:r>
              <w:t xml:space="preserve">Seguimiento de inscripciones e ingresos</w:t>
            </w:r>
          </w:p>
        </w:tc>
        <w:tc>
          <w:tcPr/>
          <w:p>
            <w:pPr>
              <w:pStyle w:val="Compact"/>
            </w:pPr>
            <w:r>
              <w:t xml:space="preserve">Control de capacidad, pedido, pago y viabilidad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IMPLEMENTADO — aprobación pendiente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04_inscripcion_restringida/CS-10_seguimiento_inscripciones_ingresos.xlsx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CS-11</w:t>
            </w:r>
          </w:p>
        </w:tc>
        <w:tc>
          <w:tcPr/>
          <w:p>
            <w:pPr>
              <w:pStyle w:val="Compact"/>
            </w:pPr>
            <w:r>
              <w:t xml:space="preserve">Paquete de confirmación, lista de espera, rechazo e incorporación</w:t>
            </w:r>
          </w:p>
        </w:tc>
        <w:tc>
          <w:tcPr/>
          <w:p>
            <w:pPr>
              <w:pStyle w:val="Compact"/>
            </w:pPr>
            <w:r>
              <w:t xml:space="preserve">Confirmar la compra y transferirla al SGC</w:t>
            </w:r>
          </w:p>
        </w:tc>
        <w:tc>
          <w:tcPr/>
          <w:p>
            <w:pPr>
              <w:pStyle w:val="Compac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04_inscripcion_restringida/CS-11_confirmaciones.md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CS-12</w:t>
            </w:r>
          </w:p>
        </w:tc>
        <w:tc>
          <w:tcPr/>
          <w:p>
            <w:pPr>
              <w:pStyle w:val="Compact"/>
            </w:pPr>
            <w:r>
              <w:t xml:space="preserve">Registro de cambios, cancelaciones y devoluciones</w:t>
            </w:r>
          </w:p>
        </w:tc>
        <w:tc>
          <w:tcPr/>
          <w:p>
            <w:pPr>
              <w:pStyle w:val="Compact"/>
            </w:pPr>
            <w:r>
              <w:t xml:space="preserve">Controlar los cambios comerciales y las decisiones financieras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05_cambios_finanzas/CS-12_cambios_cancelaciones_reembolsos.md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CS-13</w:t>
            </w:r>
          </w:p>
        </w:tc>
        <w:tc>
          <w:tcPr/>
          <w:p>
            <w:pPr>
              <w:pStyle w:val="Compact"/>
            </w:pPr>
            <w:r>
              <w:t xml:space="preserve">Entrega de informe y mensaje de participación</w:t>
            </w:r>
          </w:p>
        </w:tc>
        <w:tc>
          <w:tcPr/>
          <w:p>
            <w:pPr>
              <w:pStyle w:val="Compact"/>
            </w:pPr>
            <w:r>
              <w:t xml:space="preserve">Completar la entrega al cliente de manera consistente</w:t>
            </w:r>
          </w:p>
        </w:tc>
        <w:tc>
          <w:tcPr/>
          <w:p>
            <w:pPr>
              <w:pStyle w:val="Compac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06_entrega_retencion/CS-13_entrega_informes.md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CS-14</w:t>
            </w:r>
          </w:p>
        </w:tc>
        <w:tc>
          <w:tcPr/>
          <w:p>
            <w:pPr>
              <w:pStyle w:val="Compact"/>
            </w:pPr>
            <w:r>
              <w:t xml:space="preserve">Formulario de comentarios del cliente</w:t>
            </w:r>
          </w:p>
        </w:tc>
        <w:tc>
          <w:tcPr/>
          <w:p>
            <w:pPr>
              <w:pStyle w:val="Compact"/>
            </w:pPr>
            <w:r>
              <w:t xml:space="preserve">Medir la experiencia y la demanda del servicio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06_entrega_retencion/CS-14_retroalimentacion.md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CS-15</w:t>
            </w:r>
          </w:p>
        </w:tc>
        <w:tc>
          <w:tcPr/>
          <w:p>
            <w:pPr>
              <w:pStyle w:val="Compact"/>
            </w:pPr>
            <w:r>
              <w:t xml:space="preserve">Mensaje de renovación/seguimiento y registro de clientes potenciales</w:t>
            </w:r>
          </w:p>
        </w:tc>
        <w:tc>
          <w:tcPr/>
          <w:p>
            <w:pPr>
              <w:pStyle w:val="Compact"/>
            </w:pPr>
            <w:r>
              <w:t xml:space="preserve">Convertir la participación completada en demanda repetida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 — contenido redactado; aprobación pendiente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06_entrega_retencion/CS-15_renovacion.md</w:t>
            </w:r>
          </w:p>
        </w:tc>
      </w:tr>
    </w:tbl>
    <w:bookmarkEnd w:id="19"/>
    <w:bookmarkStart w:id="20" w:name="documentos-de-apoyo-sin-numeración-cs-xx"/>
    <w:p>
      <w:pPr>
        <w:pStyle w:val="Heading2"/>
      </w:pPr>
      <w:r>
        <w:t xml:space="preserve">Documentos de apoyo (sin numeración CS-XX)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Función principal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LÉAME</w:t>
            </w:r>
          </w:p>
        </w:tc>
        <w:tc>
          <w:tcPr/>
          <w:p>
            <w:pPr>
              <w:pStyle w:val="Compact"/>
            </w:pPr>
            <w:r>
              <w:t xml:space="preserve">Estructura de carpetas, reglas, fases, puertas de aprobación, convenciones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servicio_comercial/README.md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Mapa de viaje</w:t>
            </w:r>
          </w:p>
        </w:tc>
        <w:tc>
          <w:tcPr/>
          <w:p>
            <w:pPr>
              <w:pStyle w:val="Compact"/>
            </w:pPr>
            <w:r>
              <w:t xml:space="preserve">Visualización de un extremo a otro de cómo se conectan los 15 artefactos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servicio_comercial/00_control/mapa_viaje.md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Equivalencia de códigos del SGC</w:t>
            </w:r>
          </w:p>
        </w:tc>
        <w:tc>
          <w:tcPr/>
          <w:p>
            <w:pPr>
              <w:pStyle w:val="Compact"/>
            </w:pPr>
            <w:r>
              <w:t xml:space="preserve">Tabla de traducción de códigos PSEA / F-PSEA / I-PSEA / DG-PSEA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servicio_comercial/00_control/equivalencia_codigos_sgc.md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Lanzar registro de cambios</w:t>
            </w:r>
          </w:p>
        </w:tc>
        <w:tc>
          <w:tcPr/>
          <w:p>
            <w:pPr>
              <w:pStyle w:val="Compact"/>
            </w:pPr>
            <w:r>
              <w:t xml:space="preserve">Historial de lanzamientos de artefactos cruzados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servicio_comercial/00_control/registro_cambios_versiones.md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 de acceso a la carpeta de precios</w:t>
            </w:r>
          </w:p>
        </w:tc>
        <w:tc>
          <w:tcPr/>
          <w:p>
            <w:pPr>
              <w:pStyle w:val="Compact"/>
            </w:pPr>
            <w:r>
              <w:t xml:space="preserve">Política de acceso por archivo para</w:t>
            </w:r>
            <w:r>
              <w:t xml:space="preserve"> </w:t>
            </w:r>
            <w:r>
              <w:rPr>
                <w:rStyle w:val="VerbatimChar"/>
              </w:rPr>
              <w:t xml:space="preserve">02_precios_restringidos/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servicio_comercial/02_precios_restringidos/PROPIETARIOS.md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 de acceso a la carpeta de inscripción</w:t>
            </w:r>
          </w:p>
        </w:tc>
        <w:tc>
          <w:tcPr/>
          <w:p>
            <w:pPr>
              <w:pStyle w:val="Compact"/>
            </w:pPr>
            <w:r>
              <w:t xml:space="preserve">Política de acceso por archivo para</w:t>
            </w:r>
            <w:r>
              <w:t xml:space="preserve"> </w:t>
            </w:r>
            <w:r>
              <w:rPr>
                <w:rStyle w:val="VerbatimChar"/>
              </w:rPr>
              <w:t xml:space="preserve">04_inscripcion_restringida/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servicio_comercial/04_inscripcion_restringida/PROPIETARIOS.md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Lista de precios aprobada (de cara al cliente)</w:t>
            </w:r>
          </w:p>
        </w:tc>
        <w:tc>
          <w:tcPr/>
          <w:p>
            <w:pPr>
              <w:pStyle w:val="Compact"/>
            </w:pPr>
            <w:r>
              <w:t xml:space="preserve">Precios de cara al cliente derivados de CS-04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  <w:tc>
          <w:tcPr/>
          <w:p>
            <w:pPr>
              <w:pStyle w:val="Compact"/>
            </w:pPr>
            <w:r>
              <w:t xml:space="preserve">BLOQUEADO — ningún precio aprobado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servicio_comercial/02_precios_restringidos/listas_precios_aprobadas.md</w:t>
            </w:r>
          </w:p>
        </w:tc>
      </w:tr>
    </w:tbl>
    <w:bookmarkEnd w:id="20"/>
    <w:bookmarkStart w:id="21" w:name="historial-de-cambios-resumen"/>
    <w:p>
      <w:pPr>
        <w:pStyle w:val="Heading2"/>
      </w:pPr>
      <w:r>
        <w:t xml:space="preserve">Historial de cambios (resumen)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Cambiar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Aprobado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2026-07-12</w:t>
            </w:r>
          </w:p>
        </w:tc>
        <w:tc>
          <w:tcPr/>
          <w:p>
            <w:pPr>
              <w:pStyle w:val="Compact"/>
            </w:pPr>
            <w:r>
              <w:t xml:space="preserve">Registro inicial creado a partir del plano MVP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Se agregaron marcadores de última revisión y referencias de código SGC en los 15 artefactos de CS; documentos de respaldo agregados (README 0.2, mapa_viaje.md, equivalencia_codigos_sgc.md, PROPIETARIOS.md); responsabilidades consolidadas de registro_cambios_versiones y registro_artefactos.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</w:tbl>
    <w:bookmarkEnd w:id="21"/>
    <w:bookmarkEnd w:id="22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2026-07-16T14:07:47Z</dcterms:created>
  <dcterms:modified xsi:type="dcterms:W3CDTF">2026-07-16T14:07:47Z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