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lanzar-registro-de-cambios"/>
    <w:p>
      <w:pPr>
        <w:pStyle w:val="Heading1"/>
      </w:pPr>
      <w:r>
        <w:t xml:space="preserve">Lanzar registro de cambios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servicio_comercial/00_control/registro_cambios_versiones.md</w:t>
      </w:r>
      <w:r>
        <w:t xml:space="preserve"> </w:t>
      </w:r>
      <w:r>
        <w:rPr>
          <w:b/>
          <w:bCs/>
        </w:rPr>
        <w:t xml:space="preserve">Propietario:</w:t>
      </w:r>
      <w:r>
        <w:t xml:space="preserve"> </w:t>
      </w:r>
      <w:r>
        <w:t xml:space="preserve">Directora del grupo</w:t>
      </w:r>
      <w:r>
        <w:t xml:space="preserve"> </w:t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2026-07-14</w:t>
      </w:r>
    </w:p>
    <w:bookmarkStart w:id="19" w:name="reglas"/>
    <w:p>
      <w:pPr>
        <w:pStyle w:val="Heading2"/>
      </w:pPr>
      <w:r>
        <w:t xml:space="preserve">Reglas</w:t>
      </w:r>
    </w:p>
    <w:p>
      <w:pPr>
        <w:pStyle w:val="Compact"/>
        <w:numPr>
          <w:ilvl w:val="0"/>
          <w:numId w:val="1001"/>
        </w:numPr>
      </w:pPr>
      <w:r>
        <w:t xml:space="preserve">Aquí se registra cada lanzamiento controlado de un artefacto comercial. Una "lanzamiento" es un cambio que afecta</w:t>
      </w:r>
      <w:r>
        <w:t xml:space="preserve"> </w:t>
      </w:r>
      <w:r>
        <w:rPr>
          <w:b/>
          <w:bCs/>
        </w:rPr>
        <w:t xml:space="preserve">múltiples artefactos simultáneamente</w:t>
      </w:r>
      <w:r>
        <w:t xml:space="preserve"> </w:t>
      </w:r>
      <w:r>
        <w:t xml:space="preserve">o que es lo suficientemente significativo como para requerir conocimiento entre equipos (por ejemplo, un cambio de regla CS-01 que se propaga a CS-02, CS-06, CS-08).</w:t>
      </w:r>
    </w:p>
    <w:p>
      <w:pPr>
        <w:pStyle w:val="Compact"/>
        <w:numPr>
          <w:ilvl w:val="0"/>
          <w:numId w:val="1001"/>
        </w:numPr>
      </w:pPr>
      <w:r>
        <w:t xml:space="preserve">Las revisiones por artefacto también se registran aquí, en una fila propia.</w:t>
      </w:r>
    </w:p>
    <w:p>
      <w:pPr>
        <w:pStyle w:val="Compact"/>
        <w:numPr>
          <w:ilvl w:val="0"/>
          <w:numId w:val="1001"/>
        </w:numPr>
      </w:pPr>
      <w:r>
        <w:t xml:space="preserve">Las revisiones de una cotización (CS-06) se rastrean en</w:t>
      </w:r>
      <w:r>
        <w:t xml:space="preserve"> </w:t>
      </w:r>
      <w:r>
        <w:rPr>
          <w:rStyle w:val="VerbatimChar"/>
        </w:rPr>
        <w:t xml:space="preserve">03_ventas_contratacion/CS-06_cotizaciones.md</w:t>
      </w:r>
      <w:r>
        <w:t xml:space="preserve"> </w:t>
      </w:r>
      <w:r>
        <w:t xml:space="preserve">por familia de cotizaciones; este registro registra solo versiones a nivel de plantilla.</w:t>
      </w:r>
    </w:p>
    <w:p>
      <w:pPr>
        <w:pStyle w:val="Compact"/>
        <w:numPr>
          <w:ilvl w:val="0"/>
          <w:numId w:val="1001"/>
        </w:numPr>
      </w:pPr>
      <w:r>
        <w:t xml:space="preserve">Los cambios en los documentos técnicos del SGC se registran en</w:t>
      </w:r>
      <w:r>
        <w:t xml:space="preserve"> </w:t>
      </w:r>
      <w:r>
        <w:rPr>
          <w:rStyle w:val="VerbatimChar"/>
        </w:rPr>
        <w:t xml:space="preserve">docs/qms/</w:t>
      </w:r>
      <w:r>
        <w:t xml:space="preserve">; este registro cubre solo la capa de artefactos comerciales.</w:t>
      </w:r>
    </w:p>
    <w:p>
      <w:pPr>
        <w:pStyle w:val="Compact"/>
        <w:numPr>
          <w:ilvl w:val="0"/>
          <w:numId w:val="1001"/>
        </w:numPr>
      </w:pPr>
      <w:r>
        <w:t xml:space="preserve">Cada fila de lanzamiento debe incluir: fecha de lanzamiento, ID de artefacto afectado, versión y resumen de cambios.</w:t>
      </w:r>
    </w:p>
    <w:bookmarkEnd w:id="19"/>
    <w:bookmarkStart w:id="20" w:name="X821f60793efa641eb2136f9393ad53c5330ed23"/>
    <w:p>
      <w:pPr>
        <w:pStyle w:val="Heading2"/>
      </w:pPr>
      <w:r>
        <w:t xml:space="preserve">Cómo se relaciona este registro con el registro de artefactos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00_control/registro_artefactos.md</w:t>
      </w:r>
      <w:r>
        <w:t xml:space="preserve"> </w:t>
      </w:r>
      <w:r>
        <w:t xml:space="preserve">enumera el</w:t>
      </w:r>
      <w:r>
        <w:t xml:space="preserve"> </w:t>
      </w:r>
      <w:r>
        <w:rPr>
          <w:b/>
          <w:bCs/>
        </w:rPr>
        <w:t xml:space="preserve">estado actual</w:t>
      </w:r>
      <w:r>
        <w:t xml:space="preserve"> </w:t>
      </w:r>
      <w:r>
        <w:t xml:space="preserve">de cada artefacto (estado, versión, propietario, ubicación).</w:t>
      </w:r>
    </w:p>
    <w:p>
      <w:pPr>
        <w:pStyle w:val="Compact"/>
        <w:numPr>
          <w:ilvl w:val="0"/>
          <w:numId w:val="1002"/>
        </w:numPr>
      </w:pPr>
      <w:r>
        <w:t xml:space="preserve">Este</w:t>
      </w:r>
      <w:r>
        <w:t xml:space="preserve"> </w:t>
      </w:r>
      <w:r>
        <w:rPr>
          <w:rStyle w:val="VerbatimChar"/>
        </w:rPr>
        <w:t xml:space="preserve">registro_cambios_versiones.md</w:t>
      </w:r>
      <w:r>
        <w:t xml:space="preserve"> </w:t>
      </w:r>
      <w:r>
        <w:t xml:space="preserve">enumera el</w:t>
      </w:r>
      <w:r>
        <w:t xml:space="preserve"> </w:t>
      </w:r>
      <w:r>
        <w:rPr>
          <w:b/>
          <w:bCs/>
        </w:rPr>
        <w:t xml:space="preserve">historial de lanzamientos</w:t>
      </w:r>
      <w:r>
        <w:t xml:space="preserve"> </w:t>
      </w:r>
      <w:r>
        <w:t xml:space="preserve">(cambios de plantilla entre artefactos).</w:t>
      </w:r>
    </w:p>
    <w:p>
      <w:pPr>
        <w:pStyle w:val="Compact"/>
        <w:numPr>
          <w:ilvl w:val="0"/>
          <w:numId w:val="1002"/>
        </w:numPr>
      </w:pPr>
      <w:r>
        <w:t xml:space="preserve">Este archivo es la única fuente del historial de revisiones; los artefactos no llevan tabla de aprobación interna.</w:t>
      </w:r>
    </w:p>
    <w:p>
      <w:pPr>
        <w:pStyle w:val="FirstParagraph"/>
      </w:pPr>
      <w:r>
        <w:t xml:space="preserve">Los dos son complementarios, no redundantes: el registro responde "¿cuál es el estado actual?", el registro responde "¿qué cambió en esta versión?".</w:t>
      </w:r>
    </w:p>
    <w:bookmarkEnd w:id="20"/>
    <w:bookmarkStart w:id="21" w:name="registro"/>
    <w:p>
      <w:pPr>
        <w:pStyle w:val="Heading2"/>
      </w:pPr>
      <w:r>
        <w:t xml:space="preserve">Registro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 de lanzamiento</w:t>
            </w:r>
          </w:p>
        </w:tc>
        <w:tc>
          <w:tcPr/>
          <w:p>
            <w:pPr>
              <w:pStyle w:val="Compact"/>
            </w:pPr>
            <w:r>
              <w:t xml:space="preserve">ID(es) de artefactos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Resumen de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CS-01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t xml:space="preserve">Borrador inicial creado a partir del plano de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CS-01, CS-04, CS-11, CS-13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Conciliación de la renumeración de códigos del SGC; guía de evidencia de CS-01; factor de uso por ronda y pestaña 6.A de CS-04; corrección del código del SGC en el paquete de incorporación CS-11; recordatorio estándar de uso del informe en CS-13, enlace con CS-12 y manejo de falta de recepción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CS-02, CS-03, CS-05, CS-06, CS-07, CS-08, CS-09, CS-10, CS-11, CS-12, CS-14, CS-15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Mejoras menores por artefacto: idioma, versión, fechas de calibración, tablas de pago, ramas de consentimiento, lista de espera, autorización dual, anonimato, SLA, sincronización CS-05.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00_control (nuevo)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Se agregaron</w:t>
            </w:r>
            <w:r>
              <w:t xml:space="preserve"> </w:t>
            </w:r>
            <w:r>
              <w:rPr>
                <w:rStyle w:val="VerbatimChar"/>
              </w:rPr>
              <w:t xml:space="preserve">equivalencia_codigos_sgc.md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mapa_viaje.md</w:t>
            </w:r>
            <w:r>
              <w:t xml:space="preserve"> </w:t>
            </w:r>
            <w:r>
              <w:t xml:space="preserve">para admitir lectores de artefactos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02_precios_restringidos, 04_inscripcion_restringida (nuevos)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Se agregó</w:t>
            </w:r>
            <w:r>
              <w:t xml:space="preserve"> </w:t>
            </w:r>
            <w:r>
              <w:rPr>
                <w:rStyle w:val="VerbatimChar"/>
              </w:rPr>
              <w:t xml:space="preserve">PROPIETARIOS.md</w:t>
            </w:r>
            <w:r>
              <w:t xml:space="preserve"> </w:t>
            </w:r>
            <w:r>
              <w:t xml:space="preserve">a cada carpeta restringida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Se agregaron la sección de convenciones, la referencia al mapeo de códigos del SGC y las referencias cruzadas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ptservice_art_prop.md (modelo)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Artículo 19 actualizado con códigos post-renumeración; se añade una nueva subsección 19.1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CS-01, CS-08, CS-09, CS-13, README, registro_artefactos</w:t>
            </w:r>
          </w:p>
        </w:tc>
        <w:tc>
          <w:tcPr/>
          <w:p>
            <w:pPr>
              <w:pStyle w:val="Compact"/>
            </w:pPr>
            <w:r>
              <w:t xml:space="preserve">correctivo</w:t>
            </w:r>
          </w:p>
        </w:tc>
        <w:tc>
          <w:tcPr/>
          <w:p>
            <w:pPr>
              <w:pStyle w:val="Compact"/>
            </w:pPr>
            <w:r>
              <w:t xml:space="preserve">Unificación del bloque estándar "uso del informe" en CS-01 §9, CS-08 cláusula 16 y CS-13 (texto idéntico, incluye frase de uso íntegro y autorización de distribución); corrección de rutas de carpeta traducidas en README y registro_artefactos; corrección de terminología ("Profesional de proyectos", "cupo", "verificación"); estados PLANIFICADO actualizados a BORRADOR en artefactos con contenido redactado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Todos los artefactos + soportes</w:t>
            </w:r>
          </w:p>
        </w:tc>
        <w:tc>
          <w:tcPr/>
          <w:p>
            <w:pPr>
              <w:pStyle w:val="Compact"/>
            </w:pPr>
            <w:r>
              <w:t xml:space="preserve">correctivo</w:t>
            </w:r>
          </w:p>
        </w:tc>
        <w:tc>
          <w:tcPr/>
          <w:p>
            <w:pPr>
              <w:pStyle w:val="Compact"/>
            </w:pPr>
            <w:r>
              <w:t xml:space="preserve">Nombres de archivos y carpetas traducidos al español (sin tildes), incluida la raíz</w:t>
            </w:r>
            <w:r>
              <w:t xml:space="preserve"> </w:t>
            </w:r>
            <w:r>
              <w:rPr>
                <w:rStyle w:val="VerbatimChar"/>
              </w:rPr>
              <w:t xml:space="preserve">servicio_comercial/</w:t>
            </w:r>
            <w:r>
              <w:t xml:space="preserve">; referencias actualizadas en artefactos, README, plan maestro (</w:t>
            </w:r>
            <w:r>
              <w:rPr>
                <w:rStyle w:val="VerbatimChar"/>
              </w:rPr>
              <w:t xml:space="preserve">ptservice_art_prop.md</w:t>
            </w:r>
            <w:r>
              <w:t xml:space="preserve"> </w:t>
            </w:r>
            <w:r>
              <w:t xml:space="preserve">§22) y</w:t>
            </w:r>
            <w:r>
              <w:t xml:space="preserve"> </w:t>
            </w:r>
            <w:r>
              <w:rPr>
                <w:rStyle w:val="VerbatimChar"/>
              </w:rPr>
              <w:t xml:space="preserve">scripts/build_cs10_tracker.py</w:t>
            </w:r>
          </w:p>
        </w:tc>
      </w:tr>
    </w:tbl>
    <w:bookmarkEnd w:id="21"/>
    <w:bookmarkStart w:id="22" w:name="cambios-pendientes"/>
    <w:p>
      <w:pPr>
        <w:pStyle w:val="Heading2"/>
      </w:pPr>
      <w:r>
        <w:t xml:space="preserve">Cambios pendientes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 prevista</w:t>
            </w:r>
          </w:p>
        </w:tc>
        <w:tc>
          <w:tcPr/>
          <w:p>
            <w:pPr>
              <w:pStyle w:val="Compact"/>
            </w:pPr>
            <w:r>
              <w:t xml:space="preserve">ID de artefacto</w:t>
            </w:r>
          </w:p>
        </w:tc>
        <w:tc>
          <w:tcPr/>
          <w:p>
            <w:pPr>
              <w:pStyle w:val="Compact"/>
            </w:pPr>
            <w:r>
              <w:t xml:space="preserve">Cambio propuesto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Bloqueador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CS-01</w:t>
            </w:r>
          </w:p>
        </w:tc>
        <w:tc>
          <w:tcPr/>
          <w:p>
            <w:pPr>
              <w:pStyle w:val="Compact"/>
            </w:pPr>
            <w:r>
              <w:t xml:space="preserve">Aprobar reglas comerciales (cerrar todos los marcadores</w:t>
            </w:r>
            <w:r>
              <w:t xml:space="preserve"> </w:t>
            </w:r>
            <w:r>
              <w:rPr>
                <w:rStyle w:val="VerbatimChar"/>
              </w:rPr>
              <w:t xml:space="preserve">[POR DILIGENCIAR]</w:t>
            </w:r>
            <w:r>
              <w:t xml:space="preserve"> </w:t>
            </w:r>
            <w:r>
              <w:t xml:space="preserve">con el visto bueno de la gerencia)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  <w:tc>
          <w:tcPr/>
          <w:p>
            <w:pPr>
              <w:pStyle w:val="Compact"/>
            </w:pPr>
            <w:r>
              <w:t xml:space="preserve">Aprobación de la dirección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CS-04</w:t>
            </w:r>
          </w:p>
        </w:tc>
        <w:tc>
          <w:tcPr/>
          <w:p>
            <w:pPr>
              <w:pStyle w:val="Compact"/>
            </w:pPr>
            <w:r>
              <w:t xml:space="preserve">Complete los supuestos de costos, provisiones del ciclo de vida, comparación de cilindros, derivación de referencia de la pestaña 6.A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aprobación CS-01; inventario de equipos + historial de mantenimiento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CS-02</w:t>
            </w:r>
          </w:p>
        </w:tc>
        <w:tc>
          <w:tcPr/>
          <w:p>
            <w:pPr>
              <w:pStyle w:val="Compact"/>
            </w:pPr>
            <w:r>
              <w:t xml:space="preserve">Borrador de contenido del catálogo (cerrar todos los marcadores narrativos</w:t>
            </w:r>
            <w:r>
              <w:t xml:space="preserve"> </w:t>
            </w:r>
            <w:r>
              <w:rPr>
                <w:rStyle w:val="VerbatimChar"/>
              </w:rPr>
              <w:t xml:space="preserve">[POR DILIGENCIAR]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Aprobación CS-01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CS-03</w:t>
            </w:r>
          </w:p>
        </w:tc>
        <w:tc>
          <w:tcPr/>
          <w:p>
            <w:pPr>
              <w:pStyle w:val="Compact"/>
            </w:pPr>
            <w:r>
              <w:t xml:space="preserve">Aviso de borrador de ronda para el próximo programa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  <w:tc>
          <w:tcPr/>
          <w:p>
            <w:pPr>
              <w:pStyle w:val="Compact"/>
            </w:pPr>
            <w:r>
              <w:t xml:space="preserve">Confirmación del calendario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CS-08</w:t>
            </w:r>
          </w:p>
        </w:tc>
        <w:tc>
          <w:tcPr/>
          <w:p>
            <w:pPr>
              <w:pStyle w:val="Compact"/>
            </w:pPr>
            <w:r>
              <w:t xml:space="preserve">Revisión jurídica de las cláusulas 18 (fuerza mayor, resolución de conflictos, responsabilidad) y 19 (protección de datos)</w:t>
            </w:r>
          </w:p>
        </w:tc>
        <w:tc>
          <w:tcPr/>
          <w:p>
            <w:pPr>
              <w:pStyle w:val="Compact"/>
            </w:pPr>
            <w:r>
              <w:t xml:space="preserve">Gestión/jurídico</w:t>
            </w:r>
          </w:p>
        </w:tc>
        <w:tc>
          <w:tcPr/>
          <w:p>
            <w:pPr>
              <w:pStyle w:val="Compact"/>
            </w:pPr>
            <w:r>
              <w:t xml:space="preserve">Contratación de asesoría jurídica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CS-10</w:t>
            </w:r>
          </w:p>
        </w:tc>
        <w:tc>
          <w:tcPr/>
          <w:p>
            <w:pPr>
              <w:pStyle w:val="Compact"/>
            </w:pPr>
            <w:r>
              <w:t xml:space="preserve">Libro de trabajo operativo protegido implementado con indicadores de capacidad/pago/EoI obsoleto, valores controlados, vistas requeridas y simulación sintética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  <w:tc>
          <w:tcPr/>
          <w:p>
            <w:pPr>
              <w:pStyle w:val="Compact"/>
            </w:pPr>
            <w:r>
              <w:t xml:space="preserve">Almacenamiento institucional, cambio de contraseña y aprobación del propietario pendientes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CS-02, CS-03, CS-04, CS-05, lista de precios aprobada</w:t>
            </w:r>
          </w:p>
        </w:tc>
        <w:tc>
          <w:tcPr/>
          <w:p>
            <w:pPr>
              <w:pStyle w:val="Compact"/>
            </w:pPr>
            <w:r>
              <w:t xml:space="preserve">Artefactos reformulados como propuesta de viabilidad; copia completa del catálogo, eliminación de la etapa del informe preliminar, alineación de la EoI con la política de COP únicamente, registro de cantidades de mano de obra provisionales y eliminación del punto de referencia no aprobado de la lista publicable</w:t>
            </w:r>
          </w:p>
        </w:tc>
        <w:tc>
          <w:tcPr/>
          <w:p>
            <w:pPr>
              <w:pStyle w:val="Compact"/>
            </w:pPr>
            <w:r>
              <w:t xml:space="preserve">Directora del grupo + Profesional de proyectos</w:t>
            </w:r>
          </w:p>
        </w:tc>
        <w:tc>
          <w:tcPr/>
          <w:p>
            <w:pPr>
              <w:pStyle w:val="Compact"/>
            </w:pPr>
            <w:r>
              <w:t xml:space="preserve">Quedan pendientes la publicación y la aprobación del precio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Todo</w:t>
            </w:r>
          </w:p>
        </w:tc>
        <w:tc>
          <w:tcPr/>
          <w:p>
            <w:pPr>
              <w:pStyle w:val="Compact"/>
            </w:pPr>
            <w:r>
              <w:t xml:space="preserve">Resolver los marcadores</w:t>
            </w:r>
            <w:r>
              <w:t xml:space="preserve"> </w:t>
            </w:r>
            <w:r>
              <w:rPr>
                <w:rStyle w:val="VerbatimChar"/>
              </w:rPr>
              <w:t xml:space="preserve">[POR DILIGENCIAR]</w:t>
            </w:r>
            <w:r>
              <w:t xml:space="preserve"> </w:t>
            </w:r>
            <w:r>
              <w:t xml:space="preserve">restantes identificados en la revisión</w:t>
            </w:r>
            <w:r>
              <w:t xml:space="preserve"> </w:t>
            </w:r>
            <w:r>
              <w:rPr>
                <w:rStyle w:val="VerbatimChar"/>
              </w:rPr>
              <w:t xml:space="preserve">logs/history/260714_0927_review-ptservice-art-impl.md</w:t>
            </w:r>
          </w:p>
        </w:tc>
        <w:tc>
          <w:tcPr/>
          <w:p>
            <w:pPr>
              <w:pStyle w:val="Compact"/>
            </w:pPr>
            <w:r>
              <w:t xml:space="preserve">Varios</w:t>
            </w:r>
          </w:p>
        </w:tc>
        <w:tc>
          <w:tcPr/>
          <w:p>
            <w:pPr>
              <w:pStyle w:val="Compact"/>
            </w:pPr>
            <w:r>
              <w:t xml:space="preserve">Dependencias secuenciales de la aprobación CS-01</w:t>
            </w:r>
          </w:p>
        </w:tc>
      </w:tr>
    </w:tbl>
    <w:bookmarkEnd w:id="22"/>
    <w:bookmarkEnd w:id="23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2026-07-16T14:07:47Z</dcterms:created>
  <dcterms:modified xsi:type="dcterms:W3CDTF">2026-07-16T14:07:47Z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