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s-02-catálogo-de-servicios-folleto"/>
    <w:p>
      <w:pPr>
        <w:pStyle w:val="Heading1"/>
      </w:pPr>
      <w:r>
        <w:t xml:space="preserve">CS-02 — Catálogo de servicios / Folleto</w:t>
      </w:r>
    </w:p>
    <w:p>
      <w:pPr>
        <w:pStyle w:val="FirstParagraph"/>
      </w:pPr>
      <w:r>
        <w:rPr>
          <w:b/>
          <w:bCs/>
        </w:rPr>
        <w:t xml:space="preserve">Propietario:</w:t>
      </w:r>
      <w:r>
        <w:t xml:space="preserve"> </w:t>
      </w:r>
      <w:r>
        <w:t xml:space="preserve">Profesional de proyectos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(copia de la propuesta completa y campos consolidados pendientes de publicación)</w:t>
      </w:r>
      <w:r>
        <w:t xml:space="preserve"> </w:t>
      </w:r>
      <w:r>
        <w:rPr>
          <w:b/>
          <w:bCs/>
        </w:rPr>
        <w:t xml:space="preserve">Referencia de códigos del SGC: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00_control/equivalencia_codigos_sgc.md</w:t>
      </w:r>
      <w:r>
        <w:t xml:space="preserve">. Las referencias de confidencialidad usan</w:t>
      </w:r>
      <w:r>
        <w:t xml:space="preserve"> </w:t>
      </w:r>
      <w:r>
        <w:rPr>
          <w:rStyle w:val="VerbatimChar"/>
        </w:rPr>
        <w:t xml:space="preserve">P-PSEA-19</w:t>
      </w:r>
      <w:r>
        <w:t xml:space="preserve"> </w:t>
      </w:r>
      <w:r>
        <w:t xml:space="preserve">(vigente = Confidencialidad operativa interna).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Brindar a un cliente potencial información suficiente para decidir si solicita una cotización, sin abrumarlo con detalles de procedimientos técnicos.</w:t>
      </w:r>
    </w:p>
    <w:bookmarkEnd w:id="9"/>
    <w:bookmarkStart w:id="10" w:name="formato"/>
    <w:p>
      <w:pPr>
        <w:pStyle w:val="Heading2"/>
      </w:pPr>
      <w:r>
        <w:t xml:space="preserve">Formato</w:t>
      </w:r>
    </w:p>
    <w:p>
      <w:pPr>
        <w:pStyle w:val="FirstParagraph"/>
      </w:pPr>
      <w:r>
        <w:t xml:space="preserve">Una página web concisa más un PDF de dos a cuatro páginas, ambos con el mismo texto aprobado.</w:t>
      </w:r>
    </w:p>
    <w:bookmarkEnd w:id="10"/>
    <w:bookmarkStart w:id="23" w:name="texto-de-la-propuesta"/>
    <w:p>
      <w:pPr>
        <w:pStyle w:val="Heading2"/>
      </w:pPr>
      <w:r>
        <w:t xml:space="preserve">Texto de la propuesta</w:t>
      </w:r>
    </w:p>
    <w:bookmarkStart w:id="11" w:name="qué-es-el-servicio"/>
    <w:p>
      <w:pPr>
        <w:pStyle w:val="Heading3"/>
      </w:pPr>
      <w:r>
        <w:t xml:space="preserve">1. Qué es el servicio</w:t>
      </w:r>
    </w:p>
    <w:p>
      <w:pPr>
        <w:pStyle w:val="FirstParagraph"/>
      </w:pPr>
      <w:r>
        <w:t xml:space="preserve">El servicio de Ensayos de Aptitud para Gases Contaminantes Criterio de</w:t>
      </w:r>
      <w:r>
        <w:t xml:space="preserve"> </w:t>
      </w:r>
      <w:r>
        <w:t xml:space="preserve">CALAIRE-EA permite comparar el desempeño de analizadores de organizaciones</w:t>
      </w:r>
      <w:r>
        <w:t xml:space="preserve"> </w:t>
      </w:r>
      <w:r>
        <w:t xml:space="preserve">participantes mediante bloques controlados para CO, SO₂, O₃ y NO/NO₂. La ronda</w:t>
      </w:r>
      <w:r>
        <w:t xml:space="preserve"> </w:t>
      </w:r>
      <w:r>
        <w:t xml:space="preserve">se ejecuta en las instalaciones de CALAIRE, Universidad Nacional de Colombia,</w:t>
      </w:r>
      <w:r>
        <w:t xml:space="preserve"> </w:t>
      </w:r>
      <w:r>
        <w:t xml:space="preserve">Sede Medellín, con el soporte de los procedimientos vigentes del sistema de</w:t>
      </w:r>
      <w:r>
        <w:t xml:space="preserve"> </w:t>
      </w:r>
      <w:r>
        <w:t xml:space="preserve">gestión aplicables a la planeación, ejecución, evaluación y emisión del informe.</w:t>
      </w:r>
    </w:p>
    <w:bookmarkEnd w:id="11"/>
    <w:bookmarkStart w:id="12" w:name="a-quién-está-dirigido"/>
    <w:p>
      <w:pPr>
        <w:pStyle w:val="Heading3"/>
      </w:pPr>
      <w:r>
        <w:t xml:space="preserve">2. A quién está dirigido</w:t>
      </w:r>
    </w:p>
    <w:p>
      <w:pPr>
        <w:pStyle w:val="FirstParagraph"/>
      </w:pPr>
      <w:r>
        <w:t xml:space="preserve">Está dirigido a laboratorios, redes de monitoreo, autoridades, instituciones</w:t>
      </w:r>
      <w:r>
        <w:t xml:space="preserve"> </w:t>
      </w:r>
      <w:r>
        <w:t xml:space="preserve">académicas y demás organizaciones que operan analizadores de gases criterio y</w:t>
      </w:r>
      <w:r>
        <w:t xml:space="preserve"> </w:t>
      </w:r>
      <w:r>
        <w:t xml:space="preserve">buscan evidencia independiente para su aseguramiento de calidad. La</w:t>
      </w:r>
      <w:r>
        <w:t xml:space="preserve"> </w:t>
      </w:r>
      <w:r>
        <w:t xml:space="preserve">participación es voluntaria dentro de esta propuesta; no se afirmará una</w:t>
      </w:r>
      <w:r>
        <w:t xml:space="preserve"> </w:t>
      </w:r>
      <w:r>
        <w:t xml:space="preserve">obligación legal sin concepto jurídico institucional que documente su alcance.</w:t>
      </w:r>
    </w:p>
    <w:bookmarkEnd w:id="12"/>
    <w:bookmarkStart w:id="13" w:name="valor-de-participar"/>
    <w:p>
      <w:pPr>
        <w:pStyle w:val="Heading3"/>
      </w:pPr>
      <w:r>
        <w:t xml:space="preserve">3. Valor de participar</w:t>
      </w:r>
    </w:p>
    <w:p>
      <w:pPr>
        <w:pStyle w:val="FirstParagraph"/>
      </w:pPr>
      <w:r>
        <w:t xml:space="preserve">La participación aporta una comparación documentada del desempeño del sistema</w:t>
      </w:r>
      <w:r>
        <w:t xml:space="preserve"> </w:t>
      </w:r>
      <w:r>
        <w:t xml:space="preserve">de medición, ayuda a identificar oportunidades de mejora y complementa los</w:t>
      </w:r>
      <w:r>
        <w:t xml:space="preserve"> </w:t>
      </w:r>
      <w:r>
        <w:t xml:space="preserve">controles internos de calidad. El resultado se interpreta para cada bloque y no</w:t>
      </w:r>
      <w:r>
        <w:t xml:space="preserve"> </w:t>
      </w:r>
      <w:r>
        <w:t xml:space="preserve">constituye por sí solo una certificación, acreditación ni declaración general de</w:t>
      </w:r>
      <w:r>
        <w:t xml:space="preserve"> </w:t>
      </w:r>
      <w:r>
        <w:t xml:space="preserve">competencia.</w:t>
      </w:r>
    </w:p>
    <w:bookmarkEnd w:id="13"/>
    <w:bookmarkStart w:id="14" w:name="bloques-seleccionables"/>
    <w:p>
      <w:pPr>
        <w:pStyle w:val="Heading3"/>
      </w:pPr>
      <w:r>
        <w:t xml:space="preserve">4. Bloques seleccionables</w:t>
      </w:r>
    </w:p>
    <w:p>
      <w:pPr>
        <w:pStyle w:val="Compact"/>
        <w:numPr>
          <w:ilvl w:val="0"/>
          <w:numId w:val="1001"/>
        </w:numPr>
      </w:pPr>
      <w:r>
        <w:t xml:space="preserve">CO</w:t>
      </w:r>
    </w:p>
    <w:p>
      <w:pPr>
        <w:pStyle w:val="Compact"/>
        <w:numPr>
          <w:ilvl w:val="0"/>
          <w:numId w:val="1001"/>
        </w:numPr>
      </w:pPr>
      <w:r>
        <w:t xml:space="preserve">SO₂</w:t>
      </w:r>
    </w:p>
    <w:p>
      <w:pPr>
        <w:pStyle w:val="Compact"/>
        <w:numPr>
          <w:ilvl w:val="0"/>
          <w:numId w:val="1001"/>
        </w:numPr>
      </w:pPr>
      <w:r>
        <w:t xml:space="preserve">O₃</w:t>
      </w:r>
    </w:p>
    <w:p>
      <w:pPr>
        <w:pStyle w:val="Compact"/>
        <w:numPr>
          <w:ilvl w:val="0"/>
          <w:numId w:val="1001"/>
        </w:numPr>
      </w:pPr>
      <w:r>
        <w:t xml:space="preserve">NO/NO₂, operado como un único bloque con analizador NOx</w:t>
      </w:r>
    </w:p>
    <w:p>
      <w:pPr>
        <w:pStyle w:val="FirstParagraph"/>
      </w:pPr>
      <w:r>
        <w:t xml:space="preserve">Cada organización puede proponer entre uno y cuatro bloques, con hasta un</w:t>
      </w:r>
      <w:r>
        <w:t xml:space="preserve"> </w:t>
      </w:r>
      <w:r>
        <w:t xml:space="preserve">analizador por bloque. Un analizador adicional en el mismo bloque solo puede</w:t>
      </w:r>
      <w:r>
        <w:t xml:space="preserve"> </w:t>
      </w:r>
      <w:r>
        <w:t xml:space="preserve">evaluarse si queda capacidad residual y no desplaza el primer cupo de otra</w:t>
      </w:r>
      <w:r>
        <w:t xml:space="preserve"> </w:t>
      </w:r>
      <w:r>
        <w:t xml:space="preserve">organización.</w:t>
      </w:r>
    </w:p>
    <w:bookmarkEnd w:id="14"/>
    <w:bookmarkStart w:id="15" w:name="modelo-de-participación"/>
    <w:p>
      <w:pPr>
        <w:pStyle w:val="Heading3"/>
      </w:pPr>
      <w:r>
        <w:t xml:space="preserve">5. Modelo de participación</w:t>
      </w:r>
    </w:p>
    <w:p>
      <w:pPr>
        <w:pStyle w:val="FirstParagraph"/>
      </w:pPr>
      <w:r>
        <w:t xml:space="preserve">La propuesta evalúa una tarifa plana por organización para seleccionar entre</w:t>
      </w:r>
      <w:r>
        <w:t xml:space="preserve"> </w:t>
      </w:r>
      <w:r>
        <w:t xml:space="preserve">uno y cuatro bloques. El valor de referencia es únicamente un benchmark para el</w:t>
      </w:r>
      <w:r>
        <w:t xml:space="preserve"> </w:t>
      </w:r>
      <w:r>
        <w:t xml:space="preserve">análisis de viabilidad: no es una tarifa aprobada, no puede publicarse ni usarse</w:t>
      </w:r>
      <w:r>
        <w:t xml:space="preserve"> </w:t>
      </w:r>
      <w:r>
        <w:t xml:space="preserve">en una cotización real antes de completar CS-04 y las revisiones institucionales.</w:t>
      </w:r>
    </w:p>
    <w:bookmarkEnd w:id="15"/>
    <w:bookmarkStart w:id="16" w:name="modalidad-en-instalaciones-de-calaire"/>
    <w:p>
      <w:pPr>
        <w:pStyle w:val="Heading3"/>
      </w:pPr>
      <w:r>
        <w:t xml:space="preserve">6. Modalidad en instalaciones de CALAIRE</w:t>
      </w:r>
    </w:p>
    <w:p>
      <w:pPr>
        <w:pStyle w:val="FirstParagraph"/>
      </w:pPr>
      <w:r>
        <w:t xml:space="preserve">El participante transporta su analizador a Medellín y lo entrega en las</w:t>
      </w:r>
      <w:r>
        <w:t xml:space="preserve"> </w:t>
      </w:r>
      <w:r>
        <w:t xml:space="preserve">condiciones y fechas que se informen después de la confirmación. CALAIRE prepara</w:t>
      </w:r>
      <w:r>
        <w:t xml:space="preserve"> </w:t>
      </w:r>
      <w:r>
        <w:t xml:space="preserve">el montaje y la generación, ejecuta la ronda con la capacidad aprobada y procesa</w:t>
      </w:r>
      <w:r>
        <w:t xml:space="preserve"> </w:t>
      </w:r>
      <w:r>
        <w:t xml:space="preserve">los datos conforme a sus procedimientos. La capacidad propuesta para el</w:t>
      </w:r>
      <w:r>
        <w:t xml:space="preserve"> </w:t>
      </w:r>
      <w:r>
        <w:t xml:space="preserve">lanzamiento es de hasta cuatro analizadores por bloque individual; la operación</w:t>
      </w:r>
      <w:r>
        <w:t xml:space="preserve"> </w:t>
      </w:r>
      <w:r>
        <w:t xml:space="preserve">simultánea CO/SO₂ se limita a tres organizaciones y seis analizadores totales,</w:t>
      </w:r>
      <w:r>
        <w:t xml:space="preserve"> </w:t>
      </w:r>
      <w:r>
        <w:t xml:space="preserve">sujeto a verificación técnica previa.</w:t>
      </w:r>
    </w:p>
    <w:bookmarkEnd w:id="16"/>
    <w:bookmarkStart w:id="17" w:name="alcance-incluido-y-excluido"/>
    <w:p>
      <w:pPr>
        <w:pStyle w:val="Heading3"/>
      </w:pPr>
      <w:r>
        <w:t xml:space="preserve">7. Alcance incluido y excluido</w:t>
      </w:r>
    </w:p>
    <w:p>
      <w:pPr>
        <w:pStyle w:val="FirstParagraph"/>
      </w:pPr>
      <w:r>
        <w:t xml:space="preserve">La tarifa que eventualmente se apruebe incluirá inscripción y revisión del</w:t>
      </w:r>
      <w:r>
        <w:t xml:space="preserve"> </w:t>
      </w:r>
      <w:r>
        <w:t xml:space="preserve">pedido, preparación y coordinación, uso de instalaciones y sistema de</w:t>
      </w:r>
      <w:r>
        <w:t xml:space="preserve"> </w:t>
      </w:r>
      <w:r>
        <w:t xml:space="preserve">generación, ejecución de los bloques contratados, administración y evaluación</w:t>
      </w:r>
      <w:r>
        <w:t xml:space="preserve"> </w:t>
      </w:r>
      <w:r>
        <w:t xml:space="preserve">de datos, informe técnico digital, constancia de participación y canales de</w:t>
      </w:r>
      <w:r>
        <w:t xml:space="preserve"> </w:t>
      </w:r>
      <w:r>
        <w:t xml:space="preserve">aclaraciones, quejas y apelaciones.</w:t>
      </w:r>
    </w:p>
    <w:p>
      <w:pPr>
        <w:pStyle w:val="BodyText"/>
      </w:pPr>
      <w:r>
        <w:t xml:space="preserve">El participante asume transporte y seguro de su equipo, riesgo de traslado,</w:t>
      </w:r>
      <w:r>
        <w:t xml:space="preserve"> </w:t>
      </w:r>
      <w:r>
        <w:t xml:space="preserve">calibración, mantenimiento o reparación, aduanas, visas, alojamiento,</w:t>
      </w:r>
      <w:r>
        <w:t xml:space="preserve"> </w:t>
      </w:r>
      <w:r>
        <w:t xml:space="preserve">alimentación e impuestos de importación o exportación que correspondan.</w:t>
      </w:r>
    </w:p>
    <w:bookmarkEnd w:id="17"/>
    <w:bookmarkStart w:id="18" w:name="flujo-previsto"/>
    <w:p>
      <w:pPr>
        <w:pStyle w:val="Heading3"/>
      </w:pPr>
      <w:r>
        <w:t xml:space="preserve">8. Flujo previsto</w:t>
      </w:r>
    </w:p>
    <w:p>
      <w:pPr>
        <w:pStyle w:val="FirstParagraph"/>
      </w:pPr>
      <w:r>
        <w:t xml:space="preserve">Expresión de interés → cotización controlada → registro y aceptación de términos</w:t>
      </w:r>
      <w:r>
        <w:t xml:space="preserve"> </w:t>
      </w:r>
      <w:r>
        <w:t xml:space="preserve">→ revisión de capacidad, equipo y pago/orden de compra → confirmación →</w:t>
      </w:r>
      <w:r>
        <w:t xml:space="preserve"> </w:t>
      </w:r>
      <w:r>
        <w:t xml:space="preserve">instrucciones técnicas → ejecución → informe final digital. No se contempla una</w:t>
      </w:r>
      <w:r>
        <w:t xml:space="preserve"> </w:t>
      </w:r>
      <w:r>
        <w:t xml:space="preserve">etapa de informe preliminar. Las fechas y el plazo del informe final se definirán</w:t>
      </w:r>
      <w:r>
        <w:t xml:space="preserve"> </w:t>
      </w:r>
      <w:r>
        <w:t xml:space="preserve">en el aviso de ronda aprobado.</w:t>
      </w:r>
    </w:p>
    <w:bookmarkEnd w:id="18"/>
    <w:bookmarkStart w:id="19" w:name="evaluación-del-desempeño"/>
    <w:p>
      <w:pPr>
        <w:pStyle w:val="Heading3"/>
      </w:pPr>
      <w:r>
        <w:t xml:space="preserve">9. Evaluación del desempeño</w:t>
      </w:r>
    </w:p>
    <w:p>
      <w:pPr>
        <w:pStyle w:val="Compact"/>
        <w:numPr>
          <w:ilvl w:val="0"/>
          <w:numId w:val="1002"/>
        </w:numPr>
      </w:pPr>
      <w:r>
        <w:t xml:space="preserve">Con menos de 12 resultados técnicamente válidos se usa el valor de referencia de CALAIRE-EA; con 12 o más se usa consenso robusto de participantes.</w:t>
      </w:r>
    </w:p>
    <w:p>
      <w:pPr>
        <w:pStyle w:val="Compact"/>
        <w:numPr>
          <w:ilvl w:val="0"/>
          <w:numId w:val="1002"/>
        </w:numPr>
      </w:pPr>
      <w:r>
        <w:t xml:space="preserve">Se emplean z o z′ y, cuando la información de incertidumbre es utilizable, ζ y En.</w:t>
      </w:r>
    </w:p>
    <w:p>
      <w:pPr>
        <w:pStyle w:val="Compact"/>
        <w:numPr>
          <w:ilvl w:val="0"/>
          <w:numId w:val="1002"/>
        </w:numPr>
      </w:pPr>
      <w:r>
        <w:t xml:space="preserve">No se asigna calificación agregada ni un aprobado/reprobado global.</w:t>
      </w:r>
    </w:p>
    <w:bookmarkEnd w:id="19"/>
    <w:bookmarkStart w:id="20" w:name="confidencialidad"/>
    <w:p>
      <w:pPr>
        <w:pStyle w:val="Heading3"/>
      </w:pPr>
      <w:r>
        <w:t xml:space="preserve">10. Confidencialidad</w:t>
      </w:r>
    </w:p>
    <w:p>
      <w:pPr>
        <w:pStyle w:val="FirstParagraph"/>
      </w:pPr>
      <w:r>
        <w:t xml:space="preserve">Cada participante se identifica mediante un código controlado. La relación entre</w:t>
      </w:r>
      <w:r>
        <w:t xml:space="preserve"> </w:t>
      </w:r>
      <w:r>
        <w:t xml:space="preserve">identidad y código se restringe al personal autorizado y se gestiona bajo los</w:t>
      </w:r>
      <w:r>
        <w:t xml:space="preserve"> </w:t>
      </w:r>
      <w:r>
        <w:t xml:space="preserve">controles de confidencialidad aplicables, incluido</w:t>
      </w:r>
      <w:r>
        <w:t xml:space="preserve"> </w:t>
      </w:r>
      <w:r>
        <w:rPr>
          <w:rStyle w:val="VerbatimChar"/>
        </w:rPr>
        <w:t xml:space="preserve">P-PSEA-19</w:t>
      </w:r>
      <w:r>
        <w:t xml:space="preserve">. Los informes y</w:t>
      </w:r>
      <w:r>
        <w:t xml:space="preserve"> </w:t>
      </w:r>
      <w:r>
        <w:t xml:space="preserve">comunicaciones no deben revelar la identidad o los resultados de otros</w:t>
      </w:r>
      <w:r>
        <w:t xml:space="preserve"> </w:t>
      </w:r>
      <w:r>
        <w:t xml:space="preserve">participantes salvo autorización o deber institucional documentado.</w:t>
      </w:r>
    </w:p>
    <w:bookmarkEnd w:id="20"/>
    <w:bookmarkStart w:id="21" w:name="estado-de-acreditación"/>
    <w:p>
      <w:pPr>
        <w:pStyle w:val="Heading3"/>
      </w:pPr>
      <w:r>
        <w:t xml:space="preserve">11. Estado de acreditación</w:t>
      </w:r>
    </w:p>
    <w:p>
      <w:pPr>
        <w:pStyle w:val="FirstParagraph"/>
      </w:pPr>
      <w:r>
        <w:t xml:space="preserve">Esta es una propuesta de servicio en etapa previa a acreditación. CALAIRE-EA no</w:t>
      </w:r>
      <w:r>
        <w:t xml:space="preserve"> </w:t>
      </w:r>
      <w:r>
        <w:t xml:space="preserve">afirma que el servicio o la ronda estén acreditados.</w:t>
      </w:r>
    </w:p>
    <w:bookmarkEnd w:id="21"/>
    <w:bookmarkStart w:id="22" w:name="expresión-de-interés"/>
    <w:p>
      <w:pPr>
        <w:pStyle w:val="Heading3"/>
      </w:pPr>
      <w:r>
        <w:t xml:space="preserve">12. Expresión de interés</w:t>
      </w:r>
    </w:p>
    <w:p>
      <w:pPr>
        <w:pStyle w:val="FirstParagraph"/>
      </w:pPr>
      <w:r>
        <w:t xml:space="preserve">Las organizaciones interesadas pueden escribir a</w:t>
      </w:r>
      <w:r>
        <w:t xml:space="preserve"> </w:t>
      </w:r>
      <w:r>
        <w:rPr>
          <w:rStyle w:val="VerbatimChar"/>
        </w:rPr>
        <w:t xml:space="preserve">calaire_med@unal.edu.co</w:t>
      </w:r>
      <w:r>
        <w:t xml:space="preserve">.</w:t>
      </w:r>
      <w:r>
        <w:t xml:space="preserve"> </w:t>
      </w:r>
      <w:r>
        <w:t xml:space="preserve">Manifestar interés no constituye inscripción, no reserva cupo y no obliga a</w:t>
      </w:r>
      <w:r>
        <w:t xml:space="preserve"> </w:t>
      </w:r>
      <w:r>
        <w:t xml:space="preserve">contratar. La cotización y el formulario definitivo se habilitarán únicamente</w:t>
      </w:r>
      <w:r>
        <w:t xml:space="preserve"> </w:t>
      </w:r>
      <w:r>
        <w:t xml:space="preserve">después de aprobar la viabilidad, el precio, las condiciones y la fecha.</w:t>
      </w:r>
    </w:p>
    <w:bookmarkEnd w:id="22"/>
    <w:bookmarkEnd w:id="23"/>
    <w:bookmarkStart w:id="24" w:name="única-sección-pendiente-para-publicación"/>
    <w:p>
      <w:pPr>
        <w:pStyle w:val="Heading2"/>
      </w:pPr>
      <w:r>
        <w:t xml:space="preserve">Única sección pendiente para publicación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 languages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revisión</w:t>
            </w:r>
          </w:p>
        </w:tc>
        <w:tc>
          <w:tcPr/>
          <w:p>
            <w:pPr>
              <w:pStyle w:val="Compact"/>
            </w:pPr>
            <w:r>
              <w:t xml:space="preserve">[POR DILIGENCIAR — normalmente 12 meses desde la publicación o tras cualquier cambio CS-01]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[POR DILIGENCIAR — incremento en cada cambio sustancial]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Efectivo desde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la última revisión</w:t>
            </w:r>
          </w:p>
        </w:tc>
        <w:tc>
          <w:tcPr/>
          <w:p>
            <w:pPr>
              <w:pStyle w:val="Compact"/>
            </w:pPr>
            <w:r>
              <w:t xml:space="preserve">[POR DILIGENCIAR — nombre]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de la versión web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Patrón del nombre de archivo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CS-02_catalogo_v[VERSIÓN]_[IDIOMA].pdf</w:t>
            </w:r>
          </w:p>
        </w:tc>
      </w:tr>
    </w:tbl>
    <w:bookmarkEnd w:id="24"/>
    <w:bookmarkStart w:id="25" w:name="controles-obligatorios-de-redacción"/>
    <w:p>
      <w:pPr>
        <w:pStyle w:val="Heading2"/>
      </w:pPr>
      <w:r>
        <w:t xml:space="preserve">Controles obligatorios de redacción</w:t>
      </w:r>
    </w:p>
    <w:p>
      <w:pPr>
        <w:pStyle w:val="Compact"/>
        <w:numPr>
          <w:ilvl w:val="0"/>
          <w:numId w:val="1003"/>
        </w:numPr>
      </w:pPr>
      <w:r>
        <w:t xml:space="preserve">Indica que se puede seleccionar uno o más de los cuatro bloques.</w:t>
      </w:r>
    </w:p>
    <w:p>
      <w:pPr>
        <w:pStyle w:val="Compact"/>
        <w:numPr>
          <w:ilvl w:val="0"/>
          <w:numId w:val="1004"/>
        </w:numPr>
      </w:pPr>
      <w:r>
        <w:t xml:space="preserve">Evita la calificación global de aprobado/reprobado.</w:t>
      </w:r>
    </w:p>
    <w:p>
      <w:pPr>
        <w:pStyle w:val="Compact"/>
        <w:numPr>
          <w:ilvl w:val="0"/>
          <w:numId w:val="1005"/>
        </w:numPr>
      </w:pPr>
      <w:r>
        <w:t xml:space="preserve">Avoids claiming accreditation.</w:t>
      </w:r>
    </w:p>
    <w:p>
      <w:pPr>
        <w:pStyle w:val="Compact"/>
        <w:numPr>
          <w:ilvl w:val="0"/>
          <w:numId w:val="1006"/>
        </w:numPr>
      </w:pPr>
      <w:r>
        <w:t xml:space="preserve">Presenta esto como una propuesta de viabilidad de servicio pago, no como un piloto gratuito lanzado.</w:t>
      </w:r>
    </w:p>
    <w:p>
      <w:pPr>
        <w:pStyle w:val="Compact"/>
        <w:numPr>
          <w:ilvl w:val="0"/>
          <w:numId w:val="1007"/>
        </w:numPr>
      </w:pPr>
      <w:r>
        <w:t xml:space="preserve">Avoids publishing concentration levels.</w:t>
      </w:r>
    </w:p>
    <w:p>
      <w:pPr>
        <w:pStyle w:val="Compact"/>
        <w:numPr>
          <w:ilvl w:val="0"/>
          <w:numId w:val="1008"/>
        </w:numPr>
      </w:pPr>
      <w:r>
        <w:t xml:space="preserve">Identifica los costos a cargo del participante por separado, incluido el riesgo de transporte y equipo.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2026-07-16T14:37:57Z</dcterms:created>
  <dcterms:modified xsi:type="dcterms:W3CDTF">2026-07-16T14:37:57Z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