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cs-03-programa-anual-y-aviso-de-ronda"/>
    <w:p>
      <w:pPr>
        <w:pStyle w:val="Heading1"/>
      </w:pPr>
      <w:r>
        <w:t xml:space="preserve">CS-03 — Programa Anual y Aviso de Ronda</w:t>
      </w:r>
    </w:p>
    <w:p>
      <w:pPr>
        <w:pStyle w:val="FirstParagraph"/>
      </w:pPr>
      <w:r>
        <w:rPr>
          <w:b/>
          <w:bCs/>
        </w:rPr>
        <w:t xml:space="preserve">Propietario:</w:t>
      </w:r>
      <w:r>
        <w:t xml:space="preserve"> </w:t>
      </w:r>
      <w:r>
        <w:t xml:space="preserve">Líder técnico</w:t>
      </w:r>
      <w:r>
        <w:t xml:space="preserve"> </w:t>
      </w:r>
      <w:r>
        <w:rPr>
          <w:b/>
          <w:bCs/>
        </w:rPr>
        <w:t xml:space="preserve">Última revisión:</w:t>
      </w:r>
      <w:r>
        <w:t xml:space="preserve"> </w:t>
      </w:r>
      <w:r>
        <w:t xml:space="preserve">2026-07-14 (alineado con la ruta del informe final directo y el bloque de publicación en la etapa de propuesta)</w:t>
      </w:r>
      <w:r>
        <w:t xml:space="preserve"> </w:t>
      </w:r>
      <w:r>
        <w:rPr>
          <w:b/>
          <w:bCs/>
        </w:rPr>
        <w:t xml:space="preserve">Referencia de códigos del SGC:</w:t>
      </w:r>
      <w:r>
        <w:t xml:space="preserve"> </w:t>
      </w:r>
      <w:r>
        <w:t xml:space="preserve">ver</w:t>
      </w:r>
      <w:r>
        <w:t xml:space="preserve"> </w:t>
      </w:r>
      <w:r>
        <w:rPr>
          <w:rStyle w:val="VerbatimChar"/>
        </w:rPr>
        <w:t xml:space="preserve">00_control/equivalencia_codigos_sgc.md</w:t>
      </w:r>
      <w:r>
        <w:t xml:space="preserve">.</w:t>
      </w:r>
    </w:p>
    <w:bookmarkStart w:id="9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Convertir el servicio genérico en una ronda programada y adquirible.</w:t>
      </w:r>
    </w:p>
    <w:bookmarkEnd w:id="9"/>
    <w:bookmarkStart w:id="10" w:name="control-de-versiones-del-aviso"/>
    <w:p>
      <w:pPr>
        <w:pStyle w:val="Heading2"/>
      </w:pPr>
      <w:r>
        <w:t xml:space="preserve">Control de versiones del aviso</w:t>
      </w:r>
    </w:p>
    <w:p>
      <w:pPr>
        <w:pStyle w:val="FirstParagraph"/>
      </w:pPr>
      <w:r>
        <w:t xml:space="preserve">Cada aviso emitido para una ronda lleva un número de versión. Cualquier cambio de fecha, capacidad, gases, tarifas o estado después de la primera publicación requiere una nueva versión (v1, v2,…) y una breve nota de cambio adjunta al anuncio público. La primera publicación es la v1.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Versión del aviso</w:t>
            </w:r>
          </w:p>
        </w:tc>
        <w:tc>
          <w:tcPr/>
          <w:p>
            <w:pPr>
              <w:pStyle w:val="Compact"/>
            </w:pPr>
            <w:r>
              <w:t xml:space="preserve">[POR DILIGENCIAR — v1, v2, …]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Sustituye la versión anterior</w:t>
            </w:r>
          </w:p>
        </w:tc>
        <w:tc>
          <w:tcPr/>
          <w:p>
            <w:pPr>
              <w:pStyle w:val="Compact"/>
            </w:pPr>
            <w:r>
              <w:t xml:space="preserve">[POR DILIGENCIAR — número de versión, «ninguna» si es la primera]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Nota de cambio (si no es v1)</w:t>
            </w:r>
          </w:p>
        </w:tc>
        <w:tc>
          <w:tcPr/>
          <w:p>
            <w:pPr>
              <w:pStyle w:val="Compact"/>
            </w:pPr>
            <w:r>
              <w:t xml:space="preserve">[POR DILIGENCIAR — resumen de una línea de lo que cambió]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publicación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Idiomas de publicación</w:t>
            </w:r>
          </w:p>
        </w:tc>
        <w:tc>
          <w:tcPr/>
          <w:p>
            <w:pPr>
              <w:pStyle w:val="Compact"/>
            </w:pPr>
            <w:r>
              <w:t xml:space="preserve">[POR DILIGENCIAR — los mismos que en CS-02]</w:t>
            </w:r>
          </w:p>
        </w:tc>
      </w:tr>
    </w:tbl>
    <w:bookmarkEnd w:id="10"/>
    <w:bookmarkStart w:id="11" w:name="campos-mínimos"/>
    <w:p>
      <w:pPr>
        <w:pStyle w:val="Heading2"/>
      </w:pPr>
      <w:r>
        <w:t xml:space="preserve">Campos mínimos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/ instrucción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 del programa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Identificación de la ronda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[POR DILIGENCIAR — p. ej., inscripciones abiertas / cerrada / aplazada]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Ubicación</w:t>
            </w:r>
          </w:p>
        </w:tc>
        <w:tc>
          <w:tcPr/>
          <w:p>
            <w:pPr>
              <w:pStyle w:val="Compact"/>
            </w:pPr>
            <w:r>
              <w:t xml:space="preserve">[POR DILIGENCIAR — dirección de las instalaciones]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Fechas de ejecución de la ronda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Bloques seleccionables ofrecidos</w:t>
            </w:r>
          </w:p>
        </w:tc>
        <w:tc>
          <w:tcPr/>
          <w:p>
            <w:pPr>
              <w:pStyle w:val="Compact"/>
            </w:pPr>
            <w:r>
              <w:t xml:space="preserve">[POR DILIGENCIAR — un subconjunto o los cuatro: CO, SO₂, O₃, NO/NO₂]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Capacidad de participantes/analizadores</w:t>
            </w:r>
          </w:p>
        </w:tc>
        <w:tc>
          <w:tcPr/>
          <w:p>
            <w:pPr>
              <w:pStyle w:val="Compact"/>
            </w:pPr>
            <w:r>
              <w:t xml:space="preserve">[POR DILIGENCIAR — por gas y por configuración]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Apertura de inscripciones</w:t>
            </w:r>
          </w:p>
        </w:tc>
        <w:tc>
          <w:tcPr/>
          <w:p>
            <w:pPr>
              <w:pStyle w:val="Compact"/>
            </w:pPr>
            <w:r>
              <w:t xml:space="preserve">[POR DILIGENCIAR — fecha]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límite de inscripción</w:t>
            </w:r>
          </w:p>
        </w:tc>
        <w:tc>
          <w:tcPr/>
          <w:p>
            <w:pPr>
              <w:pStyle w:val="Compact"/>
            </w:pPr>
            <w:r>
              <w:t xml:space="preserve">[POR DILIGENCIAR — fecha]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 de decisión sobre la inscripción mínima</w:t>
            </w:r>
          </w:p>
        </w:tc>
        <w:tc>
          <w:tcPr/>
          <w:p>
            <w:pPr>
              <w:pStyle w:val="Compact"/>
            </w:pPr>
            <w:r>
              <w:t xml:space="preserve">[POR DILIGENCIAR — fecha]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SLA del informe final (fecha objetivo)</w:t>
            </w:r>
          </w:p>
        </w:tc>
        <w:tc>
          <w:tcPr/>
          <w:p>
            <w:pPr>
              <w:pStyle w:val="Compact"/>
            </w:pPr>
            <w:r>
              <w:t xml:space="preserve">[POR DILIGENCIAR — derivado del calendario de rondas aprobado; sin fase de informe preliminar]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 de trabajo (interfaz comercial)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 de trabajo (ejecución de la ronda)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Enlace al precio del paquete</w:t>
            </w:r>
          </w:p>
        </w:tc>
        <w:tc>
          <w:tcPr/>
          <w:p>
            <w:pPr>
              <w:pStyle w:val="Compact"/>
            </w:pPr>
            <w:r>
              <w:t xml:space="preserve">[POR DILIGENCIAR — enlace a la lista de precios aprobada o instrucciones para solicitar una cotización]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Enlace de contacto e inscripción</w:t>
            </w:r>
          </w:p>
        </w:tc>
        <w:tc>
          <w:tcPr/>
          <w:p>
            <w:pPr>
              <w:pStyle w:val="Compact"/>
            </w:pPr>
            <w:r>
              <w:t xml:space="preserve">[POR DILIGENCIAR]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Declaración previa a la acreditación</w:t>
            </w:r>
          </w:p>
        </w:tc>
        <w:tc>
          <w:tcPr/>
          <w:p>
            <w:pPr>
              <w:pStyle w:val="Compact"/>
            </w:pPr>
            <w:r>
              <w:t xml:space="preserve">Esta propuesta de servicio se encuentra en etapa previa a acreditación; CALAIRE-EA no afirma que el servicio o la ronda estén acreditados.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Tenga en cuenta que los detalles técnicos siguen después de la confirmación</w:t>
            </w:r>
          </w:p>
        </w:tc>
        <w:tc>
          <w:tcPr/>
          <w:p>
            <w:pPr>
              <w:pStyle w:val="Compact"/>
            </w:pPr>
            <w:r>
              <w:t xml:space="preserve">Las instrucciones técnicas detalladas se entregarán únicamente a los participantes confirmados.</w:t>
            </w:r>
          </w:p>
        </w:tc>
      </w:tr>
    </w:tbl>
    <w:bookmarkEnd w:id="11"/>
    <w:bookmarkStart w:id="12" w:name="plantilla"/>
    <w:p>
      <w:pPr>
        <w:pStyle w:val="Heading2"/>
      </w:pPr>
      <w:r>
        <w:t xml:space="preserve">Plantilla</w:t>
      </w:r>
    </w:p>
    <w:p>
      <w:pPr>
        <w:pStyle w:val="SourceCode"/>
      </w:pPr>
      <w:r>
        <w:rPr>
          <w:rStyle w:val="VerbatimChar"/>
        </w:rPr>
        <w:t xml:space="preserve">CALAIRE-EA Ensayo de aptitud de gases — Ronda [ID] — [Año]</w:t>
      </w:r>
      <w:r>
        <w:br/>
      </w:r>
      <w:r>
        <w:br/>
      </w:r>
      <w:r>
        <w:rPr>
          <w:rStyle w:val="VerbatimChar"/>
        </w:rPr>
        <w:t xml:space="preserve">Ubicación: [INSTALACIONES], Medellín, Colombia</w:t>
      </w:r>
      <w:r>
        <w:br/>
      </w:r>
      <w:r>
        <w:rPr>
          <w:rStyle w:val="VerbatimChar"/>
        </w:rPr>
        <w:t xml:space="preserve">Fechas: [INICIO] a [FIN]</w:t>
      </w:r>
      <w:r>
        <w:br/>
      </w:r>
      <w:r>
        <w:rPr>
          <w:rStyle w:val="VerbatimChar"/>
        </w:rPr>
        <w:t xml:space="preserve">Gases ofrecidos: [LISTA]</w:t>
      </w:r>
      <w:r>
        <w:br/>
      </w:r>
      <w:r>
        <w:rPr>
          <w:rStyle w:val="VerbatimChar"/>
        </w:rPr>
        <w:t xml:space="preserve">Capacidad: [LÍMITES]</w:t>
      </w:r>
      <w:r>
        <w:br/>
      </w:r>
      <w:r>
        <w:rPr>
          <w:rStyle w:val="VerbatimChar"/>
        </w:rPr>
        <w:t xml:space="preserve">Inscripción: [APERTURA] a [FECHA LÍMITE]</w:t>
      </w:r>
      <w:r>
        <w:br/>
      </w:r>
      <w:r>
        <w:br/>
      </w:r>
      <w:r>
        <w:rPr>
          <w:rStyle w:val="VerbatimChar"/>
        </w:rPr>
        <w:t xml:space="preserve">[DECLARACIÓN DE PREACREDITACIÓN]</w:t>
      </w:r>
      <w:r>
        <w:br/>
      </w:r>
      <w:r>
        <w:br/>
      </w:r>
      <w:r>
        <w:rPr>
          <w:rStyle w:val="VerbatimChar"/>
        </w:rPr>
        <w:t xml:space="preserve">Las instrucciones técnicas detalladas se entregarán a los participantes confirmados.</w:t>
      </w:r>
      <w:r>
        <w:br/>
      </w:r>
      <w:r>
        <w:br/>
      </w:r>
      <w:r>
        <w:rPr>
          <w:rStyle w:val="VerbatimChar"/>
        </w:rPr>
        <w:t xml:space="preserve">Para precios e inscripción: [ENLACE o CORREO ELECTRÓNICO]</w:t>
      </w:r>
    </w:p>
    <w:bookmarkEnd w:id="12"/>
    <w:bookmarkStart w:id="13" w:name="controles"/>
    <w:p>
      <w:pPr>
        <w:pStyle w:val="Heading2"/>
      </w:pPr>
      <w:r>
        <w:t xml:space="preserve">Controles</w:t>
      </w:r>
    </w:p>
    <w:p>
      <w:pPr>
        <w:pStyle w:val="Compact"/>
        <w:numPr>
          <w:ilvl w:val="0"/>
          <w:numId w:val="1001"/>
        </w:numPr>
      </w:pPr>
      <w:r>
        <w:t xml:space="preserve">No duplica las instrucciones técnicas detalladas de PEA.</w:t>
      </w:r>
    </w:p>
    <w:p>
      <w:pPr>
        <w:pStyle w:val="Compact"/>
        <w:numPr>
          <w:ilvl w:val="0"/>
          <w:numId w:val="1001"/>
        </w:numPr>
      </w:pPr>
      <w:r>
        <w:t xml:space="preserve">Precios y capacidades coinciden con CS-01 y CS-04.</w:t>
      </w:r>
    </w:p>
    <w:p>
      <w:pPr>
        <w:pStyle w:val="Compact"/>
        <w:numPr>
          <w:ilvl w:val="0"/>
          <w:numId w:val="1001"/>
        </w:numPr>
      </w:pPr>
      <w:r>
        <w:t xml:space="preserve">Las fechas se alinean con los documentos de planificación de PEA existentes.</w:t>
      </w:r>
    </w:p>
    <w:p>
      <w:pPr>
        <w:pStyle w:val="Compact"/>
        <w:numPr>
          <w:ilvl w:val="0"/>
          <w:numId w:val="1001"/>
        </w:numPr>
      </w:pPr>
      <w:r>
        <w:t xml:space="preserve">El aviso sigue siendo una plantilla no publicada hasta que se cierren las las revisiones de costos, jurídica y de cilindros; todos los campos</w:t>
      </w:r>
      <w:r>
        <w:t xml:space="preserve"> </w:t>
      </w:r>
      <w:r>
        <w:rPr>
          <w:rStyle w:val="VerbatimChar"/>
        </w:rPr>
        <w:t xml:space="preserve">[POR DILIGENCIAR]</w:t>
      </w:r>
      <w:r>
        <w:t xml:space="preserve"> </w:t>
      </w:r>
      <w:r>
        <w:t xml:space="preserve">restantes pertenecen a la única sección pendiente de publicación de la ronda indicada anteriormente.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2026-07-16T14:37:57Z</dcterms:created>
  <dcterms:modified xsi:type="dcterms:W3CDTF">2026-07-16T14:37:57Z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