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s-05-formulario-de-expresión-de-interés"/>
    <w:p>
      <w:pPr>
        <w:pStyle w:val="Heading1"/>
      </w:pPr>
      <w:r>
        <w:t xml:space="preserve">CS-05 — Formulario de expresión de interés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(se agregaron la pregunta sobre el certificado de calibración, la caducidad de la respuesta, el idioma preferido y el texto de consentimiento para la protección de datos)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Verificar la demanda antes de comprometer fechas y costos.</w:t>
      </w:r>
    </w:p>
    <w:bookmarkEnd w:id="9"/>
    <w:bookmarkStart w:id="10" w:name="nota-importante"/>
    <w:p>
      <w:pPr>
        <w:pStyle w:val="Heading2"/>
      </w:pPr>
      <w:r>
        <w:t xml:space="preserve">Nota importante</w:t>
      </w:r>
    </w:p>
    <w:p>
      <w:pPr>
        <w:pStyle w:val="FirstParagraph"/>
      </w:pPr>
      <w:r>
        <w:t xml:space="preserve">Esto no es un registro y no crea ningún lugar reservado. El formulario debe decirlo explícitamente.</w:t>
      </w:r>
    </w:p>
    <w:bookmarkEnd w:id="10"/>
    <w:bookmarkStart w:id="11" w:name="metadatos-del-formulario"/>
    <w:p>
      <w:pPr>
        <w:pStyle w:val="Heading2"/>
      </w:pPr>
      <w:r>
        <w:t xml:space="preserve">Metadatos del formulario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Idiomas disponibles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Caducidad de la respuesta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 60 días desde el envío; respuestas obsoletas eliminadas de CS-10]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 CRM comercial, backend de formulario seguro]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la última revisión</w:t>
            </w:r>
          </w:p>
        </w:tc>
        <w:tc>
          <w:tcPr/>
          <w:p>
            <w:pPr>
              <w:pStyle w:val="Compact"/>
            </w:pPr>
            <w:r>
              <w:t xml:space="preserve">[POR DILIGENCIAR — nombre]</w:t>
            </w:r>
          </w:p>
        </w:tc>
      </w:tr>
    </w:tbl>
    <w:bookmarkEnd w:id="11"/>
    <w:bookmarkStart w:id="12" w:name="preguntas-mínimas"/>
    <w:p>
      <w:pPr>
        <w:pStyle w:val="Heading2"/>
      </w:pPr>
      <w:r>
        <w:t xml:space="preserve">Preguntas mínimas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Tipo de respuesta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Nombre de la organización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Identificar al cliente potencial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Nombre de contacto y correo electrónico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Seguimiento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País/ciudad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Logística y huso horario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Gases deseados</w:t>
            </w:r>
          </w:p>
        </w:tc>
        <w:tc>
          <w:tcPr/>
          <w:p>
            <w:pPr>
              <w:pStyle w:val="Compact"/>
            </w:pPr>
            <w:r>
              <w:t xml:space="preserve">Selección múltiple: CO, SO₂, NO, NO₂, O₃</w:t>
            </w:r>
          </w:p>
        </w:tc>
        <w:tc>
          <w:tcPr/>
          <w:p>
            <w:pPr>
              <w:pStyle w:val="Compact"/>
            </w:pPr>
            <w:r>
              <w:t xml:space="preserve">Validación del alcance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Número y tipo de analizadores (fabricante, modelo, año)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Planificación de capacidad y compatibilidad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Fecha de la última calibración del analizador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Filtro de compatibilidad: las calibraciones obsoletas pueden necesitar una recalibración antes de la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Certificado de calibración válido hasta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Filtro de compatibilidad: debe ser válido al inicio de la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¿Se traerán analizadores de CO y SO₂ separados?</w:t>
            </w:r>
          </w:p>
        </w:tc>
        <w:tc>
          <w:tcPr/>
          <w:p>
            <w:pPr>
              <w:pStyle w:val="Compact"/>
            </w:pPr>
            <w:r>
              <w:t xml:space="preserve">Sí / No / Desconocido</w:t>
            </w:r>
          </w:p>
        </w:tc>
        <w:tc>
          <w:tcPr/>
          <w:p>
            <w:pPr>
              <w:pStyle w:val="Compact"/>
            </w:pPr>
            <w:r>
              <w:t xml:space="preserve">Determina la viabilidad de configuración simultánea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¿Le resulta factible el funcionamiento simultáneo con CO/SO₂?</w:t>
            </w:r>
          </w:p>
        </w:tc>
        <w:tc>
          <w:tcPr/>
          <w:p>
            <w:pPr>
              <w:pStyle w:val="Compact"/>
            </w:pPr>
            <w:r>
              <w:t xml:space="preserve">Sí / No / Desconocido</w:t>
            </w:r>
          </w:p>
        </w:tc>
        <w:tc>
          <w:tcPr/>
          <w:p>
            <w:pPr>
              <w:pStyle w:val="Compact"/>
            </w:pPr>
            <w:r>
              <w:t xml:space="preserve">Determina el uso de la configuración de 3 participantes/6 analizadores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Periodo preferido</w:t>
            </w:r>
          </w:p>
        </w:tc>
        <w:tc>
          <w:tcPr/>
          <w:p>
            <w:pPr>
              <w:pStyle w:val="Compact"/>
            </w:pPr>
            <w:r>
              <w:t xml:space="preserve">Intervalo de fechas / trimestre</w:t>
            </w:r>
          </w:p>
        </w:tc>
        <w:tc>
          <w:tcPr/>
          <w:p>
            <w:pPr>
              <w:pStyle w:val="Compact"/>
            </w:pPr>
            <w:r>
              <w:t xml:space="preserve">Planificación del 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Método de adquisición y plazo de entrega aproximado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Estimación del ciclo de ventas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Capacidad para transportar equipos a Medellín</w:t>
            </w:r>
          </w:p>
        </w:tc>
        <w:tc>
          <w:tcPr/>
          <w:p>
            <w:pPr>
              <w:pStyle w:val="Compact"/>
            </w:pPr>
            <w:r>
              <w:t xml:space="preserve">Sí / No / Con asistencia</w:t>
            </w:r>
          </w:p>
        </w:tc>
        <w:tc>
          <w:tcPr/>
          <w:p>
            <w:pPr>
              <w:pStyle w:val="Compact"/>
            </w:pPr>
            <w:r>
              <w:t xml:space="preserve">Bandera de riesgo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Interés en participar bajo un modelo de tarifa plana por organización para uno a cuatro bloques; el valor todavía está en evaluación y no constituye oferta</w:t>
            </w:r>
          </w:p>
        </w:tc>
        <w:tc>
          <w:tcPr/>
          <w:p>
            <w:pPr>
              <w:pStyle w:val="Compact"/>
            </w:pPr>
            <w:r>
              <w:t xml:space="preserve">Sí / No / Depende del valor aprobado</w:t>
            </w:r>
          </w:p>
        </w:tc>
        <w:tc>
          <w:tcPr/>
          <w:p>
            <w:pPr>
              <w:pStyle w:val="Compact"/>
            </w:pPr>
            <w:r>
              <w:t xml:space="preserve">Validar aceptación de la arquitectura sin publicar un precio no 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¿Su proceso de compra admite cotización y facturación en COP?</w:t>
            </w:r>
          </w:p>
        </w:tc>
        <w:tc>
          <w:tcPr/>
          <w:p>
            <w:pPr>
              <w:pStyle w:val="Compact"/>
            </w:pPr>
            <w:r>
              <w:t xml:space="preserve">Sí / No / Requiere revisión</w:t>
            </w:r>
          </w:p>
        </w:tc>
        <w:tc>
          <w:tcPr/>
          <w:p>
            <w:pPr>
              <w:pStyle w:val="Compact"/>
            </w:pPr>
            <w:r>
              <w:t xml:space="preserve">Identificar barreras de compra; la moneda aprobada es únicamente COP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Idioma preferido para comunicaciones comerciales</w:t>
            </w:r>
          </w:p>
        </w:tc>
        <w:tc>
          <w:tcPr/>
          <w:p>
            <w:pPr>
              <w:pStyle w:val="Compact"/>
            </w:pPr>
            <w:r>
              <w:t xml:space="preserve">Selección única (español/inglés/otro)</w:t>
            </w:r>
          </w:p>
        </w:tc>
        <w:tc>
          <w:tcPr/>
          <w:p>
            <w:pPr>
              <w:pStyle w:val="Compact"/>
            </w:pPr>
            <w:r>
              <w:t xml:space="preserve">Soporte multilingüe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Autorización para seguimiento comercial (con texto de consentimiento explícito)</w:t>
            </w:r>
          </w:p>
        </w:tc>
        <w:tc>
          <w:tcPr/>
          <w:p>
            <w:pPr>
              <w:pStyle w:val="Compact"/>
            </w:pPr>
            <w:r>
              <w:t xml:space="preserve">Casilla de verificación (obligatoria)</w:t>
            </w:r>
          </w:p>
        </w:tc>
        <w:tc>
          <w:tcPr/>
          <w:p>
            <w:pPr>
              <w:pStyle w:val="Compact"/>
            </w:pPr>
            <w:r>
              <w:t xml:space="preserve">Cumplimiento de la protección de datos — ver texto abajo</w:t>
            </w:r>
          </w:p>
        </w:tc>
      </w:tr>
    </w:tbl>
    <w:bookmarkEnd w:id="12"/>
    <w:bookmarkStart w:id="13" w:name="X7c439e29b1de9b3f842dcb6a19362474c3035f7"/>
    <w:p>
      <w:pPr>
        <w:pStyle w:val="Heading2"/>
      </w:pPr>
      <w:r>
        <w:t xml:space="preserve">Texto de consentimiento (pregunta 17, debe ser visible y no verificado previamente)</w:t>
      </w:r>
    </w:p>
    <w:p>
      <w:pPr>
        <w:pStyle w:val="BlockText"/>
      </w:pPr>
      <w:r>
        <w:t xml:space="preserve">“Autorizo a CALAIRE-EA a contactarme en relación con esta expresión de interés y a almacenar la información suministrada con el fin de evaluar la viabilidad del servicio y, si corresponde, preparar una cotización. Entiendo que puedo revocar esta autorización en cualquier momento escribiendo a</w:t>
      </w:r>
      <w:r>
        <w:t xml:space="preserve"> </w:t>
      </w:r>
      <w:r>
        <w:rPr>
          <w:rStyle w:val="VerbatimChar"/>
        </w:rPr>
        <w:t xml:space="preserve">calaire_med@unal.edu.co</w:t>
      </w:r>
      <w:r>
        <w:t xml:space="preserve"> </w:t>
      </w:r>
      <w:r>
        <w:t xml:space="preserve">y que mis datos serán tratados conforme a la política institucional aplicable y a la normativa colombiana de protección de datos.”</w:t>
      </w:r>
    </w:p>
    <w:p>
      <w:pPr>
        <w:pStyle w:val="FirstParagraph"/>
      </w:pPr>
      <w:r>
        <w:t xml:space="preserve">La URL completa de la política de privacidad o la referencia en PDF deben estar vinculadas junto a la casilla de verificación.</w:t>
      </w:r>
    </w:p>
    <w:bookmarkEnd w:id="13"/>
    <w:bookmarkStart w:id="14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01"/>
        </w:numPr>
      </w:pPr>
      <w:r>
        <w:t xml:space="preserve">El formulario indica explícitamente:</w:t>
      </w:r>
      <w:r>
        <w:t xml:space="preserve"> </w:t>
      </w:r>
      <w:r>
        <w:t xml:space="preserve">“La presentación de esta expresión de interés no reserva un lugar en la ronda”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tratamiento de datos hace referencia a los controles de confidencialidad existentes (</w:t>
      </w:r>
      <w:r>
        <w:rPr>
          <w:rStyle w:val="VerbatimChar"/>
        </w:rPr>
        <w:t xml:space="preserve">P-PSEA-19</w:t>
      </w:r>
      <w:r>
        <w:t xml:space="preserve">, código vigente tras la renumeración del 2026-06-14; 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Las respuestas alimentan el rastreador CS-10 como etapa</w:t>
      </w:r>
      <w:r>
        <w:t xml:space="preserve"> </w:t>
      </w:r>
      <w:r>
        <w:t xml:space="preserve">“Interés”</w:t>
      </w:r>
      <w:r>
        <w:t xml:space="preserve"> </w:t>
      </w:r>
      <w:r>
        <w:t xml:space="preserve">del canal de oportunidades.</w:t>
      </w:r>
    </w:p>
    <w:p>
      <w:pPr>
        <w:pStyle w:val="Compact"/>
        <w:numPr>
          <w:ilvl w:val="0"/>
          <w:numId w:val="1001"/>
        </w:numPr>
      </w:pPr>
      <w:r>
        <w:t xml:space="preserve">Las respuestas anteriores al umbral de caducidad de respuesta se marcan como</w:t>
      </w:r>
      <w:r>
        <w:t xml:space="preserve"> </w:t>
      </w:r>
      <w:r>
        <w:t xml:space="preserve">“obsoletas”</w:t>
      </w:r>
      <w:r>
        <w:t xml:space="preserve"> </w:t>
      </w:r>
      <w:r>
        <w:t xml:space="preserve">en CS-10 y se excluyen de las vistas de canalización activa.</w:t>
      </w:r>
    </w:p>
    <w:p>
      <w:pPr>
        <w:pStyle w:val="Compact"/>
        <w:numPr>
          <w:ilvl w:val="0"/>
          <w:numId w:val="1001"/>
        </w:numPr>
      </w:pPr>
      <w:r>
        <w:t xml:space="preserve">Las preguntas 6 y 7 (fechas de calibración) alimentan la verificación de compatibilidad del equipo CS-09.</w:t>
      </w:r>
    </w:p>
    <w:p>
      <w:pPr>
        <w:pStyle w:val="Compact"/>
        <w:numPr>
          <w:ilvl w:val="0"/>
          <w:numId w:val="1001"/>
        </w:numPr>
      </w:pPr>
      <w:r>
        <w:t xml:space="preserve">La pregunta 15 (idioma preferido) alimenta la selección de idiomas de CS-06 y CS-08.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2026-07-16T14:37:58Z</dcterms:created>
  <dcterms:modified xsi:type="dcterms:W3CDTF">2026-07-16T14:37:58Z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