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ad30f70974d4750f7b386f33c30aea03e066841"/>
    <w:p>
      <w:pPr>
        <w:pStyle w:val="Heading1"/>
      </w:pPr>
      <w:r>
        <w:t xml:space="preserve">CS-04 — Modelo de precios y lista de precios aprobada</w:t>
      </w:r>
    </w:p>
    <w:p>
      <w:pPr>
        <w:pStyle w:val="FirstParagraph"/>
      </w:pPr>
      <w:r>
        <w:rPr>
          <w:b/>
          <w:bCs/>
        </w:rPr>
        <w:t xml:space="preserve">Propietario:</w:t>
      </w:r>
      <w:r>
        <w:t xml:space="preserve"> </w:t>
      </w:r>
      <w:r>
        <w:t xml:space="preserve">Profesional de proyectos</w:t>
      </w:r>
      <w:r>
        <w:t xml:space="preserve"> </w:t>
      </w:r>
      <w:r>
        <w:rPr>
          <w:b/>
          <w:bCs/>
        </w:rPr>
        <w:t xml:space="preserve">Última revisión:</w:t>
      </w:r>
      <w:r>
        <w:t xml:space="preserve"> </w:t>
      </w:r>
      <w:r>
        <w:t xml:space="preserve">2026-07-14 (supuestos laborales provisionales aprobados registrados e insumos de viabilidad faltantes consolidados)</w:t>
      </w:r>
      <w:r>
        <w:t xml:space="preserve"> </w:t>
      </w:r>
      <w:r>
        <w:rPr>
          <w:b/>
          <w:bCs/>
        </w:rPr>
        <w:t xml:space="preserve">Referencia de códigos del SGC: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00_control/equivalencia_codigos_sgc.md</w:t>
      </w:r>
      <w:r>
        <w:t xml:space="preserve">. Los códigos PSEA / F-PSEA referenciados en este modelo apuntan a los significados vigentes tras la renumeración del 2026-06-14.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Validar la tarifa plana provisional, calcular los costos reales y la viabilidad, y</w:t>
      </w:r>
      <w:r>
        <w:t xml:space="preserve"> </w:t>
      </w:r>
      <w:r>
        <w:t xml:space="preserve">respaldar una futura revisión de precios sin asumir una facturación basada en el gas o el analizador.</w:t>
      </w:r>
    </w:p>
    <w:bookmarkEnd w:id="9"/>
    <w:bookmarkStart w:id="10" w:name="arquitectura-de-precios"/>
    <w:p>
      <w:pPr>
        <w:pStyle w:val="Heading2"/>
      </w:pPr>
      <w:r>
        <w:t xml:space="preserve">Arquitectura de precios</w:t>
      </w:r>
    </w:p>
    <w:p>
      <w:pPr>
        <w:pStyle w:val="SourceCode"/>
      </w:pPr>
      <w:r>
        <w:rPr>
          <w:rStyle w:val="VerbatimChar"/>
        </w:rPr>
        <w:t xml:space="preserve">Precio del participante = tarifa fija por ronda y organización participante</w:t>
      </w:r>
      <w:r>
        <w:br/>
      </w:r>
      <w:r>
        <w:rPr>
          <w:rStyle w:val="VerbatimChar"/>
        </w:rPr>
        <w:t xml:space="preserve">                          para uno a cuatro bloques seleccionados</w:t>
      </w:r>
    </w:p>
    <w:p>
      <w:pPr>
        <w:pStyle w:val="FirstParagraph"/>
      </w:pPr>
      <w:r>
        <w:t xml:space="preserve">La propuesta utiliza</w:t>
      </w:r>
      <w:r>
        <w:t xml:space="preserve"> </w:t>
      </w:r>
      <w:r>
        <w:rPr>
          <w:b/>
          <w:bCs/>
        </w:rPr>
        <w:t xml:space="preserve">COP 5.928.000 sin impuestos por organización participante</w:t>
      </w:r>
      <w:r>
        <w:t xml:space="preserve">, ya sea que seleccione de uno a cuatro bloques: CO, SO₂, O₃ y NO/NO₂.</w:t>
      </w:r>
      <w:r>
        <w:t xml:space="preserve"> </w:t>
      </w:r>
      <w:r>
        <w:t xml:space="preserve">El importe es una conversión indicativa de 1.600 EUR, no un precio aprobado y</w:t>
      </w:r>
      <w:r>
        <w:t xml:space="preserve"> </w:t>
      </w:r>
      <w:r>
        <w:t xml:space="preserve">no sustituye el modelo de costos. Incluye hasta un analizador por bloque;</w:t>
      </w:r>
      <w:r>
        <w:t xml:space="preserve"> </w:t>
      </w:r>
      <w:r>
        <w:t xml:space="preserve">puede aceptarse un analizador adicional sin recargo solo cuando exista</w:t>
      </w:r>
      <w:r>
        <w:t xml:space="preserve"> </w:t>
      </w:r>
      <w:r>
        <w:t xml:space="preserve">capacidad residual.</w:t>
      </w:r>
    </w:p>
    <w:bookmarkEnd w:id="10"/>
    <w:bookmarkStart w:id="22" w:name="pestañas-del-libro-de-cálculo"/>
    <w:p>
      <w:pPr>
        <w:pStyle w:val="Heading2"/>
      </w:pPr>
      <w:r>
        <w:t xml:space="preserve">Pestañas del libro de cálculo</w:t>
      </w:r>
    </w:p>
    <w:p>
      <w:pPr>
        <w:pStyle w:val="FirstParagraph"/>
      </w:pPr>
      <w:r>
        <w:t xml:space="preserve">El modelo de costos se implementa en el libro</w:t>
      </w:r>
      <w:r>
        <w:t xml:space="preserve"> </w:t>
      </w:r>
      <w:r>
        <w:rPr>
          <w:rStyle w:val="VerbatimChar"/>
        </w:rPr>
        <w:t xml:space="preserve">CS-04_modelo_costos_precios.xlsx</w:t>
      </w:r>
      <w:r>
        <w:t xml:space="preserve"> </w:t>
      </w:r>
      <w:r>
        <w:t xml:space="preserve">(esta misma carpeta), generado sobre la plantilla</w:t>
      </w:r>
      <w:r>
        <w:t xml:space="preserve"> </w:t>
      </w:r>
      <w:r>
        <w:rPr>
          <w:rStyle w:val="VerbatimChar"/>
        </w:rPr>
        <w:t xml:space="preserve">F-PSEA-01 Plantilla Formato_Excel.xlsx</w:t>
      </w:r>
      <w:r>
        <w:t xml:space="preserve"> </w:t>
      </w:r>
      <w:r>
        <w:t xml:space="preserve">mediante</w:t>
      </w:r>
      <w:r>
        <w:t xml:space="preserve"> </w:t>
      </w:r>
      <w:r>
        <w:rPr>
          <w:rStyle w:val="VerbatimChar"/>
        </w:rPr>
        <w:t xml:space="preserve">scripts/build_cs04_modelo.py</w:t>
      </w:r>
      <w:r>
        <w:t xml:space="preserve">. Este documento define el contenido requerido para cada pestaña.</w:t>
      </w:r>
    </w:p>
    <w:bookmarkStart w:id="11" w:name="pestaña-1-supuestos"/>
    <w:p>
      <w:pPr>
        <w:pStyle w:val="Heading3"/>
      </w:pPr>
      <w:r>
        <w:t xml:space="preserve">Pestaña 1 — Supuestos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Asunción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Fuente/responsable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cambio de referencia</w:t>
            </w:r>
          </w:p>
        </w:tc>
        <w:tc>
          <w:tcPr/>
          <w:p>
            <w:pPr>
              <w:pStyle w:val="Compact"/>
            </w:pPr>
            <w:r>
              <w:t xml:space="preserve">TRM USD/COP × referencia BCE USD/EUR, solo para convertir valores de referencia</w:t>
            </w:r>
          </w:p>
        </w:tc>
        <w:tc>
          <w:tcPr/>
          <w:p>
            <w:pPr>
              <w:pStyle w:val="Compact"/>
            </w:pPr>
            <w:r>
              <w:t xml:space="preserve">CS-01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Frecuencia de actualización del tipo de cambio</w:t>
            </w:r>
          </w:p>
        </w:tc>
        <w:tc>
          <w:tcPr/>
          <w:p>
            <w:pPr>
              <w:pStyle w:val="Compact"/>
            </w:pPr>
            <w:r>
              <w:t xml:space="preserve">En la fecha de revisión de la referencia comparativa</w:t>
            </w:r>
          </w:p>
        </w:tc>
        <w:tc>
          <w:tcPr/>
          <w:p>
            <w:pPr>
              <w:pStyle w:val="Compact"/>
            </w:pPr>
            <w:r>
              <w:t xml:space="preserve">CS-01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Asignación del riesgo cambiario</w:t>
            </w:r>
          </w:p>
        </w:tc>
        <w:tc>
          <w:tcPr/>
          <w:p>
            <w:pPr>
              <w:pStyle w:val="Compact"/>
            </w:pPr>
            <w:r>
              <w:t xml:space="preserve">No aplica a clientes: cotización y facturación únicamente en COP</w:t>
            </w:r>
          </w:p>
        </w:tc>
        <w:tc>
          <w:tcPr/>
          <w:p>
            <w:pPr>
              <w:pStyle w:val="Compact"/>
            </w:pPr>
            <w:r>
              <w:t xml:space="preserve">CS-01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 por gas (individual)</w:t>
            </w:r>
          </w:p>
        </w:tc>
        <w:tc>
          <w:tcPr/>
          <w:p>
            <w:pPr>
              <w:pStyle w:val="Compact"/>
            </w:pPr>
            <w:r>
              <w:t xml:space="preserve">4 analizadores</w:t>
            </w:r>
          </w:p>
        </w:tc>
        <w:tc>
          <w:tcPr/>
          <w:p>
            <w:pPr>
              <w:pStyle w:val="Compact"/>
            </w:pPr>
            <w:r>
              <w:t xml:space="preserve">CS-01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 simultánea de CO/SO₂</w:t>
            </w:r>
          </w:p>
        </w:tc>
        <w:tc>
          <w:tcPr/>
          <w:p>
            <w:pPr>
              <w:pStyle w:val="Compact"/>
            </w:pPr>
            <w:r>
              <w:t xml:space="preserve">3 participantes, 6 analizadores</w:t>
            </w:r>
          </w:p>
        </w:tc>
        <w:tc>
          <w:tcPr/>
          <w:p>
            <w:pPr>
              <w:pStyle w:val="Compact"/>
            </w:pPr>
            <w:r>
              <w:t xml:space="preserve">CS-01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Inscripción prevista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Estimación de mercado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Impuestos (IVA, retenciones, etc.)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Asesor tributario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Diferencial tributario para clientes internacionales</w:t>
            </w:r>
          </w:p>
        </w:tc>
        <w:tc>
          <w:tcPr/>
          <w:p>
            <w:pPr>
              <w:pStyle w:val="Compact"/>
            </w:pPr>
            <w:r>
              <w:t xml:space="preserve">[POR DILIGENCIAR — exención de IVA, retención, aplicación de tratados]</w:t>
            </w:r>
          </w:p>
        </w:tc>
        <w:tc>
          <w:tcPr/>
          <w:p>
            <w:pPr>
              <w:pStyle w:val="Compact"/>
            </w:pPr>
            <w:r>
              <w:t xml:space="preserve">Asesor tributario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 / objetivo previsto</w:t>
            </w:r>
          </w:p>
        </w:tc>
        <w:tc>
          <w:tcPr/>
          <w:p>
            <w:pPr>
              <w:pStyle w:val="Compact"/>
            </w:pPr>
            <w:r>
              <w:t xml:space="preserve">Lanzamiento y validación; sin margen ni subsidio comprometidos; no cotizar bajo el costo directo</w:t>
            </w:r>
          </w:p>
        </w:tc>
        <w:tc>
          <w:tcPr/>
          <w:p>
            <w:pPr>
              <w:pStyle w:val="Compact"/>
            </w:pPr>
            <w:r>
              <w:t xml:space="preserve">CS-01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 de uso por ronda para la asignación del ciclo de vida</w:t>
            </w:r>
          </w:p>
        </w:tc>
        <w:tc>
          <w:tcPr/>
          <w:p>
            <w:pPr>
              <w:pStyle w:val="Compact"/>
            </w:pPr>
            <w:r>
              <w:t xml:space="preserve">[POR DILIGENCIAR — fracción entre 0 y 1]</w:t>
            </w:r>
          </w:p>
        </w:tc>
        <w:tc>
          <w:tcPr/>
          <w:p>
            <w:pPr>
              <w:pStyle w:val="Compact"/>
            </w:pPr>
            <w:r>
              <w:t xml:space="preserve">Responsable técnico (basado en historial de uso)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Momento de cobro del pago (predeterminado)</w:t>
            </w:r>
          </w:p>
        </w:tc>
        <w:tc>
          <w:tcPr/>
          <w:p>
            <w:pPr>
              <w:pStyle w:val="Compact"/>
            </w:pPr>
            <w:r>
              <w:t xml:space="preserve">[POR DILIGENCIAR — por ejemplo, 100 % anticipado / 50 % con la orden + 50 % antes de la ronda / orden de compra a 30 días]</w:t>
            </w:r>
          </w:p>
        </w:tc>
        <w:tc>
          <w:tcPr/>
          <w:p>
            <w:pPr>
              <w:pStyle w:val="Compact"/>
            </w:pPr>
            <w:r>
              <w:t xml:space="preserve">Política financiera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Calendario de cobro de pagos (institucional)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Política financiera</w:t>
            </w:r>
          </w:p>
        </w:tc>
      </w:tr>
    </w:tbl>
    <w:bookmarkEnd w:id="11"/>
    <w:bookmarkStart w:id="12" w:name="Xe3d46bcee6290c44558c09e6f29e6476a552bd5"/>
    <w:p>
      <w:pPr>
        <w:pStyle w:val="Heading3"/>
      </w:pPr>
      <w:r>
        <w:t xml:space="preserve">Supuestos laborales provisionales – tarifas no aprobadas</w:t>
      </w:r>
    </w:p>
    <w:p>
      <w:pPr>
        <w:pStyle w:val="FirstParagraph"/>
      </w:pPr>
      <w:r>
        <w:t xml:space="preserve">Estas cantidades se pueden utilizar únicamente para la planificación. El costeo monetario permanece</w:t>
      </w:r>
      <w:r>
        <w:t xml:space="preserve"> </w:t>
      </w:r>
      <w:r>
        <w:t xml:space="preserve">bloqueado hasta que el Profesional de proyectos defina la tarifa horaria y el tratamiento de las</w:t>
      </w:r>
      <w:r>
        <w:t xml:space="preserve"> </w:t>
      </w:r>
      <w:r>
        <w:t xml:space="preserve">cargas laborales de cada rol. Una cantidad solo se reemplaza con evidencia operativa fechada.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Rol/recurso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Cantidad provisional por ronda</w:t>
            </w:r>
          </w:p>
        </w:tc>
        <w:tc>
          <w:tcPr/>
          <w:p>
            <w:pPr>
              <w:pStyle w:val="Compact"/>
            </w:pPr>
            <w:r>
              <w:t xml:space="preserve">Estado de costeo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Operación técnica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72h</w:t>
            </w:r>
          </w:p>
        </w:tc>
        <w:tc>
          <w:tcPr/>
          <w:p>
            <w:pPr>
              <w:pStyle w:val="Compact"/>
            </w:pPr>
            <w:r>
              <w:t xml:space="preserve">Horas aprobadas como supuesto de planificación; tasa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68h</w:t>
            </w:r>
          </w:p>
        </w:tc>
        <w:tc>
          <w:tcPr/>
          <w:p>
            <w:pPr>
              <w:pStyle w:val="Compact"/>
            </w:pPr>
            <w:r>
              <w:t xml:space="preserve">36 h de operación + 12 h de planificación/cierre + 12 h de cálculos + 8 h de informe final; tasa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Hasta 4 h por actividad efectiva/semana activa</w:t>
            </w:r>
          </w:p>
        </w:tc>
        <w:tc>
          <w:tcPr/>
          <w:p>
            <w:pPr>
              <w:pStyle w:val="Compact"/>
            </w:pPr>
            <w:r>
              <w:t xml:space="preserve">No multiplique por el calendario completo; registro de actividad y tasa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Hasta 4 h por actividad efectiva/semana activa</w:t>
            </w:r>
          </w:p>
        </w:tc>
        <w:tc>
          <w:tcPr/>
          <w:p>
            <w:pPr>
              <w:pStyle w:val="Compact"/>
            </w:pPr>
            <w:r>
              <w:t xml:space="preserve">No multiplique por el calendario completo; registro de actividad y tasa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del aire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Hasta 4 h por actividad efectiva/semana activa</w:t>
            </w:r>
          </w:p>
        </w:tc>
        <w:tc>
          <w:tcPr/>
          <w:p>
            <w:pPr>
              <w:pStyle w:val="Compact"/>
            </w:pPr>
            <w:r>
              <w:t xml:space="preserve">No multiplique por el calendario completo; registro de actividad y tasa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Gestión de Calidad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Hasta 4 h por actividad efectiva/semana activa</w:t>
            </w:r>
          </w:p>
        </w:tc>
        <w:tc>
          <w:tcPr/>
          <w:p>
            <w:pPr>
              <w:pStyle w:val="Compact"/>
            </w:pPr>
            <w:r>
              <w:t xml:space="preserve">No multiplique por el calendario completo; registro de actividad y tasa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Instalaciones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Aporte institucional, sin cuantificar</w:t>
            </w:r>
          </w:p>
        </w:tc>
        <w:tc>
          <w:tcPr/>
          <w:p>
            <w:pPr>
              <w:pStyle w:val="Compact"/>
            </w:pPr>
            <w:r>
              <w:t xml:space="preserve">No inventar alquileres ni servicios públicos; la Directora del grupo puede revisar el tratamiento</w:t>
            </w:r>
          </w:p>
        </w:tc>
      </w:tr>
    </w:tbl>
    <w:bookmarkEnd w:id="12"/>
    <w:bookmarkStart w:id="13" w:name="pestaña-2-costo-común"/>
    <w:p>
      <w:pPr>
        <w:pStyle w:val="Heading3"/>
      </w:pPr>
      <w:r>
        <w:t xml:space="preserve">Pestaña 2 — Costo común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 de costo</w:t>
            </w:r>
          </w:p>
        </w:tc>
        <w:tc>
          <w:tcPr/>
          <w:p>
            <w:pPr>
              <w:pStyle w:val="Compact"/>
            </w:pPr>
            <w:r>
              <w:t xml:space="preserve">Importe anual</w:t>
            </w:r>
          </w:p>
        </w:tc>
        <w:tc>
          <w:tcPr/>
          <w:p>
            <w:pPr>
              <w:pStyle w:val="Compact"/>
            </w:pPr>
            <w:r>
              <w:t xml:space="preserve">Asignación por ronda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Coordinación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Preparación de instalaciones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Registro y administración de datos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Entrega de informes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Equipo compartido (calibrador, generador de aire cero)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Desde la pestaña 4</w:t>
            </w:r>
          </w:p>
        </w:tc>
      </w:tr>
    </w:tbl>
    <w:bookmarkEnd w:id="13"/>
    <w:bookmarkStart w:id="14" w:name="pestaña-3-costo-por-gas"/>
    <w:p>
      <w:pPr>
        <w:pStyle w:val="Heading3"/>
      </w:pPr>
      <w:r>
        <w:t xml:space="preserve">Pestaña 3 — Costo por gas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Bloque</w:t>
            </w:r>
          </w:p>
        </w:tc>
        <w:tc>
          <w:tcPr/>
          <w:p>
            <w:pPr>
              <w:pStyle w:val="Compact"/>
            </w:pPr>
            <w:r>
              <w:t xml:space="preserve">Costo del cilindro / generación</w:t>
            </w:r>
          </w:p>
        </w:tc>
        <w:tc>
          <w:tcPr/>
          <w:p>
            <w:pPr>
              <w:pStyle w:val="Compact"/>
            </w:pPr>
            <w:r>
              <w:t xml:space="preserve">Ciclo de vida específico del analizador</w:t>
            </w:r>
          </w:p>
        </w:tc>
        <w:tc>
          <w:tcPr/>
          <w:p>
            <w:pPr>
              <w:pStyle w:val="Compact"/>
            </w:pPr>
            <w:r>
              <w:t xml:space="preserve">Asignación de costos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SO₂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NO/NO₂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Un solo bloque NOx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O₃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pestaña-4-ciclo-de-vida-de-los-equipos"/>
    <w:p>
      <w:pPr>
        <w:pStyle w:val="Heading3"/>
      </w:pPr>
      <w:r>
        <w:t xml:space="preserve">Pestaña 4 — Ciclo de vida de los equipos</w:t>
      </w:r>
    </w:p>
    <w:p>
      <w:pPr>
        <w:pStyle w:val="FirstParagraph"/>
      </w:pPr>
      <w:r>
        <w:t xml:space="preserve">Provisión anual para todos los equipos CALAIRE identificados: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Mantenimiento planificado</w:t>
            </w:r>
          </w:p>
        </w:tc>
        <w:tc>
          <w:tcPr/>
          <w:p>
            <w:pPr>
              <w:pStyle w:val="Compact"/>
            </w:pPr>
            <w:r>
              <w:t xml:space="preserve">Consumibles</w:t>
            </w:r>
          </w:p>
        </w:tc>
        <w:tc>
          <w:tcPr/>
          <w:p>
            <w:pPr>
              <w:pStyle w:val="Compact"/>
            </w:pPr>
            <w:r>
              <w:t xml:space="preserve">Calibración / servicio</w:t>
            </w:r>
          </w:p>
        </w:tc>
        <w:tc>
          <w:tcPr/>
          <w:p>
            <w:pPr>
              <w:pStyle w:val="Compact"/>
            </w:pPr>
            <w:r>
              <w:t xml:space="preserve">Provisión de reparación correctiva basada en riesgos</w:t>
            </w:r>
          </w:p>
        </w:tc>
        <w:tc>
          <w:tcPr/>
          <w:p>
            <w:pPr>
              <w:pStyle w:val="Compact"/>
            </w:pPr>
            <w:r>
              <w:t xml:space="preserve">Provisión anual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 de uso por ronda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Asignación por ronda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Analizador / sistema de referencia de O₃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[POR DILIGENCIAR — 0–1]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Analizador de SO₂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[POR DILIGENCIAR — 0–1]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Analizador de CO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[POR DILIGENCIAR — 0–1]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Analizador de NOx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[POR DILIGENCIAR — 0–1]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Calibrador dinámico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[POR DILIGENCIAR — 0–1]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Generador de aire cero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[POR DILIGENCIAR — 0–1]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</w:tr>
    </w:tbl>
    <w:p>
      <w:pPr>
        <w:pStyle w:val="BodyText"/>
      </w:pPr>
      <w:r>
        <w:rPr>
          <w:b/>
          <w:bCs/>
        </w:rPr>
        <w:t xml:space="preserve">Factor de uso por ronda (FUR):</w:t>
      </w:r>
      <w:r>
        <w:t xml:space="preserve"> </w:t>
      </w:r>
      <w:r>
        <w:t xml:space="preserve">fracción del año de uso intensivo del equipo atribuible a una ronda típica. Se estima a partir del historial de campañas (horas de uso / horas totales disponibles) o, en su defecto, a partir del plan de mantenimiento del fabricante. Sin este factor, la asignación por ronda no se puede calcular.</w:t>
      </w:r>
    </w:p>
    <w:p>
      <w:pPr>
        <w:pStyle w:val="BodyText"/>
      </w:pPr>
      <w:r>
        <w:rPr>
          <w:b/>
          <w:bCs/>
        </w:rPr>
        <w:t xml:space="preserve">Fórmula:</w:t>
      </w:r>
    </w:p>
    <w:p>
      <w:pPr>
        <w:pStyle w:val="SourceCode"/>
      </w:pPr>
      <w:r>
        <w:rPr>
          <w:rStyle w:val="VerbatimChar"/>
        </w:rPr>
        <w:t xml:space="preserve">Provisión anual del ciclo de vida</w:t>
      </w:r>
      <w:r>
        <w:br/>
      </w:r>
      <w:r>
        <w:rPr>
          <w:rStyle w:val="VerbatimChar"/>
        </w:rPr>
        <w:t xml:space="preserve">    = mantenimiento planificado + consumibles + calibración/servicio</w:t>
      </w:r>
      <w:r>
        <w:br/>
      </w:r>
      <w:r>
        <w:rPr>
          <w:rStyle w:val="VerbatimChar"/>
        </w:rPr>
        <w:t xml:space="preserve">    + provisión para reparaciones correctivas basada en riesgos</w:t>
      </w:r>
      <w:r>
        <w:br/>
      </w:r>
      <w:r>
        <w:br/>
      </w:r>
      <w:r>
        <w:rPr>
          <w:rStyle w:val="VerbatimChar"/>
        </w:rPr>
        <w:t xml:space="preserve">Asignación por ronda</w:t>
      </w:r>
      <w:r>
        <w:br/>
      </w:r>
      <w:r>
        <w:rPr>
          <w:rStyle w:val="VerbatimChar"/>
        </w:rPr>
        <w:t xml:space="preserve">    = provisión anual del ciclo de vida × factor de uso por ronda (FUR)</w:t>
      </w:r>
    </w:p>
    <w:p>
      <w:pPr>
        <w:pStyle w:val="FirstParagraph"/>
      </w:pPr>
      <w:r>
        <w:t xml:space="preserve">Las piezas y los intervalos exactos deben provenir de los modelos de equipos instalados, programas del fabricante, cotizaciones de servicio o historial de mantenimiento.</w:t>
      </w:r>
    </w:p>
    <w:bookmarkEnd w:id="15"/>
    <w:bookmarkStart w:id="16" w:name="pestaña-5-estrategia-de-cilindros"/>
    <w:p>
      <w:pPr>
        <w:pStyle w:val="Heading3"/>
      </w:pPr>
      <w:r>
        <w:t xml:space="preserve">Pestaña 5 — Estrategia de cilindros</w:t>
      </w:r>
    </w:p>
    <w:p>
      <w:pPr>
        <w:pStyle w:val="FirstParagraph"/>
      </w:pPr>
      <w:r>
        <w:t xml:space="preserve">Compare mezclas multicomponentes, cilindros individuales y opciones híbridas: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Mezcla multicomponente</w:t>
            </w:r>
          </w:p>
        </w:tc>
        <w:tc>
          <w:tcPr/>
          <w:p>
            <w:pPr>
              <w:pStyle w:val="Compact"/>
            </w:pPr>
            <w:r>
              <w:t xml:space="preserve">Cilindros individuales</w:t>
            </w:r>
          </w:p>
        </w:tc>
        <w:tc>
          <w:tcPr/>
          <w:p>
            <w:pPr>
              <w:pStyle w:val="Compact"/>
            </w:pPr>
            <w:r>
              <w:t xml:space="preserve">Híbrida (si aplica)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Adquisición</w:t>
            </w:r>
          </w:p>
        </w:tc>
        <w:tc>
          <w:tcPr/>
          <w:p>
            <w:pPr>
              <w:pStyle w:val="Compact"/>
            </w:pPr>
            <w:r>
              <w:t xml:space="preserve">Menos pedidos / cilindros</w:t>
            </w:r>
          </w:p>
        </w:tc>
        <w:tc>
          <w:tcPr/>
          <w:p>
            <w:pPr>
              <w:pStyle w:val="Compact"/>
            </w:pPr>
            <w:r>
              <w:t xml:space="preserve">Varios pedidos / cilindros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Concentraciones</w:t>
            </w:r>
          </w:p>
        </w:tc>
        <w:tc>
          <w:tcPr/>
          <w:p>
            <w:pPr>
              <w:pStyle w:val="Compact"/>
            </w:pPr>
            <w:r>
              <w:t xml:space="preserve">Una especificación debe adaptarse a todas las diluciones</w:t>
            </w:r>
          </w:p>
        </w:tc>
        <w:tc>
          <w:tcPr/>
          <w:p>
            <w:pPr>
              <w:pStyle w:val="Compact"/>
            </w:pPr>
            <w:r>
              <w:t xml:space="preserve">Optimizado por gas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Estabilidad / compatibilidad</w:t>
            </w:r>
          </w:p>
        </w:tc>
        <w:tc>
          <w:tcPr/>
          <w:p>
            <w:pPr>
              <w:pStyle w:val="Compact"/>
            </w:pPr>
            <w:r>
              <w:t xml:space="preserve">Debe ser certificablemente estable</w:t>
            </w:r>
          </w:p>
        </w:tc>
        <w:tc>
          <w:tcPr/>
          <w:p>
            <w:pPr>
              <w:pStyle w:val="Compact"/>
            </w:pPr>
            <w:r>
              <w:t xml:space="preserve">Gestionado por separado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Un certificado, valores por componente</w:t>
            </w:r>
          </w:p>
        </w:tc>
        <w:tc>
          <w:tcPr/>
          <w:p>
            <w:pPr>
              <w:pStyle w:val="Compact"/>
            </w:pPr>
            <w:r>
              <w:t xml:space="preserve">Certificados separados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Cálculo de costos del paquete</w:t>
            </w:r>
          </w:p>
        </w:tc>
        <w:tc>
          <w:tcPr/>
          <w:p>
            <w:pPr>
              <w:pStyle w:val="Compact"/>
            </w:pPr>
            <w:r>
              <w:t xml:space="preserve">Más difícil de asignar a ventas de un solo gas</w:t>
            </w:r>
          </w:p>
        </w:tc>
        <w:tc>
          <w:tcPr/>
          <w:p>
            <w:pPr>
              <w:pStyle w:val="Compact"/>
            </w:pPr>
            <w:r>
              <w:t xml:space="preserve">Se asigna directamente al paquete de gases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Falla / vencimiento</w:t>
            </w:r>
          </w:p>
        </w:tc>
        <w:tc>
          <w:tcPr/>
          <w:p>
            <w:pPr>
              <w:pStyle w:val="Compact"/>
            </w:pPr>
            <w:r>
              <w:t xml:space="preserve">Un problema puede afectar varios gases</w:t>
            </w:r>
          </w:p>
        </w:tc>
        <w:tc>
          <w:tcPr/>
          <w:p>
            <w:pPr>
              <w:pStyle w:val="Compact"/>
            </w:pPr>
            <w:r>
              <w:t xml:space="preserve">Aislado a un solo gas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Equipos / almacenamiento</w:t>
            </w:r>
          </w:p>
        </w:tc>
        <w:tc>
          <w:tcPr/>
          <w:p>
            <w:pPr>
              <w:pStyle w:val="Compact"/>
            </w:pPr>
            <w:r>
              <w:t xml:space="preserve">Menos reguladores / conexiones</w:t>
            </w:r>
          </w:p>
        </w:tc>
        <w:tc>
          <w:tcPr/>
          <w:p>
            <w:pPr>
              <w:pStyle w:val="Compact"/>
            </w:pPr>
            <w:r>
              <w:t xml:space="preserve">Más reguladores, almacenamiento y manipulación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Plazo de entrega</w:t>
            </w:r>
          </w:p>
        </w:tc>
        <w:tc>
          <w:tcPr/>
          <w:p>
            <w:pPr>
              <w:pStyle w:val="Compact"/>
            </w:pPr>
            <w:r>
              <w:t xml:space="preserve">Disponibilidad de mezclas personalizadas</w:t>
            </w:r>
          </w:p>
        </w:tc>
        <w:tc>
          <w:tcPr/>
          <w:p>
            <w:pPr>
              <w:pStyle w:val="Compact"/>
            </w:pPr>
            <w:r>
              <w:t xml:space="preserve">Varía según el gas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estimado por ronda (COP / EUR)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Recomendación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Estrategia aprobada:</w:t>
      </w:r>
      <w:r>
        <w:t xml:space="preserve"> </w:t>
      </w:r>
      <w:r>
        <w:t xml:space="preserve">[POR DILIGENCIAR]</w:t>
      </w:r>
      <w:r>
        <w:t xml:space="preserve"> </w:t>
      </w:r>
      <w:r>
        <w:rPr>
          <w:b/>
          <w:bCs/>
        </w:rPr>
        <w:t xml:space="preserve">Aprobador técnico:</w:t>
      </w:r>
      <w:r>
        <w:t xml:space="preserve"> </w:t>
      </w:r>
      <w:r>
        <w:t xml:space="preserve">[POR DILIGENCIAR]</w:t>
      </w:r>
      <w:r>
        <w:t xml:space="preserve"> </w:t>
      </w:r>
      <w:r>
        <w:rPr>
          <w:b/>
          <w:bCs/>
        </w:rPr>
        <w:t xml:space="preserve">Aprobador comercial/financiero:</w:t>
      </w:r>
      <w:r>
        <w:t xml:space="preserve"> </w:t>
      </w:r>
      <w:r>
        <w:t xml:space="preserve">[POR DILIGENCIAR]</w:t>
      </w:r>
    </w:p>
    <w:bookmarkEnd w:id="16"/>
    <w:bookmarkStart w:id="17" w:name="pestaña-6-tarifa-fija-de-participación"/>
    <w:p>
      <w:pPr>
        <w:pStyle w:val="Heading3"/>
      </w:pPr>
      <w:r>
        <w:t xml:space="preserve">Pestaña 6 — Tarifa fija de participación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Bloques seleccionados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Analizadores incluidos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Tarifa provisional sin impuestos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Analizador adicional con capacidad residual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Cualquier 1 bloque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Hasta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COP 5.928.000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COP 0</w:t>
            </w:r>
          </w:p>
        </w:tc>
        <w:tc>
          <w:tcPr/>
          <w:p>
            <w:pPr>
              <w:pStyle w:val="Compact"/>
            </w:pPr>
            <w:r>
              <w:t xml:space="preserve">Solo propuesta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Cualquier 2 bloques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Hasta 2, uno por bloque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COP 5.928.000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COP 0</w:t>
            </w:r>
          </w:p>
        </w:tc>
        <w:tc>
          <w:tcPr/>
          <w:p>
            <w:pPr>
              <w:pStyle w:val="Compact"/>
            </w:pPr>
            <w:r>
              <w:t xml:space="preserve">Solo propuesta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bloques cualesquiera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Hasta 3, uno por bloque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COP 5.928.000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COP 0</w:t>
            </w:r>
          </w:p>
        </w:tc>
        <w:tc>
          <w:tcPr/>
          <w:p>
            <w:pPr>
              <w:pStyle w:val="Compact"/>
            </w:pPr>
            <w:r>
              <w:t xml:space="preserve">Solo propuesta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4 bloques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Hasta 4, uno por bloque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COP 5.928.000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COP 0</w:t>
            </w:r>
          </w:p>
        </w:tc>
        <w:tc>
          <w:tcPr/>
          <w:p>
            <w:pPr>
              <w:pStyle w:val="Compact"/>
            </w:pPr>
            <w:r>
              <w:t xml:space="preserve">CO, SO₂, O₃ y NO/NO₂</w:t>
            </w:r>
          </w:p>
        </w:tc>
      </w:tr>
    </w:tbl>
    <w:p>
      <w:pPr>
        <w:pStyle w:val="BodyText"/>
      </w:pPr>
      <w:r>
        <w:t xml:space="preserve">Un analizador adicional nunca desplaza el primer cupo de otra organización</w:t>
      </w:r>
      <w:r>
        <w:t xml:space="preserve"> </w:t>
      </w:r>
      <w:r>
        <w:t xml:space="preserve">y requiere revisión de capacidad CS-09.</w:t>
      </w:r>
    </w:p>
    <w:bookmarkEnd w:id="17"/>
    <w:bookmarkStart w:id="18" w:name="X23c5d01a1b691626c4dfa7ed3461a23a7ec2c47"/>
    <w:p>
      <w:pPr>
        <w:pStyle w:val="Heading3"/>
      </w:pPr>
      <w:r>
        <w:t xml:space="preserve">Pestaña 6.A — Validación del valor de referencia</w:t>
      </w:r>
    </w:p>
    <w:p>
      <w:pPr>
        <w:pStyle w:val="FirstParagraph"/>
      </w:pPr>
      <w:r>
        <w:t xml:space="preserve">Esta pestaña compara el costo real (directo y total) por organización participante</w:t>
      </w:r>
      <w:r>
        <w:t xml:space="preserve"> </w:t>
      </w:r>
      <w:r>
        <w:t xml:space="preserve">contra COP 5.928.000. Debe mostrar el costo por separado para cada escenario de</w:t>
      </w:r>
      <w:r>
        <w:t xml:space="preserve"> </w:t>
      </w:r>
      <w:r>
        <w:t xml:space="preserve">bloques seleccionados, aunque el precio propuesto al cliente sea fijo.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(COP)</w:t>
            </w:r>
          </w:p>
        </w:tc>
        <w:tc>
          <w:tcPr/>
          <w:p>
            <w:pPr>
              <w:pStyle w:val="Compact"/>
            </w:pPr>
            <w:r>
              <w:t xml:space="preserve">Fuente / calculo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directo, 1 bloque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Pestañas 2–4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directo, 2 bloques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Pestañas 2–4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directo, 3 bloques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Pestañas 2–4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directo, 4 bloques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Pestañas 2–4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total asignado, 4 bloques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Pestañas 2–4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Tarifa plana provisional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5.928.000</w:t>
            </w:r>
          </w:p>
        </w:tc>
        <w:tc>
          <w:tcPr/>
          <w:p>
            <w:pPr>
              <w:pStyle w:val="Compact"/>
            </w:pPr>
            <w:r>
              <w:t xml:space="preserve">CS-01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Contribución / déficit por escenario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tarifa − costo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Interpretación/decisión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aprobación de la dirección antes de la cotización</w:t>
            </w:r>
          </w:p>
        </w:tc>
      </w:tr>
    </w:tbl>
    <w:bookmarkEnd w:id="18"/>
    <w:bookmarkStart w:id="19" w:name="pestaña-7-inscripción"/>
    <w:p>
      <w:pPr>
        <w:pStyle w:val="Heading3"/>
      </w:pPr>
      <w:r>
        <w:t xml:space="preserve">Pestaña 7 — Inscripción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Analizadores</w:t>
            </w:r>
          </w:p>
        </w:tc>
        <w:tc>
          <w:tcPr/>
          <w:p>
            <w:pPr>
              <w:pStyle w:val="Compact"/>
            </w:pPr>
            <w:r>
              <w:t xml:space="preserve">Ingresos</w:t>
            </w:r>
          </w:p>
        </w:tc>
        <w:tc>
          <w:tcPr/>
          <w:p>
            <w:pPr>
              <w:pStyle w:val="Compact"/>
            </w:pPr>
            <w:r>
              <w:t xml:space="preserve">Costos</w:t>
            </w:r>
          </w:p>
        </w:tc>
        <w:tc>
          <w:tcPr/>
          <w:p>
            <w:pPr>
              <w:pStyle w:val="Compact"/>
            </w:pPr>
            <w:r>
              <w:t xml:space="preserve">Contribución</w:t>
            </w:r>
          </w:p>
        </w:tc>
        <w:tc>
          <w:tcPr/>
          <w:p>
            <w:pPr>
              <w:pStyle w:val="Compact"/>
            </w:pPr>
            <w:r>
              <w:t xml:space="preserve">Momento de entrada del efectivo</w:t>
            </w:r>
          </w:p>
        </w:tc>
        <w:tc>
          <w:tcPr/>
          <w:p>
            <w:pPr>
              <w:pStyle w:val="Compact"/>
            </w:pPr>
            <w:r>
              <w:t xml:space="preserve">¿Viable?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Baja (1 participante, 1 gas)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Previsto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 total para un gas individual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 total simultánea de CO/SO₂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Selección mixta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</w:tbl>
    <w:p>
      <w:pPr>
        <w:pStyle w:val="BodyText"/>
      </w:pPr>
      <w:r>
        <w:rPr>
          <w:b/>
          <w:bCs/>
        </w:rPr>
        <w:t xml:space="preserve">Momento de la entrada de efectivo:</w:t>
      </w:r>
      <w:r>
        <w:t xml:space="preserve"> </w:t>
      </w:r>
      <w:r>
        <w:t xml:space="preserve">columna crítica para entender la viabilidad real. Si el ingreso se cobra 100% anticipado y los costos se pagan durante la ronda, la viabilidad operativa es muy distinta a un escenario de pago a 30 días. CS-06 sección 9 y CS-10 columna</w:t>
      </w:r>
      <w:r>
        <w:t xml:space="preserve"> </w:t>
      </w:r>
      <w:r>
        <w:t xml:space="preserve">“PO/pago/estado de factura”</w:t>
      </w:r>
      <w:r>
        <w:t xml:space="preserve"> </w:t>
      </w:r>
      <w:r>
        <w:t xml:space="preserve">usan esta misma escala temporal.</w:t>
      </w:r>
    </w:p>
    <w:bookmarkEnd w:id="19"/>
    <w:bookmarkStart w:id="20" w:name="pestaña-8-escenarios"/>
    <w:p>
      <w:pPr>
        <w:pStyle w:val="Heading3"/>
      </w:pPr>
      <w:r>
        <w:t xml:space="preserve">Pestaña 8 — Escenarios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Punto de equilibrio para gas individual</w:t>
            </w:r>
          </w:p>
        </w:tc>
        <w:tc>
          <w:tcPr/>
          <w:p>
            <w:pPr>
              <w:pStyle w:val="Compact"/>
            </w:pPr>
            <w:r>
              <w:t xml:space="preserve">Cupos pagados mínimos para cubrir el costo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Punto de equilibrio para CO/SO₂ simultáneos</w:t>
            </w:r>
          </w:p>
        </w:tc>
        <w:tc>
          <w:tcPr/>
          <w:p>
            <w:pPr>
              <w:pStyle w:val="Compact"/>
            </w:pPr>
            <w:r>
              <w:t xml:space="preserve">Cupos pagados mínimos para cubrir el costo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Punto de equilibrio para el paquete completo</w:t>
            </w:r>
          </w:p>
        </w:tc>
        <w:tc>
          <w:tcPr/>
          <w:p>
            <w:pPr>
              <w:pStyle w:val="Compact"/>
            </w:pPr>
            <w:r>
              <w:t xml:space="preserve">Cupos pagados mínimos para cubrir el costo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 baja</w:t>
            </w:r>
          </w:p>
        </w:tc>
        <w:tc>
          <w:tcPr/>
          <w:p>
            <w:pPr>
              <w:pStyle w:val="Compact"/>
            </w:pPr>
            <w:r>
              <w:t xml:space="preserve">1–2 participantes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 prevista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 total</w:t>
            </w:r>
          </w:p>
        </w:tc>
        <w:tc>
          <w:tcPr/>
          <w:p>
            <w:pPr>
              <w:pStyle w:val="Compact"/>
            </w:pPr>
            <w:r>
              <w:t xml:space="preserve">Según los límites de CS-01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Flujo de caja en el peor de los casos (matriculación baja + pagos atrasados)</w:t>
            </w:r>
          </w:p>
        </w:tc>
        <w:tc>
          <w:tcPr/>
          <w:p>
            <w:pPr>
              <w:pStyle w:val="Compact"/>
            </w:pPr>
            <w:r>
              <w:t xml:space="preserve">Tensión de caja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</w:tr>
    </w:tbl>
    <w:bookmarkEnd w:id="20"/>
    <w:bookmarkStart w:id="21" w:name="pestaña-9-aprobación"/>
    <w:p>
      <w:pPr>
        <w:pStyle w:val="Heading3"/>
      </w:pPr>
      <w:r>
        <w:t xml:space="preserve">Pestaña 9 — Aprobación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Cuota fija de participación aprobada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Ajuste de bloque seleccionado aprobado</w:t>
            </w:r>
          </w:p>
        </w:tc>
        <w:tc>
          <w:tcPr/>
          <w:p>
            <w:pPr>
              <w:pStyle w:val="Compact"/>
            </w:pPr>
            <w:r>
              <w:t xml:space="preserve">COP 0 a menos que se revise CS-01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Tarifa de analizador adicional aprobada</w:t>
            </w:r>
          </w:p>
        </w:tc>
        <w:tc>
          <w:tcPr/>
          <w:p>
            <w:pPr>
              <w:pStyle w:val="Compact"/>
            </w:pPr>
            <w:r>
              <w:t xml:space="preserve">COP 0 durante la etapa de propuesta, sujeto a capacidad 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Estrategia de cilindro aprobada (de la pestaña 5)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Paquetes aprobados (de la pestaña 6)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 cambiaria aprobada (de la pestaña 1)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Calendario de cobro de efectivo aprobado (de la pestaña 1)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Precios aprobados válidos desde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Precios aprobados válidos hasta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Aprobador (comercial/financiero)</w:t>
            </w:r>
          </w:p>
        </w:tc>
        <w:tc>
          <w:tcPr/>
          <w:p>
            <w:pPr>
              <w:pStyle w:val="Compact"/>
            </w:pPr>
            <w:r>
              <w:t xml:space="preserve">[POR DILIGENCIAR — nombre, fecha y firma]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Aprobador (técnico)</w:t>
            </w:r>
          </w:p>
        </w:tc>
        <w:tc>
          <w:tcPr/>
          <w:p>
            <w:pPr>
              <w:pStyle w:val="Compact"/>
            </w:pPr>
            <w:r>
              <w:t xml:space="preserve">[POR DILIGENCIAR — nombre, fecha y firma]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Aprobador (dirección)</w:t>
            </w:r>
          </w:p>
        </w:tc>
        <w:tc>
          <w:tcPr/>
          <w:p>
            <w:pPr>
              <w:pStyle w:val="Compact"/>
            </w:pPr>
            <w:r>
              <w:t xml:space="preserve">[POR DILIGENCIAR — NOMBRE, FECHA, FIRMA]</w:t>
            </w:r>
          </w:p>
        </w:tc>
      </w:tr>
    </w:tbl>
    <w:bookmarkEnd w:id="21"/>
    <w:bookmarkEnd w:id="22"/>
    <w:bookmarkStart w:id="23" w:name="lista-de-precios-orientada-al-cliente"/>
    <w:p>
      <w:pPr>
        <w:pStyle w:val="Heading2"/>
      </w:pPr>
      <w:r>
        <w:t xml:space="preserve">Lista de precios orientada al cliente</w:t>
      </w:r>
    </w:p>
    <w:p>
      <w:pPr>
        <w:pStyle w:val="FirstParagraph"/>
      </w:pPr>
      <w:r>
        <w:t xml:space="preserve">La lista externa (consulte</w:t>
      </w:r>
      <w:r>
        <w:t xml:space="preserve"> </w:t>
      </w:r>
      <w:r>
        <w:rPr>
          <w:rStyle w:val="VerbatimChar"/>
        </w:rPr>
        <w:t xml:space="preserve">listas_precios_aprobadas.md</w:t>
      </w:r>
      <w:r>
        <w:t xml:space="preserve">) muestra solo los precios aprobados, la moneda, los impuestos, las inclusiones, la tarifa del analizador adicional, la validez y los requisitos de cotización. Los detalles de costos internos y márgenes siguen siendo restringidos.</w:t>
      </w:r>
    </w:p>
    <w:bookmarkEnd w:id="23"/>
    <w:bookmarkStart w:id="24" w:name="comprobaciones-de-lógica-comercial"/>
    <w:p>
      <w:pPr>
        <w:pStyle w:val="Heading2"/>
      </w:pPr>
      <w:r>
        <w:t xml:space="preserve">Comprobaciones de lógica comercial</w:t>
      </w:r>
    </w:p>
    <w:p>
      <w:pPr>
        <w:pStyle w:val="Compact"/>
        <w:numPr>
          <w:ilvl w:val="0"/>
          <w:numId w:val="1001"/>
        </w:numPr>
      </w:pPr>
      <w:r>
        <w:t xml:space="preserve">La tarifa fija se muestra consistentemente para uno a cuatro bloques seleccionados.</w:t>
      </w:r>
    </w:p>
    <w:p>
      <w:pPr>
        <w:pStyle w:val="Compact"/>
        <w:numPr>
          <w:ilvl w:val="0"/>
          <w:numId w:val="1002"/>
        </w:numPr>
      </w:pPr>
      <w:r>
        <w:t xml:space="preserve">Se acepta un analizador adicional solo con capacidad residual y no desplaza una primera posición.</w:t>
      </w:r>
    </w:p>
    <w:p>
      <w:pPr>
        <w:pStyle w:val="Compact"/>
        <w:numPr>
          <w:ilvl w:val="0"/>
          <w:numId w:val="1003"/>
        </w:numPr>
      </w:pPr>
      <w:r>
        <w:t xml:space="preserve">Se documentan el objetivo de la propuesta y el costo mínimo directo del CS-01.</w:t>
      </w:r>
    </w:p>
    <w:p>
      <w:pPr>
        <w:pStyle w:val="Compact"/>
        <w:numPr>
          <w:ilvl w:val="0"/>
          <w:numId w:val="1004"/>
        </w:numPr>
      </w:pPr>
      <w:r>
        <w:t xml:space="preserve">El punto de referencia de COP 5.928.000 se compara con la capacidad verificada, no con una ronda supuesta de 8 a 15 participantes.</w:t>
      </w:r>
    </w:p>
    <w:p>
      <w:pPr>
        <w:pStyle w:val="Compact"/>
        <w:numPr>
          <w:ilvl w:val="0"/>
          <w:numId w:val="1005"/>
        </w:numPr>
      </w:pPr>
      <w:r>
        <w:t xml:space="preserve">El factor de uso por ronda se completa para cada activo en la pestaña 4.</w:t>
      </w:r>
    </w:p>
    <w:p>
      <w:pPr>
        <w:pStyle w:val="Compact"/>
        <w:numPr>
          <w:ilvl w:val="0"/>
          <w:numId w:val="1006"/>
        </w:numPr>
      </w:pPr>
      <w:r>
        <w:t xml:space="preserve">La pestaña 6.A muestra la contribución o el déficit directo y de costo total para cada escenario de bloque seleccionado.</w:t>
      </w:r>
    </w:p>
    <w:p>
      <w:pPr>
        <w:pStyle w:val="Compact"/>
        <w:numPr>
          <w:ilvl w:val="0"/>
          <w:numId w:val="1007"/>
        </w:numPr>
      </w:pPr>
      <w:r>
        <w:t xml:space="preserve">El tiempo de entrada de efectivo en la pestaña 7 refleja la política de pago de CS-01/CS-06.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2026-07-16T14:37:57Z</dcterms:created>
  <dcterms:modified xsi:type="dcterms:W3CDTF">2026-07-16T14:37:57Z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