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1cb34f8aa1b77878bfdfc840b2051cec3a19ad"/>
    <w:p>
      <w:pPr>
        <w:pStyle w:val="Heading1"/>
      </w:pPr>
      <w:r>
        <w:t xml:space="preserve">Control de acceso —</w:t>
      </w:r>
      <w:r>
        <w:t xml:space="preserve"> </w:t>
      </w:r>
      <w:r>
        <w:rPr>
          <w:rStyle w:val="VerbatimChar"/>
        </w:rPr>
        <w:t xml:space="preserve">02_precios_restringidos/</w:t>
      </w:r>
    </w:p>
    <w:p>
      <w:pPr>
        <w:pStyle w:val="FirstParagraph"/>
      </w:pPr>
      <w:r>
        <w:rPr>
          <w:b/>
          <w:bCs/>
        </w:rPr>
        <w:t xml:space="preserve">Carpeta:</w:t>
      </w:r>
      <w:r>
        <w:t xml:space="preserve"> </w:t>
      </w:r>
      <w:r>
        <w:rPr>
          <w:rStyle w:val="VerbatimChar"/>
        </w:rPr>
        <w:t xml:space="preserve">servicio_comercial/02_precios_restringidos/</w:t>
      </w:r>
      <w:r>
        <w:t xml:space="preserve"> </w:t>
      </w:r>
      <w:r>
        <w:rPr>
          <w:b/>
          <w:bCs/>
        </w:rPr>
        <w:t xml:space="preserve">Clasificación:</w:t>
      </w:r>
      <w:r>
        <w:t xml:space="preserve"> </w:t>
      </w:r>
      <w:r>
        <w:t xml:space="preserve">RESTRINGIDO</w:t>
      </w:r>
      <w:r>
        <w:t xml:space="preserve"> </w:t>
      </w: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2026-07-14</w:t>
      </w:r>
    </w:p>
    <w:bookmarkStart w:id="19" w:name="archivos-de-esta-carpeta"/>
    <w:p>
      <w:pPr>
        <w:pStyle w:val="Heading2"/>
      </w:pPr>
      <w:r>
        <w:t xml:space="preserve">Archivos de esta carpeta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Acceso de lectura</w:t>
            </w:r>
          </w:p>
        </w:tc>
        <w:tc>
          <w:tcPr/>
          <w:p>
            <w:pPr>
              <w:pStyle w:val="Compact"/>
            </w:pPr>
            <w:r>
              <w:t xml:space="preserve">Acceso de escritura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CS-04_modelo_costos_precios.md</w:t>
            </w:r>
          </w:p>
        </w:tc>
        <w:tc>
          <w:tcPr/>
          <w:p>
            <w:pPr>
              <w:pStyle w:val="Compact"/>
            </w:pPr>
            <w:r>
              <w:t xml:space="preserve">RESTRINGIDO: costo y margen internos</w:t>
            </w:r>
          </w:p>
        </w:tc>
        <w:tc>
          <w:tcPr/>
          <w:p>
            <w:pPr>
              <w:pStyle w:val="Compact"/>
            </w:pPr>
            <w:r>
              <w:t xml:space="preserve">Profesional de proyectos y Directora del grupo</w:t>
            </w:r>
          </w:p>
        </w:tc>
        <w:tc>
          <w:tcPr/>
          <w:p>
            <w:pPr>
              <w:pStyle w:val="Compact"/>
            </w:pPr>
            <w:r>
              <w:t xml:space="preserve">Profesional de proyectos, con aprobación de la Directora del grupo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listas_precio_aprobadas.md</w:t>
            </w:r>
          </w:p>
        </w:tc>
        <w:tc>
          <w:tcPr/>
          <w:p>
            <w:pPr>
              <w:pStyle w:val="Compact"/>
            </w:pPr>
            <w:r>
              <w:t xml:space="preserve">Orientación al cliente: publicado</w:t>
            </w:r>
          </w:p>
        </w:tc>
        <w:tc>
          <w:tcPr/>
          <w:p>
            <w:pPr>
              <w:pStyle w:val="Compact"/>
            </w:pPr>
            <w:r>
              <w:t xml:space="preserve">Público (después de la aprobación)</w:t>
            </w:r>
          </w:p>
        </w:tc>
        <w:tc>
          <w:tcPr/>
          <w:p>
            <w:pPr>
              <w:pStyle w:val="Compact"/>
            </w:pPr>
            <w:r>
              <w:t xml:space="preserve">Profesional de proyectos, con aprobación de la Directora del grupo</w:t>
            </w:r>
          </w:p>
        </w:tc>
      </w:tr>
    </w:tbl>
    <w:bookmarkEnd w:id="19"/>
    <w:bookmarkStart w:id="20" w:name="por-qué-esta-carpeta-es-restringida"/>
    <w:p>
      <w:pPr>
        <w:pStyle w:val="Heading2"/>
      </w:pPr>
      <w:r>
        <w:t xml:space="preserve">Por qué esta carpeta es restringida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CS-04_modelo_costos_precios.md</w:t>
      </w:r>
      <w:r>
        <w:t xml:space="preserve"> </w:t>
      </w:r>
      <w:r>
        <w:t xml:space="preserve">contiene</w:t>
      </w:r>
      <w:r>
        <w:t xml:space="preserve"> </w:t>
      </w:r>
      <w:r>
        <w:rPr>
          <w:b/>
          <w:bCs/>
        </w:rPr>
        <w:t xml:space="preserve">acumulación de costos internos</w:t>
      </w:r>
      <w:r>
        <w:t xml:space="preserve">,</w:t>
      </w:r>
      <w:r>
        <w:t xml:space="preserve"> </w:t>
      </w:r>
      <w:r>
        <w:rPr>
          <w:b/>
          <w:bCs/>
        </w:rPr>
        <w:t xml:space="preserve">objetivos de margen</w:t>
      </w:r>
      <w:r>
        <w:t xml:space="preserve">,</w:t>
      </w:r>
      <w:r>
        <w:t xml:space="preserve"> </w:t>
      </w:r>
      <w:r>
        <w:rPr>
          <w:b/>
          <w:bCs/>
        </w:rPr>
        <w:t xml:space="preserve">provisión del ciclo de vida por activo</w:t>
      </w:r>
      <w:r>
        <w:t xml:space="preserve">,</w:t>
      </w:r>
      <w:r>
        <w:t xml:space="preserve"> </w:t>
      </w:r>
      <w:r>
        <w:rPr>
          <w:b/>
          <w:bCs/>
        </w:rPr>
        <w:t xml:space="preserve">comparación de costos de estrategia de cilindro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escenarios de equilibrio</w:t>
      </w:r>
      <w:r>
        <w:t xml:space="preserve">. La divulgación a los participantes o competidores expondría la posición comercial de CALAIRE-EA y podría comprometer los precios futuros.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listas_precios_aprobadas.md</w:t>
      </w:r>
      <w:r>
        <w:t xml:space="preserve"> </w:t>
      </w:r>
      <w:r>
        <w:t xml:space="preserve">orientado al cliente se publica solo después de que la gerencia apruebe los valores en</w:t>
      </w:r>
      <w:r>
        <w:t xml:space="preserve"> </w:t>
      </w:r>
      <w:r>
        <w:rPr>
          <w:rStyle w:val="VerbatimChar"/>
        </w:rPr>
        <w:t xml:space="preserve">CS-04</w:t>
      </w:r>
      <w:r>
        <w:t xml:space="preserve">; los datos de costos y márgenes nunca se publican.</w:t>
      </w:r>
    </w:p>
    <w:bookmarkEnd w:id="20"/>
    <w:bookmarkStart w:id="21" w:name="procedimientos-de-acceso"/>
    <w:p>
      <w:pPr>
        <w:pStyle w:val="Heading2"/>
      </w:pPr>
      <w:r>
        <w:t xml:space="preserve">Procedimientos de acceso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acceso de lectura</w:t>
      </w:r>
      <w:r>
        <w:t xml:space="preserve"> </w:t>
      </w:r>
      <w:r>
        <w:t xml:space="preserve">se otorga al Profesional de proyectos y a la Directora del grupo. El personal técnico puede solicitar acceso de lectura cuando sea necesario, registrado en el registro de auditoría.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acceso de escritura</w:t>
      </w:r>
      <w:r>
        <w:t xml:space="preserve"> </w:t>
      </w:r>
      <w:r>
        <w:t xml:space="preserve">requiere doble autorización: un cambio propuesto es redactado por un rol y aprobado por el otro (líder financiero o comercial). El cambio se registra en</w:t>
      </w:r>
      <w:r>
        <w:t xml:space="preserve"> </w:t>
      </w:r>
      <w:r>
        <w:rPr>
          <w:rStyle w:val="VerbatimChar"/>
        </w:rPr>
        <w:t xml:space="preserve">00_control/registro_cambios_versiones.md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se permite la exportación</w:t>
      </w:r>
      <w:r>
        <w:t xml:space="preserve"> </w:t>
      </w:r>
      <w:r>
        <w:t xml:space="preserve">del contenido</w:t>
      </w:r>
      <w:r>
        <w:t xml:space="preserve"> </w:t>
      </w:r>
      <w:r>
        <w:rPr>
          <w:rStyle w:val="VerbatimChar"/>
        </w:rPr>
        <w:t xml:space="preserve">CS-04_modelo_costos_precios.md</w:t>
      </w:r>
      <w:r>
        <w:t xml:space="preserve"> </w:t>
      </w:r>
      <w:r>
        <w:t xml:space="preserve">a sistemas externos (correo electrónico, documentos orientados al cliente, SaaS de terceros) sin la aprobación explícita de la administración documentada en</w:t>
      </w:r>
      <w:r>
        <w:t xml:space="preserve"> </w:t>
      </w:r>
      <w:r>
        <w:rPr>
          <w:rStyle w:val="VerbatimChar"/>
        </w:rPr>
        <w:t xml:space="preserve">00_control/registro_cambios_versiones.md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control de versiones</w:t>
      </w:r>
      <w:r>
        <w:t xml:space="preserve"> </w:t>
      </w:r>
      <w:r>
        <w:t xml:space="preserve">de ambos archivos se registra en</w:t>
      </w:r>
      <w:r>
        <w:t xml:space="preserve"> </w:t>
      </w:r>
      <w:r>
        <w:rPr>
          <w:rStyle w:val="VerbatimChar"/>
        </w:rPr>
        <w:t xml:space="preserve">00_control/registro_cambios_versiones.md</w:t>
      </w:r>
      <w:r>
        <w:t xml:space="preserve">.</w:t>
      </w:r>
    </w:p>
    <w:bookmarkEnd w:id="21"/>
    <w:bookmarkStart w:id="22" w:name="auditoría"/>
    <w:p>
      <w:pPr>
        <w:pStyle w:val="Heading2"/>
      </w:pPr>
      <w:r>
        <w:t xml:space="preserve">Auditoría</w:t>
      </w:r>
    </w:p>
    <w:p>
      <w:pPr>
        <w:pStyle w:val="Compact"/>
        <w:numPr>
          <w:ilvl w:val="0"/>
          <w:numId w:val="1003"/>
        </w:numPr>
      </w:pPr>
      <w:r>
        <w:t xml:space="preserve">Cualquier lectura o escritura de</w:t>
      </w:r>
      <w:r>
        <w:t xml:space="preserve"> </w:t>
      </w:r>
      <w:r>
        <w:rPr>
          <w:rStyle w:val="VerbatimChar"/>
        </w:rPr>
        <w:t xml:space="preserve">CS-04_modelo_costos_precios.md</w:t>
      </w:r>
      <w:r>
        <w:t xml:space="preserve"> </w:t>
      </w:r>
      <w:r>
        <w:t xml:space="preserve">debe registrarse en el sistema de registro de acceso institucional.</w:t>
      </w:r>
    </w:p>
    <w:p>
      <w:pPr>
        <w:pStyle w:val="Compact"/>
        <w:numPr>
          <w:ilvl w:val="0"/>
          <w:numId w:val="1003"/>
        </w:numPr>
      </w:pPr>
      <w:r>
        <w:t xml:space="preserve">Revisión trimestral: el líder financiero y comercial verifica que las listas de acceso estén actualizadas.</w:t>
      </w:r>
    </w:p>
    <w:bookmarkEnd w:id="22"/>
    <w:bookmarkStart w:id="23" w:name="artefactos-relacionados"/>
    <w:p>
      <w:pPr>
        <w:pStyle w:val="Heading2"/>
      </w:pPr>
      <w:r>
        <w:t xml:space="preserve">Artefactos relacionados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00_control/CS-01_decisiones_comerciales.md</w:t>
      </w:r>
      <w:r>
        <w:t xml:space="preserve"> </w:t>
      </w:r>
      <w:r>
        <w:t xml:space="preserve">— objetivo y reglas de fijación de precios.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00_control/registro_cambios_versiones.md</w:t>
      </w:r>
      <w:r>
        <w:t xml:space="preserve"> </w:t>
      </w:r>
      <w:r>
        <w:t xml:space="preserve">— historial de versiones.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docs/qms/</w:t>
      </w:r>
      <w:r>
        <w:t xml:space="preserve"> </w:t>
      </w:r>
      <w:r>
        <w:t xml:space="preserve">— no contiene datos de costos equivalentes; los costos comerciales no están duplicados en el SGC.</w:t>
      </w:r>
    </w:p>
    <w:bookmarkEnd w:id="23"/>
    <w:bookmarkEnd w:id="24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2026-07-16T14:07:57Z</dcterms:created>
  <dcterms:modified xsi:type="dcterms:W3CDTF">2026-07-16T14:07:57Z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